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rPr>
          <w:color w:val="auto"/>
        </w:rPr>
      </w:pPr>
    </w:p>
    <w:p>
      <w:pPr>
        <w:pStyle w:val="4"/>
        <w:ind w:firstLine="480"/>
        <w:rPr>
          <w:color w:val="auto"/>
        </w:rPr>
      </w:pPr>
      <w:bookmarkStart w:id="38" w:name="_GoBack"/>
      <w:bookmarkEnd w:id="38"/>
    </w:p>
    <w:p>
      <w:pPr>
        <w:pStyle w:val="23"/>
        <w:rPr>
          <w:color w:val="auto"/>
        </w:rPr>
      </w:pPr>
      <w:r>
        <w:rPr>
          <w:rFonts w:hint="eastAsia"/>
          <w:color w:val="auto"/>
          <w:lang w:eastAsia="zh-CN"/>
        </w:rPr>
        <w:t>海安</w:t>
      </w:r>
      <w:r>
        <w:rPr>
          <w:rFonts w:hint="eastAsia"/>
          <w:color w:val="auto"/>
          <w:lang w:val="en-US" w:eastAsia="zh-CN"/>
        </w:rPr>
        <w:t>市</w:t>
      </w:r>
      <w:r>
        <w:rPr>
          <w:rFonts w:hint="eastAsia"/>
          <w:color w:val="auto"/>
          <w:lang w:eastAsia="zh-CN"/>
        </w:rPr>
        <w:t>电子信息产业园</w:t>
      </w:r>
      <w:r>
        <w:rPr>
          <w:rFonts w:hint="eastAsia"/>
          <w:color w:val="auto"/>
          <w:lang w:val="en-US" w:eastAsia="zh-CN"/>
        </w:rPr>
        <w:t>开发</w:t>
      </w:r>
      <w:r>
        <w:rPr>
          <w:rFonts w:hint="eastAsia"/>
          <w:color w:val="auto"/>
        </w:rPr>
        <w:t>建设规划</w:t>
      </w:r>
    </w:p>
    <w:p>
      <w:pPr>
        <w:pStyle w:val="23"/>
        <w:rPr>
          <w:color w:val="auto"/>
        </w:rPr>
      </w:pPr>
      <w:r>
        <w:rPr>
          <w:rFonts w:hint="eastAsia"/>
          <w:color w:val="auto"/>
        </w:rPr>
        <w:t>环境影响报告书</w:t>
      </w:r>
    </w:p>
    <w:p>
      <w:pPr>
        <w:pStyle w:val="23"/>
        <w:rPr>
          <w:color w:val="auto"/>
        </w:rPr>
      </w:pPr>
    </w:p>
    <w:p>
      <w:pPr>
        <w:pStyle w:val="23"/>
        <w:rPr>
          <w:rFonts w:hint="eastAsia" w:eastAsia="黑体"/>
          <w:color w:val="auto"/>
          <w:lang w:eastAsia="zh-CN"/>
        </w:rPr>
      </w:pPr>
      <w:r>
        <w:rPr>
          <w:rFonts w:hint="eastAsia"/>
          <w:color w:val="auto"/>
          <w:lang w:eastAsia="zh-CN"/>
        </w:rPr>
        <w:t>（</w:t>
      </w:r>
      <w:r>
        <w:rPr>
          <w:rFonts w:hint="eastAsia"/>
          <w:color w:val="auto"/>
          <w:lang w:val="en-US" w:eastAsia="zh-CN"/>
        </w:rPr>
        <w:t>简本</w:t>
      </w:r>
      <w:r>
        <w:rPr>
          <w:rFonts w:hint="eastAsia"/>
          <w:color w:val="auto"/>
          <w:lang w:eastAsia="zh-CN"/>
        </w:rPr>
        <w:t>）</w:t>
      </w: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4"/>
        <w:rPr>
          <w:color w:val="auto"/>
        </w:rPr>
      </w:pPr>
      <w:r>
        <w:rPr>
          <w:rFonts w:hint="eastAsia"/>
          <w:color w:val="auto"/>
        </w:rPr>
        <w:t>规划单位：江苏省海安高新技术产业开发区管理委员会</w:t>
      </w:r>
    </w:p>
    <w:p>
      <w:pPr>
        <w:pStyle w:val="24"/>
        <w:rPr>
          <w:color w:val="auto"/>
        </w:rPr>
      </w:pPr>
      <w:r>
        <w:rPr>
          <w:rFonts w:hint="eastAsia"/>
          <w:color w:val="auto"/>
        </w:rPr>
        <w:t>编制单位：江苏环保产业技术研究院股份公司</w:t>
      </w:r>
    </w:p>
    <w:p>
      <w:pPr>
        <w:pStyle w:val="24"/>
        <w:rPr>
          <w:color w:val="auto"/>
        </w:rPr>
      </w:pPr>
      <w:r>
        <w:rPr>
          <w:rFonts w:hint="eastAsia"/>
          <w:color w:val="auto"/>
        </w:rPr>
        <w:t>二〇二</w:t>
      </w:r>
      <w:r>
        <w:rPr>
          <w:rFonts w:hint="eastAsia"/>
          <w:color w:val="auto"/>
          <w:lang w:val="en-US" w:eastAsia="zh-CN"/>
        </w:rPr>
        <w:t>二</w:t>
      </w:r>
      <w:r>
        <w:rPr>
          <w:rFonts w:hint="eastAsia"/>
          <w:color w:val="auto"/>
        </w:rPr>
        <w:t xml:space="preserve">年 </w:t>
      </w:r>
      <w:r>
        <w:rPr>
          <w:rFonts w:hint="eastAsia"/>
          <w:color w:val="auto"/>
          <w:lang w:val="en-US" w:eastAsia="zh-CN"/>
        </w:rPr>
        <w:t>一</w:t>
      </w:r>
      <w:r>
        <w:rPr>
          <w:rFonts w:hint="eastAsia"/>
          <w:color w:val="auto"/>
        </w:rPr>
        <w:t>月</w:t>
      </w:r>
    </w:p>
    <w:p>
      <w:pPr>
        <w:rPr>
          <w:color w:val="auto"/>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p>
    <w:p>
      <w:pPr>
        <w:pStyle w:val="24"/>
        <w:rPr>
          <w:color w:val="auto"/>
        </w:rPr>
      </w:pPr>
      <w:r>
        <w:rPr>
          <w:rFonts w:hint="eastAsia"/>
          <w:color w:val="auto"/>
        </w:rPr>
        <w:t>目  录</w:t>
      </w:r>
    </w:p>
    <w:p>
      <w:pPr>
        <w:pStyle w:val="16"/>
        <w:tabs>
          <w:tab w:val="right" w:leader="dot" w:pos="8311"/>
        </w:tabs>
      </w:pPr>
      <w:r>
        <w:rPr>
          <w:color w:val="auto"/>
        </w:rPr>
        <w:fldChar w:fldCharType="begin"/>
      </w:r>
      <w:r>
        <w:rPr>
          <w:color w:val="auto"/>
        </w:rPr>
        <w:instrText xml:space="preserve">TOC \o "1-2" \h \u </w:instrText>
      </w:r>
      <w:r>
        <w:rPr>
          <w:color w:val="auto"/>
        </w:rPr>
        <w:fldChar w:fldCharType="separate"/>
      </w:r>
      <w:r>
        <w:rPr>
          <w:color w:val="auto"/>
        </w:rPr>
        <w:fldChar w:fldCharType="begin"/>
      </w:r>
      <w:r>
        <w:instrText xml:space="preserve"> HYPERLINK \l _Toc23440 </w:instrText>
      </w:r>
      <w:r>
        <w:fldChar w:fldCharType="separate"/>
      </w:r>
      <w:r>
        <w:rPr>
          <w:rFonts w:hint="default"/>
        </w:rPr>
        <w:t xml:space="preserve">1. </w:t>
      </w:r>
      <w:r>
        <w:rPr>
          <w:rFonts w:hint="eastAsia"/>
        </w:rPr>
        <w:t>任务由来</w:t>
      </w:r>
      <w:r>
        <w:tab/>
      </w:r>
      <w:r>
        <w:fldChar w:fldCharType="begin"/>
      </w:r>
      <w:r>
        <w:instrText xml:space="preserve"> PAGEREF _Toc23440 \h </w:instrText>
      </w:r>
      <w:r>
        <w:fldChar w:fldCharType="separate"/>
      </w:r>
      <w:r>
        <w:t>1</w:t>
      </w:r>
      <w:r>
        <w:fldChar w:fldCharType="end"/>
      </w:r>
      <w:r>
        <w:rPr>
          <w:color w:val="auto"/>
        </w:rPr>
        <w:fldChar w:fldCharType="end"/>
      </w:r>
    </w:p>
    <w:p>
      <w:pPr>
        <w:pStyle w:val="16"/>
        <w:tabs>
          <w:tab w:val="right" w:leader="dot" w:pos="8311"/>
        </w:tabs>
      </w:pPr>
      <w:r>
        <w:rPr>
          <w:color w:val="auto"/>
        </w:rPr>
        <w:fldChar w:fldCharType="begin"/>
      </w:r>
      <w:r>
        <w:instrText xml:space="preserve"> HYPERLINK \l _Toc29681 </w:instrText>
      </w:r>
      <w:r>
        <w:fldChar w:fldCharType="separate"/>
      </w:r>
      <w:r>
        <w:rPr>
          <w:rFonts w:hint="default"/>
        </w:rPr>
        <w:t xml:space="preserve">2. </w:t>
      </w:r>
      <w:r>
        <w:rPr>
          <w:rFonts w:hint="eastAsia"/>
          <w:lang w:val="en-US" w:eastAsia="zh-CN"/>
        </w:rPr>
        <w:t>规划概述及协调性分析</w:t>
      </w:r>
      <w:r>
        <w:tab/>
      </w:r>
      <w:r>
        <w:fldChar w:fldCharType="begin"/>
      </w:r>
      <w:r>
        <w:instrText xml:space="preserve"> PAGEREF _Toc29681 \h </w:instrText>
      </w:r>
      <w:r>
        <w:fldChar w:fldCharType="separate"/>
      </w:r>
      <w:r>
        <w:t>3</w:t>
      </w:r>
      <w:r>
        <w:fldChar w:fldCharType="end"/>
      </w:r>
      <w:r>
        <w:rPr>
          <w:color w:val="auto"/>
        </w:rPr>
        <w:fldChar w:fldCharType="end"/>
      </w:r>
    </w:p>
    <w:p>
      <w:pPr>
        <w:pStyle w:val="17"/>
        <w:tabs>
          <w:tab w:val="right" w:leader="dot" w:pos="8311"/>
        </w:tabs>
      </w:pPr>
      <w:r>
        <w:rPr>
          <w:color w:val="auto"/>
        </w:rPr>
        <w:fldChar w:fldCharType="begin"/>
      </w:r>
      <w:r>
        <w:instrText xml:space="preserve"> HYPERLINK \l _Toc4702 </w:instrText>
      </w:r>
      <w:r>
        <w:fldChar w:fldCharType="separate"/>
      </w:r>
      <w:r>
        <w:rPr>
          <w:rFonts w:hint="default"/>
        </w:rPr>
        <w:t xml:space="preserve">2.1. </w:t>
      </w:r>
      <w:r>
        <w:rPr>
          <w:rFonts w:hint="eastAsia"/>
        </w:rPr>
        <w:t>规划概述</w:t>
      </w:r>
      <w:r>
        <w:tab/>
      </w:r>
      <w:r>
        <w:fldChar w:fldCharType="begin"/>
      </w:r>
      <w:r>
        <w:instrText xml:space="preserve"> PAGEREF _Toc4702 \h </w:instrText>
      </w:r>
      <w:r>
        <w:fldChar w:fldCharType="separate"/>
      </w:r>
      <w:r>
        <w:t>3</w:t>
      </w:r>
      <w:r>
        <w:fldChar w:fldCharType="end"/>
      </w:r>
      <w:r>
        <w:rPr>
          <w:color w:val="auto"/>
        </w:rPr>
        <w:fldChar w:fldCharType="end"/>
      </w:r>
    </w:p>
    <w:p>
      <w:pPr>
        <w:pStyle w:val="17"/>
        <w:tabs>
          <w:tab w:val="right" w:leader="dot" w:pos="8311"/>
        </w:tabs>
      </w:pPr>
      <w:r>
        <w:rPr>
          <w:color w:val="auto"/>
        </w:rPr>
        <w:fldChar w:fldCharType="begin"/>
      </w:r>
      <w:r>
        <w:instrText xml:space="preserve"> HYPERLINK \l _Toc7772 </w:instrText>
      </w:r>
      <w:r>
        <w:fldChar w:fldCharType="separate"/>
      </w:r>
      <w:r>
        <w:rPr>
          <w:rFonts w:hint="default"/>
        </w:rPr>
        <w:t xml:space="preserve">2.2. </w:t>
      </w:r>
      <w:r>
        <w:rPr>
          <w:rFonts w:hint="eastAsia"/>
        </w:rPr>
        <w:t>规划协调性分析</w:t>
      </w:r>
      <w:r>
        <w:tab/>
      </w:r>
      <w:r>
        <w:fldChar w:fldCharType="begin"/>
      </w:r>
      <w:r>
        <w:instrText xml:space="preserve"> PAGEREF _Toc7772 \h </w:instrText>
      </w:r>
      <w:r>
        <w:fldChar w:fldCharType="separate"/>
      </w:r>
      <w:r>
        <w:t>9</w:t>
      </w:r>
      <w:r>
        <w:fldChar w:fldCharType="end"/>
      </w:r>
      <w:r>
        <w:rPr>
          <w:color w:val="auto"/>
        </w:rPr>
        <w:fldChar w:fldCharType="end"/>
      </w:r>
    </w:p>
    <w:p>
      <w:pPr>
        <w:pStyle w:val="16"/>
        <w:tabs>
          <w:tab w:val="right" w:leader="dot" w:pos="8311"/>
        </w:tabs>
      </w:pPr>
      <w:r>
        <w:rPr>
          <w:color w:val="auto"/>
        </w:rPr>
        <w:fldChar w:fldCharType="begin"/>
      </w:r>
      <w:r>
        <w:instrText xml:space="preserve"> HYPERLINK \l _Toc10950 </w:instrText>
      </w:r>
      <w:r>
        <w:fldChar w:fldCharType="separate"/>
      </w:r>
      <w:r>
        <w:rPr>
          <w:rFonts w:hint="default"/>
        </w:rPr>
        <w:t xml:space="preserve">3. </w:t>
      </w:r>
      <w:r>
        <w:rPr>
          <w:rFonts w:hint="eastAsia"/>
        </w:rPr>
        <w:t>区域开发现状</w:t>
      </w:r>
      <w:r>
        <w:tab/>
      </w:r>
      <w:r>
        <w:fldChar w:fldCharType="begin"/>
      </w:r>
      <w:r>
        <w:instrText xml:space="preserve"> PAGEREF _Toc10950 \h </w:instrText>
      </w:r>
      <w:r>
        <w:fldChar w:fldCharType="separate"/>
      </w:r>
      <w:r>
        <w:t>11</w:t>
      </w:r>
      <w:r>
        <w:fldChar w:fldCharType="end"/>
      </w:r>
      <w:r>
        <w:rPr>
          <w:color w:val="auto"/>
        </w:rPr>
        <w:fldChar w:fldCharType="end"/>
      </w:r>
    </w:p>
    <w:p>
      <w:pPr>
        <w:pStyle w:val="17"/>
        <w:tabs>
          <w:tab w:val="right" w:leader="dot" w:pos="8311"/>
        </w:tabs>
      </w:pPr>
      <w:r>
        <w:rPr>
          <w:color w:val="auto"/>
        </w:rPr>
        <w:fldChar w:fldCharType="begin"/>
      </w:r>
      <w:r>
        <w:instrText xml:space="preserve"> HYPERLINK \l _Toc458 </w:instrText>
      </w:r>
      <w:r>
        <w:fldChar w:fldCharType="separate"/>
      </w:r>
      <w:r>
        <w:rPr>
          <w:rFonts w:hint="default"/>
          <w:lang w:val="en-US" w:eastAsia="zh-CN"/>
        </w:rPr>
        <w:t xml:space="preserve">3.1. </w:t>
      </w:r>
      <w:r>
        <w:rPr>
          <w:rFonts w:hint="eastAsia"/>
          <w:lang w:val="en-US" w:eastAsia="zh-CN"/>
        </w:rPr>
        <w:t>区域开发现状</w:t>
      </w:r>
      <w:r>
        <w:tab/>
      </w:r>
      <w:r>
        <w:fldChar w:fldCharType="begin"/>
      </w:r>
      <w:r>
        <w:instrText xml:space="preserve"> PAGEREF _Toc458 \h </w:instrText>
      </w:r>
      <w:r>
        <w:fldChar w:fldCharType="separate"/>
      </w:r>
      <w:r>
        <w:t>11</w:t>
      </w:r>
      <w:r>
        <w:fldChar w:fldCharType="end"/>
      </w:r>
      <w:r>
        <w:rPr>
          <w:color w:val="auto"/>
        </w:rPr>
        <w:fldChar w:fldCharType="end"/>
      </w:r>
    </w:p>
    <w:p>
      <w:pPr>
        <w:pStyle w:val="17"/>
        <w:tabs>
          <w:tab w:val="right" w:leader="dot" w:pos="8311"/>
        </w:tabs>
      </w:pPr>
      <w:r>
        <w:rPr>
          <w:color w:val="auto"/>
        </w:rPr>
        <w:fldChar w:fldCharType="begin"/>
      </w:r>
      <w:r>
        <w:instrText xml:space="preserve"> HYPERLINK \l _Toc8103 </w:instrText>
      </w:r>
      <w:r>
        <w:fldChar w:fldCharType="separate"/>
      </w:r>
      <w:r>
        <w:rPr>
          <w:rFonts w:hint="default"/>
          <w:lang w:val="en-US" w:eastAsia="zh-CN"/>
        </w:rPr>
        <w:t xml:space="preserve">3.2. </w:t>
      </w:r>
      <w:r>
        <w:rPr>
          <w:rFonts w:hint="eastAsia"/>
          <w:lang w:val="en-US" w:eastAsia="zh-CN"/>
        </w:rPr>
        <w:t>环境质量现状</w:t>
      </w:r>
      <w:r>
        <w:tab/>
      </w:r>
      <w:r>
        <w:fldChar w:fldCharType="begin"/>
      </w:r>
      <w:r>
        <w:instrText xml:space="preserve"> PAGEREF _Toc8103 \h </w:instrText>
      </w:r>
      <w:r>
        <w:fldChar w:fldCharType="separate"/>
      </w:r>
      <w:r>
        <w:t>11</w:t>
      </w:r>
      <w:r>
        <w:fldChar w:fldCharType="end"/>
      </w:r>
      <w:r>
        <w:rPr>
          <w:color w:val="auto"/>
        </w:rPr>
        <w:fldChar w:fldCharType="end"/>
      </w:r>
    </w:p>
    <w:p>
      <w:pPr>
        <w:pStyle w:val="17"/>
        <w:tabs>
          <w:tab w:val="right" w:leader="dot" w:pos="8311"/>
        </w:tabs>
      </w:pPr>
      <w:r>
        <w:rPr>
          <w:color w:val="auto"/>
        </w:rPr>
        <w:fldChar w:fldCharType="begin"/>
      </w:r>
      <w:r>
        <w:instrText xml:space="preserve"> HYPERLINK \l _Toc22085 </w:instrText>
      </w:r>
      <w:r>
        <w:fldChar w:fldCharType="separate"/>
      </w:r>
      <w:r>
        <w:rPr>
          <w:rFonts w:hint="default"/>
          <w:lang w:val="en-US" w:eastAsia="zh-CN"/>
        </w:rPr>
        <w:t xml:space="preserve">3.3. </w:t>
      </w:r>
      <w:r>
        <w:rPr>
          <w:rFonts w:hint="eastAsia"/>
          <w:lang w:val="en-US" w:eastAsia="zh-CN"/>
        </w:rPr>
        <w:t>主要</w:t>
      </w:r>
      <w:r>
        <w:rPr>
          <w:rFonts w:hint="default"/>
          <w:lang w:val="en-US" w:eastAsia="zh-CN"/>
        </w:rPr>
        <w:t>环境问题及制约因素</w:t>
      </w:r>
      <w:r>
        <w:tab/>
      </w:r>
      <w:r>
        <w:fldChar w:fldCharType="begin"/>
      </w:r>
      <w:r>
        <w:instrText xml:space="preserve"> PAGEREF _Toc22085 \h </w:instrText>
      </w:r>
      <w:r>
        <w:fldChar w:fldCharType="separate"/>
      </w:r>
      <w:r>
        <w:t>13</w:t>
      </w:r>
      <w:r>
        <w:fldChar w:fldCharType="end"/>
      </w:r>
      <w:r>
        <w:rPr>
          <w:color w:val="auto"/>
        </w:rPr>
        <w:fldChar w:fldCharType="end"/>
      </w:r>
    </w:p>
    <w:p>
      <w:pPr>
        <w:pStyle w:val="16"/>
        <w:tabs>
          <w:tab w:val="right" w:leader="dot" w:pos="8311"/>
        </w:tabs>
      </w:pPr>
      <w:r>
        <w:rPr>
          <w:color w:val="auto"/>
        </w:rPr>
        <w:fldChar w:fldCharType="begin"/>
      </w:r>
      <w:r>
        <w:instrText xml:space="preserve"> HYPERLINK \l _Toc22272 </w:instrText>
      </w:r>
      <w:r>
        <w:fldChar w:fldCharType="separate"/>
      </w:r>
      <w:r>
        <w:rPr>
          <w:rFonts w:hint="default"/>
        </w:rPr>
        <w:t xml:space="preserve">4. </w:t>
      </w:r>
      <w:r>
        <w:rPr>
          <w:rFonts w:hint="eastAsia"/>
        </w:rPr>
        <w:t>环境影响预测与评价</w:t>
      </w:r>
      <w:r>
        <w:tab/>
      </w:r>
      <w:r>
        <w:fldChar w:fldCharType="begin"/>
      </w:r>
      <w:r>
        <w:instrText xml:space="preserve"> PAGEREF _Toc22272 \h </w:instrText>
      </w:r>
      <w:r>
        <w:fldChar w:fldCharType="separate"/>
      </w:r>
      <w:r>
        <w:t>15</w:t>
      </w:r>
      <w:r>
        <w:fldChar w:fldCharType="end"/>
      </w:r>
      <w:r>
        <w:rPr>
          <w:color w:val="auto"/>
        </w:rPr>
        <w:fldChar w:fldCharType="end"/>
      </w:r>
    </w:p>
    <w:p>
      <w:pPr>
        <w:pStyle w:val="16"/>
        <w:tabs>
          <w:tab w:val="right" w:leader="dot" w:pos="8311"/>
        </w:tabs>
      </w:pPr>
      <w:r>
        <w:rPr>
          <w:color w:val="auto"/>
        </w:rPr>
        <w:fldChar w:fldCharType="begin"/>
      </w:r>
      <w:r>
        <w:instrText xml:space="preserve"> HYPERLINK \l _Toc10110 </w:instrText>
      </w:r>
      <w:r>
        <w:fldChar w:fldCharType="separate"/>
      </w:r>
      <w:r>
        <w:rPr>
          <w:rFonts w:hint="default"/>
        </w:rPr>
        <w:t xml:space="preserve">5. </w:t>
      </w:r>
      <w:r>
        <w:rPr>
          <w:rFonts w:hint="eastAsia"/>
          <w:lang w:val="en-US" w:eastAsia="zh-CN"/>
        </w:rPr>
        <w:t>规划方案综合论证和优化调整建议</w:t>
      </w:r>
      <w:r>
        <w:tab/>
      </w:r>
      <w:r>
        <w:fldChar w:fldCharType="begin"/>
      </w:r>
      <w:r>
        <w:instrText xml:space="preserve"> PAGEREF _Toc10110 \h </w:instrText>
      </w:r>
      <w:r>
        <w:fldChar w:fldCharType="separate"/>
      </w:r>
      <w:r>
        <w:t>18</w:t>
      </w:r>
      <w:r>
        <w:fldChar w:fldCharType="end"/>
      </w:r>
      <w:r>
        <w:rPr>
          <w:color w:val="auto"/>
        </w:rPr>
        <w:fldChar w:fldCharType="end"/>
      </w:r>
    </w:p>
    <w:p>
      <w:pPr>
        <w:pStyle w:val="17"/>
        <w:tabs>
          <w:tab w:val="right" w:leader="dot" w:pos="8311"/>
        </w:tabs>
      </w:pPr>
      <w:r>
        <w:rPr>
          <w:color w:val="auto"/>
        </w:rPr>
        <w:fldChar w:fldCharType="begin"/>
      </w:r>
      <w:r>
        <w:instrText xml:space="preserve"> HYPERLINK \l _Toc15523 </w:instrText>
      </w:r>
      <w:r>
        <w:fldChar w:fldCharType="separate"/>
      </w:r>
      <w:r>
        <w:rPr>
          <w:rFonts w:hint="default" w:ascii="Times New Roman" w:hAnsi="Times New Roman" w:eastAsia="宋体" w:cstheme="minorBidi"/>
          <w:kern w:val="2"/>
          <w:szCs w:val="24"/>
          <w:lang w:val="en-US" w:eastAsia="zh-CN" w:bidi="ar-SA"/>
        </w:rPr>
        <w:t xml:space="preserve">5.1. </w:t>
      </w:r>
      <w:r>
        <w:rPr>
          <w:rFonts w:hint="eastAsia" w:ascii="Times New Roman" w:hAnsi="Times New Roman" w:eastAsia="宋体" w:cstheme="minorBidi"/>
          <w:kern w:val="2"/>
          <w:szCs w:val="24"/>
          <w:lang w:val="en-US" w:eastAsia="zh-CN" w:bidi="ar-SA"/>
        </w:rPr>
        <w:t>规划方案合理性论证</w:t>
      </w:r>
      <w:r>
        <w:tab/>
      </w:r>
      <w:r>
        <w:fldChar w:fldCharType="begin"/>
      </w:r>
      <w:r>
        <w:instrText xml:space="preserve"> PAGEREF _Toc15523 \h </w:instrText>
      </w:r>
      <w:r>
        <w:fldChar w:fldCharType="separate"/>
      </w:r>
      <w:r>
        <w:t>18</w:t>
      </w:r>
      <w:r>
        <w:fldChar w:fldCharType="end"/>
      </w:r>
      <w:r>
        <w:rPr>
          <w:color w:val="auto"/>
        </w:rPr>
        <w:fldChar w:fldCharType="end"/>
      </w:r>
    </w:p>
    <w:p>
      <w:pPr>
        <w:pStyle w:val="17"/>
        <w:tabs>
          <w:tab w:val="right" w:leader="dot" w:pos="8311"/>
        </w:tabs>
      </w:pPr>
      <w:r>
        <w:rPr>
          <w:color w:val="auto"/>
        </w:rPr>
        <w:fldChar w:fldCharType="begin"/>
      </w:r>
      <w:r>
        <w:instrText xml:space="preserve"> HYPERLINK \l _Toc11587 </w:instrText>
      </w:r>
      <w:r>
        <w:fldChar w:fldCharType="separate"/>
      </w:r>
      <w:r>
        <w:rPr>
          <w:rFonts w:hint="default" w:ascii="Times New Roman" w:hAnsi="Times New Roman" w:eastAsia="宋体" w:cstheme="minorBidi"/>
          <w:kern w:val="2"/>
          <w:szCs w:val="24"/>
          <w:lang w:val="en-US" w:eastAsia="zh-CN" w:bidi="ar-SA"/>
        </w:rPr>
        <w:t xml:space="preserve">5.2. </w:t>
      </w:r>
      <w:r>
        <w:rPr>
          <w:rFonts w:hint="eastAsia" w:ascii="Times New Roman" w:hAnsi="Times New Roman" w:eastAsia="宋体" w:cstheme="minorBidi"/>
          <w:kern w:val="2"/>
          <w:szCs w:val="24"/>
          <w:lang w:val="en-US" w:eastAsia="zh-CN" w:bidi="ar-SA"/>
        </w:rPr>
        <w:t>规划优化调整建议</w:t>
      </w:r>
      <w:r>
        <w:tab/>
      </w:r>
      <w:r>
        <w:fldChar w:fldCharType="begin"/>
      </w:r>
      <w:r>
        <w:instrText xml:space="preserve"> PAGEREF _Toc11587 \h </w:instrText>
      </w:r>
      <w:r>
        <w:fldChar w:fldCharType="separate"/>
      </w:r>
      <w:r>
        <w:t>22</w:t>
      </w:r>
      <w:r>
        <w:fldChar w:fldCharType="end"/>
      </w:r>
      <w:r>
        <w:rPr>
          <w:color w:val="auto"/>
        </w:rPr>
        <w:fldChar w:fldCharType="end"/>
      </w:r>
    </w:p>
    <w:p>
      <w:pPr>
        <w:pStyle w:val="16"/>
        <w:tabs>
          <w:tab w:val="right" w:leader="dot" w:pos="8311"/>
        </w:tabs>
      </w:pPr>
      <w:r>
        <w:rPr>
          <w:color w:val="auto"/>
        </w:rPr>
        <w:fldChar w:fldCharType="begin"/>
      </w:r>
      <w:r>
        <w:instrText xml:space="preserve"> HYPERLINK \l _Toc16231 </w:instrText>
      </w:r>
      <w:r>
        <w:fldChar w:fldCharType="separate"/>
      </w:r>
      <w:r>
        <w:rPr>
          <w:rFonts w:hint="default"/>
          <w:lang w:val="en-US" w:eastAsia="zh-CN"/>
        </w:rPr>
        <w:t xml:space="preserve">6. </w:t>
      </w:r>
      <w:r>
        <w:rPr>
          <w:rFonts w:hint="eastAsia"/>
        </w:rPr>
        <w:t>环境影响减缓措施</w:t>
      </w:r>
      <w:r>
        <w:rPr>
          <w:rFonts w:hint="eastAsia"/>
          <w:lang w:val="en-US" w:eastAsia="zh-CN"/>
        </w:rPr>
        <w:t>及生态环境准入要求</w:t>
      </w:r>
      <w:r>
        <w:tab/>
      </w:r>
      <w:r>
        <w:fldChar w:fldCharType="begin"/>
      </w:r>
      <w:r>
        <w:instrText xml:space="preserve"> PAGEREF _Toc16231 \h </w:instrText>
      </w:r>
      <w:r>
        <w:fldChar w:fldCharType="separate"/>
      </w:r>
      <w:r>
        <w:t>23</w:t>
      </w:r>
      <w:r>
        <w:fldChar w:fldCharType="end"/>
      </w:r>
      <w:r>
        <w:rPr>
          <w:color w:val="auto"/>
        </w:rPr>
        <w:fldChar w:fldCharType="end"/>
      </w:r>
    </w:p>
    <w:p>
      <w:pPr>
        <w:pStyle w:val="17"/>
        <w:tabs>
          <w:tab w:val="right" w:leader="dot" w:pos="8311"/>
        </w:tabs>
      </w:pPr>
      <w:r>
        <w:rPr>
          <w:color w:val="auto"/>
        </w:rPr>
        <w:fldChar w:fldCharType="begin"/>
      </w:r>
      <w:r>
        <w:instrText xml:space="preserve"> HYPERLINK \l _Toc16485 </w:instrText>
      </w:r>
      <w:r>
        <w:fldChar w:fldCharType="separate"/>
      </w:r>
      <w:r>
        <w:rPr>
          <w:rFonts w:hint="default"/>
          <w:lang w:val="en-US" w:eastAsia="zh-CN"/>
        </w:rPr>
        <w:t xml:space="preserve">6.1. </w:t>
      </w:r>
      <w:r>
        <w:rPr>
          <w:rFonts w:hint="eastAsia"/>
          <w:lang w:val="en-US" w:eastAsia="zh-CN"/>
        </w:rPr>
        <w:t>环境影响减缓措施</w:t>
      </w:r>
      <w:r>
        <w:tab/>
      </w:r>
      <w:r>
        <w:fldChar w:fldCharType="begin"/>
      </w:r>
      <w:r>
        <w:instrText xml:space="preserve"> PAGEREF _Toc16485 \h </w:instrText>
      </w:r>
      <w:r>
        <w:fldChar w:fldCharType="separate"/>
      </w:r>
      <w:r>
        <w:t>23</w:t>
      </w:r>
      <w:r>
        <w:fldChar w:fldCharType="end"/>
      </w:r>
      <w:r>
        <w:rPr>
          <w:color w:val="auto"/>
        </w:rPr>
        <w:fldChar w:fldCharType="end"/>
      </w:r>
    </w:p>
    <w:p>
      <w:pPr>
        <w:pStyle w:val="17"/>
        <w:tabs>
          <w:tab w:val="right" w:leader="dot" w:pos="8311"/>
        </w:tabs>
      </w:pPr>
      <w:r>
        <w:rPr>
          <w:color w:val="auto"/>
        </w:rPr>
        <w:fldChar w:fldCharType="begin"/>
      </w:r>
      <w:r>
        <w:instrText xml:space="preserve"> HYPERLINK \l _Toc11484 </w:instrText>
      </w:r>
      <w:r>
        <w:fldChar w:fldCharType="separate"/>
      </w:r>
      <w:r>
        <w:rPr>
          <w:rFonts w:hint="default"/>
        </w:rPr>
        <w:t xml:space="preserve">6.2. </w:t>
      </w:r>
      <w:r>
        <w:rPr>
          <w:rFonts w:hint="eastAsia"/>
        </w:rPr>
        <w:t>生态环境准入要求</w:t>
      </w:r>
      <w:r>
        <w:tab/>
      </w:r>
      <w:r>
        <w:fldChar w:fldCharType="begin"/>
      </w:r>
      <w:r>
        <w:instrText xml:space="preserve"> PAGEREF _Toc11484 \h </w:instrText>
      </w:r>
      <w:r>
        <w:fldChar w:fldCharType="separate"/>
      </w:r>
      <w:r>
        <w:t>25</w:t>
      </w:r>
      <w:r>
        <w:fldChar w:fldCharType="end"/>
      </w:r>
      <w:r>
        <w:rPr>
          <w:color w:val="auto"/>
        </w:rPr>
        <w:fldChar w:fldCharType="end"/>
      </w:r>
    </w:p>
    <w:p>
      <w:pPr>
        <w:pStyle w:val="16"/>
        <w:tabs>
          <w:tab w:val="right" w:leader="dot" w:pos="8311"/>
        </w:tabs>
      </w:pPr>
      <w:r>
        <w:rPr>
          <w:color w:val="auto"/>
        </w:rPr>
        <w:fldChar w:fldCharType="begin"/>
      </w:r>
      <w:r>
        <w:instrText xml:space="preserve"> HYPERLINK \l _Toc6160 </w:instrText>
      </w:r>
      <w:r>
        <w:fldChar w:fldCharType="separate"/>
      </w:r>
      <w:r>
        <w:rPr>
          <w:rFonts w:hint="default"/>
        </w:rPr>
        <w:t xml:space="preserve">7. </w:t>
      </w:r>
      <w:r>
        <w:rPr>
          <w:rFonts w:hint="eastAsia"/>
        </w:rPr>
        <w:t>总结论</w:t>
      </w:r>
      <w:r>
        <w:tab/>
      </w:r>
      <w:r>
        <w:fldChar w:fldCharType="begin"/>
      </w:r>
      <w:r>
        <w:instrText xml:space="preserve"> PAGEREF _Toc6160 \h </w:instrText>
      </w:r>
      <w:r>
        <w:fldChar w:fldCharType="separate"/>
      </w:r>
      <w:r>
        <w:t>30</w:t>
      </w:r>
      <w:r>
        <w:fldChar w:fldCharType="end"/>
      </w:r>
      <w:r>
        <w:rPr>
          <w:color w:val="auto"/>
        </w:rPr>
        <w:fldChar w:fldCharType="end"/>
      </w:r>
    </w:p>
    <w:p>
      <w:pPr>
        <w:pStyle w:val="4"/>
        <w:bidi w:val="0"/>
        <w:rPr>
          <w:color w:val="auto"/>
        </w:rPr>
      </w:pPr>
      <w:r>
        <w:rPr>
          <w:color w:val="auto"/>
        </w:rPr>
        <w:fldChar w:fldCharType="end"/>
      </w:r>
    </w:p>
    <w:p>
      <w:pPr>
        <w:rPr>
          <w:color w:val="auto"/>
        </w:rPr>
        <w:sectPr>
          <w:headerReference r:id="rId3" w:type="default"/>
          <w:footerReference r:id="rId4" w:type="default"/>
          <w:pgSz w:w="11905" w:h="16838"/>
          <w:pgMar w:top="1440" w:right="1797" w:bottom="1440" w:left="1797" w:header="850" w:footer="992" w:gutter="0"/>
          <w:pgBorders>
            <w:top w:val="none" w:sz="0" w:space="0"/>
            <w:left w:val="none" w:sz="0" w:space="0"/>
            <w:bottom w:val="none" w:sz="0" w:space="0"/>
            <w:right w:val="none" w:sz="0" w:space="0"/>
          </w:pgBorders>
          <w:pgNumType w:fmt="decimal" w:start="1"/>
          <w:cols w:space="0" w:num="1"/>
          <w:docGrid w:linePitch="312" w:charSpace="0"/>
        </w:sectPr>
      </w:pPr>
    </w:p>
    <w:p>
      <w:pPr>
        <w:pStyle w:val="2"/>
        <w:bidi w:val="0"/>
        <w:rPr>
          <w:color w:val="auto"/>
        </w:rPr>
      </w:pPr>
      <w:bookmarkStart w:id="0" w:name="_Toc23440"/>
      <w:r>
        <w:rPr>
          <w:rFonts w:hint="eastAsia"/>
          <w:color w:val="auto"/>
        </w:rPr>
        <w:t>任务由来</w:t>
      </w:r>
      <w:bookmarkEnd w:id="0"/>
    </w:p>
    <w:p>
      <w:pPr>
        <w:pStyle w:val="4"/>
        <w:rPr>
          <w:rFonts w:hint="default"/>
          <w:lang w:val="en-US" w:eastAsia="zh-CN"/>
        </w:rPr>
      </w:pPr>
      <w:r>
        <w:rPr>
          <w:rFonts w:hint="default"/>
          <w:lang w:val="en-US" w:eastAsia="zh-CN"/>
        </w:rPr>
        <w:t>2012年，江苏省人民政府批准筹建江苏省海安高新技术产业开发区（苏政复〔2012〕65号）。2018年9月，海安高新区被批准为省级开发区（苏政复〔2018〕82号）</w:t>
      </w:r>
      <w:r>
        <w:rPr>
          <w:rFonts w:hint="eastAsia"/>
          <w:lang w:val="en-US" w:eastAsia="zh-CN"/>
        </w:rPr>
        <w:t>，</w:t>
      </w:r>
      <w:r>
        <w:rPr>
          <w:rFonts w:hint="default"/>
          <w:lang w:val="en-US" w:eastAsia="zh-CN"/>
        </w:rPr>
        <w:t>为适应省级高新区提升发展的管理需求，高新区管委会委托江苏省城市规划设计研究院，编制了《海安高新技术产业开发区发展规划（2017-2030）》，规划范围西至蚂蝗洞河-东护焦河-204国道，南至新长铁路，东至如海运河-永安路，北至老通扬运河，总面积45.92km</w:t>
      </w:r>
      <w:r>
        <w:rPr>
          <w:rFonts w:hint="default"/>
          <w:vertAlign w:val="superscript"/>
          <w:lang w:val="en-US" w:eastAsia="zh-CN"/>
        </w:rPr>
        <w:t>2</w:t>
      </w:r>
      <w:r>
        <w:rPr>
          <w:rFonts w:hint="eastAsia"/>
          <w:vertAlign w:val="baseline"/>
          <w:lang w:val="en-US" w:eastAsia="zh-CN"/>
        </w:rPr>
        <w:t>，</w:t>
      </w:r>
      <w:r>
        <w:rPr>
          <w:rFonts w:hint="default"/>
          <w:lang w:val="en-US" w:eastAsia="zh-CN"/>
        </w:rPr>
        <w:t>包括了省级批复范围（6.039 km</w:t>
      </w:r>
      <w:r>
        <w:rPr>
          <w:rFonts w:hint="default"/>
          <w:vertAlign w:val="superscript"/>
          <w:lang w:val="en-US" w:eastAsia="zh-CN"/>
        </w:rPr>
        <w:t>2</w:t>
      </w:r>
      <w:r>
        <w:rPr>
          <w:rFonts w:hint="default"/>
          <w:lang w:val="en-US" w:eastAsia="zh-CN"/>
        </w:rPr>
        <w:t>）和电子信息产业园区，</w:t>
      </w:r>
      <w:r>
        <w:rPr>
          <w:rFonts w:hint="eastAsia"/>
          <w:lang w:val="en-US" w:eastAsia="zh-CN"/>
        </w:rPr>
        <w:t>并</w:t>
      </w:r>
      <w:r>
        <w:rPr>
          <w:rFonts w:hint="default"/>
          <w:lang w:val="en-US" w:eastAsia="zh-CN"/>
        </w:rPr>
        <w:t>于2018年获得海安县环保局审查意见（海环审[2018]1号）</w:t>
      </w:r>
      <w:r>
        <w:rPr>
          <w:rFonts w:hint="eastAsia"/>
          <w:lang w:val="en-US" w:eastAsia="zh-CN"/>
        </w:rPr>
        <w:t>，本次规划范围即为该规划环评中的电子信息产业园。</w:t>
      </w:r>
    </w:p>
    <w:p>
      <w:pPr>
        <w:pStyle w:val="4"/>
        <w:rPr>
          <w:rFonts w:hint="default"/>
          <w:lang w:val="en-US" w:eastAsia="zh-CN"/>
        </w:rPr>
      </w:pPr>
      <w:r>
        <w:rPr>
          <w:rFonts w:hint="default"/>
          <w:lang w:val="en-US" w:eastAsia="zh-CN"/>
        </w:rPr>
        <w:t>2019年6月，高新区管委会委托编制园区规划环评（面积45.92km</w:t>
      </w:r>
      <w:r>
        <w:rPr>
          <w:rFonts w:hint="default"/>
          <w:vertAlign w:val="superscript"/>
          <w:lang w:val="en-US" w:eastAsia="zh-CN"/>
        </w:rPr>
        <w:t>2</w:t>
      </w:r>
      <w:r>
        <w:rPr>
          <w:rFonts w:hint="default"/>
          <w:lang w:val="en-US" w:eastAsia="zh-CN"/>
        </w:rPr>
        <w:t>），形成了《江苏省海安高新技术产业开发区开发建设规划环境影响报告书（送审稿）》（2019年6月），拟报送省厅技术审查。</w:t>
      </w:r>
    </w:p>
    <w:p>
      <w:pPr>
        <w:spacing w:line="500" w:lineRule="exact"/>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根据生态环境部《关于进一步加强产业园区规划环境影响评价工作的意见》（环环评[2020]65号）、省厅《关于切实加强产业园区规划环境影响评价工作的通知》（苏环办[2017]140号），开发区省级批复以来，</w:t>
      </w:r>
      <w:r>
        <w:rPr>
          <w:rFonts w:hint="eastAsia" w:ascii="Times New Roman" w:hAnsi="Times New Roman" w:eastAsia="宋体" w:cs="Times New Roman"/>
          <w:sz w:val="24"/>
          <w:szCs w:val="20"/>
          <w:lang w:val="en-US" w:eastAsia="zh-CN"/>
        </w:rPr>
        <w:t>高新区</w:t>
      </w:r>
      <w:r>
        <w:rPr>
          <w:rFonts w:hint="eastAsia" w:ascii="Times New Roman" w:hAnsi="Times New Roman" w:eastAsia="宋体" w:cs="Times New Roman"/>
          <w:sz w:val="24"/>
          <w:szCs w:val="20"/>
        </w:rPr>
        <w:t>管委会于2018年就规划面积</w:t>
      </w:r>
      <w:r>
        <w:rPr>
          <w:rFonts w:ascii="Times New Roman" w:hAnsi="Times New Roman" w:eastAsia="宋体" w:cs="Times New Roman"/>
          <w:sz w:val="24"/>
          <w:szCs w:val="20"/>
        </w:rPr>
        <w:t>45.92</w:t>
      </w:r>
      <w:r>
        <w:rPr>
          <w:rFonts w:hint="eastAsia" w:ascii="Times New Roman" w:hAnsi="Times New Roman" w:eastAsia="宋体" w:cs="Times New Roman"/>
          <w:sz w:val="24"/>
          <w:szCs w:val="20"/>
        </w:rPr>
        <w:t>km</w:t>
      </w:r>
      <w:r>
        <w:rPr>
          <w:rFonts w:hint="eastAsia" w:ascii="Times New Roman" w:hAnsi="Times New Roman" w:eastAsia="宋体" w:cs="Times New Roman"/>
          <w:sz w:val="24"/>
          <w:szCs w:val="20"/>
          <w:vertAlign w:val="superscript"/>
        </w:rPr>
        <w:t>2</w:t>
      </w:r>
      <w:r>
        <w:rPr>
          <w:rFonts w:hint="eastAsia" w:ascii="Times New Roman" w:hAnsi="Times New Roman" w:eastAsia="宋体" w:cs="Times New Roman"/>
          <w:sz w:val="24"/>
          <w:szCs w:val="20"/>
        </w:rPr>
        <w:t>的范围（包括了省级批复范围和电子信息产业园区），委托编制了《江苏省海安高新技术产业开发区开发建设规划环境影响报告书（送审稿）》（2019年6月），规划环评评价范围超出了省级批复的范围面积6.039km</w:t>
      </w:r>
      <w:r>
        <w:rPr>
          <w:rFonts w:hint="eastAsia" w:ascii="Times New Roman" w:hAnsi="Times New Roman" w:eastAsia="宋体" w:cs="Times New Roman"/>
          <w:sz w:val="24"/>
          <w:szCs w:val="20"/>
          <w:vertAlign w:val="superscript"/>
        </w:rPr>
        <w:t>2</w:t>
      </w:r>
      <w:r>
        <w:rPr>
          <w:rFonts w:hint="eastAsia" w:ascii="Times New Roman" w:hAnsi="Times New Roman" w:eastAsia="宋体" w:cs="Times New Roman"/>
          <w:sz w:val="24"/>
          <w:szCs w:val="20"/>
        </w:rPr>
        <w:t>，不具备省厅技术审查条件。</w:t>
      </w:r>
    </w:p>
    <w:p>
      <w:pPr>
        <w:pStyle w:val="4"/>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鉴于规划环评尚未取得省生态环境部门的审查意见，目前高新区各产业园区按照要求拟重新开展规划环评编制工作。</w:t>
      </w:r>
    </w:p>
    <w:p>
      <w:pPr>
        <w:pStyle w:val="4"/>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电子信息产业园为海安市委、市政府高起点、高标准规划的特色产业园，园区涉及金属表面处理电镀功能定位；根据南通市生态文明办《关于在全市各级工业园区（集中区）实施规划环境影响评价的通知》（生态办发[2019]7号）要求，需报送南通市生态环境局技术审查。电子信息产业园规划面积约为</w:t>
      </w:r>
      <w:r>
        <w:rPr>
          <w:rFonts w:hint="eastAsia"/>
        </w:rPr>
        <w:t>550.6公顷，北至胜利河，西至204国道，南至新长铁路，东至如海运河</w:t>
      </w:r>
      <w:r>
        <w:rPr>
          <w:rFonts w:hint="default" w:ascii="Times New Roman" w:hAnsi="Times New Roman" w:eastAsia="宋体" w:cs="Times New Roman"/>
          <w:sz w:val="24"/>
          <w:szCs w:val="20"/>
          <w:lang w:val="en-US" w:eastAsia="zh-CN"/>
        </w:rPr>
        <w:t>，产业定位为电子信息、精密制造产业，配套</w:t>
      </w:r>
      <w:r>
        <w:rPr>
          <w:rFonts w:hint="eastAsia" w:eastAsia="宋体" w:cs="Times New Roman"/>
          <w:sz w:val="24"/>
          <w:szCs w:val="20"/>
          <w:lang w:val="en-US" w:eastAsia="zh-CN"/>
        </w:rPr>
        <w:t>建设</w:t>
      </w:r>
      <w:r>
        <w:rPr>
          <w:rFonts w:hint="default" w:ascii="Times New Roman" w:hAnsi="Times New Roman" w:eastAsia="宋体" w:cs="Times New Roman"/>
          <w:sz w:val="24"/>
          <w:szCs w:val="20"/>
          <w:lang w:val="en-US" w:eastAsia="zh-CN"/>
        </w:rPr>
        <w:t>金属表面处理</w:t>
      </w:r>
      <w:r>
        <w:rPr>
          <w:rFonts w:hint="eastAsia" w:eastAsia="宋体" w:cs="Times New Roman"/>
          <w:sz w:val="24"/>
          <w:szCs w:val="20"/>
          <w:lang w:val="en-US" w:eastAsia="zh-CN"/>
        </w:rPr>
        <w:t>中心项目（工业绿岛项目）</w:t>
      </w:r>
      <w:r>
        <w:rPr>
          <w:rFonts w:hint="default" w:ascii="Times New Roman" w:hAnsi="Times New Roman" w:eastAsia="宋体" w:cs="Times New Roman"/>
          <w:sz w:val="24"/>
          <w:szCs w:val="20"/>
          <w:lang w:val="en-US" w:eastAsia="zh-CN"/>
        </w:rPr>
        <w:t>。</w:t>
      </w:r>
    </w:p>
    <w:p>
      <w:pPr>
        <w:pStyle w:val="4"/>
        <w:ind w:firstLine="480"/>
        <w:rPr>
          <w:rFonts w:eastAsia="宋体" w:cs="Times New Roman"/>
          <w:szCs w:val="20"/>
        </w:rPr>
      </w:pPr>
      <w:r>
        <w:rPr>
          <w:rFonts w:hint="default" w:ascii="Times New Roman" w:hAnsi="Times New Roman" w:eastAsia="宋体" w:cs="Times New Roman"/>
          <w:sz w:val="24"/>
          <w:szCs w:val="20"/>
          <w:lang w:val="en-US" w:eastAsia="zh-CN"/>
        </w:rPr>
        <w:t>根据《中华人民共和国环境影响评价法》、《规划环境影响评价条例》、《关于切实加强产业园区规划环境影响评价工作的通知》（苏环办〔2017〕140号）、《关于进一步加强产业园区规划环境影响评价工作的意见》（环环评〔2020〕65号）要求，江苏省海安高新技术产业开发区管理委员会</w:t>
      </w:r>
      <w:r>
        <w:rPr>
          <w:rFonts w:hint="eastAsia" w:ascii="Times New Roman" w:hAnsi="Times New Roman" w:eastAsia="宋体" w:cs="Times New Roman"/>
          <w:sz w:val="24"/>
          <w:szCs w:val="20"/>
          <w:lang w:val="en-US" w:eastAsia="zh-CN"/>
        </w:rPr>
        <w:t>（简称“海安高新区管委会”）</w:t>
      </w:r>
      <w:r>
        <w:rPr>
          <w:rFonts w:hint="default" w:ascii="Times New Roman" w:hAnsi="Times New Roman" w:eastAsia="宋体" w:cs="Times New Roman"/>
          <w:sz w:val="24"/>
          <w:szCs w:val="20"/>
          <w:lang w:val="en-US" w:eastAsia="zh-CN"/>
        </w:rPr>
        <w:t>委托江苏环保产业技术研究院股份公司开展</w:t>
      </w:r>
      <w:r>
        <w:rPr>
          <w:rFonts w:hint="eastAsia" w:ascii="Times New Roman" w:hAnsi="Times New Roman" w:eastAsia="宋体" w:cs="Times New Roman"/>
          <w:sz w:val="24"/>
          <w:szCs w:val="20"/>
          <w:lang w:val="en-US" w:eastAsia="zh-CN"/>
        </w:rPr>
        <w:t>海安电信</w:t>
      </w:r>
      <w:r>
        <w:rPr>
          <w:rFonts w:hint="default" w:ascii="Times New Roman" w:hAnsi="Times New Roman" w:eastAsia="宋体" w:cs="Times New Roman"/>
          <w:sz w:val="24"/>
          <w:szCs w:val="20"/>
          <w:lang w:val="en-US" w:eastAsia="zh-CN"/>
        </w:rPr>
        <w:t>环境影响评价工作，一方面对</w:t>
      </w:r>
      <w:r>
        <w:rPr>
          <w:rFonts w:hint="eastAsia" w:ascii="Times New Roman" w:hAnsi="Times New Roman" w:eastAsia="宋体" w:cs="Times New Roman"/>
          <w:sz w:val="24"/>
          <w:szCs w:val="20"/>
          <w:lang w:val="en-US" w:eastAsia="zh-CN"/>
        </w:rPr>
        <w:t>电子信息产业园</w:t>
      </w:r>
      <w:r>
        <w:rPr>
          <w:rFonts w:hint="default" w:ascii="Times New Roman" w:hAnsi="Times New Roman" w:eastAsia="宋体" w:cs="Times New Roman"/>
          <w:sz w:val="24"/>
          <w:szCs w:val="20"/>
          <w:lang w:val="en-US" w:eastAsia="zh-CN"/>
        </w:rPr>
        <w:t>的开发历程、环境保护工作和环境影响演变进行回顾，分析</w:t>
      </w:r>
      <w:r>
        <w:rPr>
          <w:rFonts w:hint="eastAsia" w:ascii="Times New Roman" w:hAnsi="Times New Roman" w:eastAsia="宋体" w:cs="Times New Roman"/>
          <w:sz w:val="24"/>
          <w:szCs w:val="20"/>
          <w:lang w:val="en-US" w:eastAsia="zh-CN"/>
        </w:rPr>
        <w:t>园区</w:t>
      </w:r>
      <w:r>
        <w:rPr>
          <w:rFonts w:hint="default" w:ascii="Times New Roman" w:hAnsi="Times New Roman" w:eastAsia="宋体" w:cs="Times New Roman"/>
          <w:sz w:val="24"/>
          <w:szCs w:val="20"/>
          <w:lang w:val="en-US" w:eastAsia="zh-CN"/>
        </w:rPr>
        <w:t>开发导致的主要环境问题；另一方面对规划开发建设可能的环境影响进行分析评价，提出优化调整建议和对策措施。接受委托后，江苏环保产业技术研究院股份公司在</w:t>
      </w:r>
      <w:r>
        <w:rPr>
          <w:rFonts w:hint="eastAsia" w:ascii="Times New Roman" w:hAnsi="Times New Roman" w:eastAsia="宋体" w:cs="Times New Roman"/>
          <w:sz w:val="24"/>
          <w:szCs w:val="20"/>
          <w:lang w:val="en-US" w:eastAsia="zh-CN"/>
        </w:rPr>
        <w:t>海安高新区管委会</w:t>
      </w:r>
      <w:r>
        <w:rPr>
          <w:rFonts w:hint="default" w:ascii="Times New Roman" w:hAnsi="Times New Roman" w:eastAsia="宋体" w:cs="Times New Roman"/>
          <w:sz w:val="24"/>
          <w:szCs w:val="20"/>
          <w:lang w:val="en-US" w:eastAsia="zh-CN"/>
        </w:rPr>
        <w:t>等单位的大力协助下，对该区域进行现场踏勘，收集有关资料，在此基础上编制了《海安市电子信息产业园开发建设规划环境影响报告书》。</w:t>
      </w:r>
    </w:p>
    <w:p>
      <w:pPr>
        <w:pStyle w:val="4"/>
        <w:ind w:firstLine="480"/>
        <w:rPr>
          <w:rFonts w:eastAsia="宋体" w:cs="Times New Roman"/>
          <w:color w:val="auto"/>
          <w:szCs w:val="20"/>
        </w:rPr>
      </w:pPr>
    </w:p>
    <w:p>
      <w:pPr>
        <w:pStyle w:val="4"/>
        <w:ind w:firstLine="480"/>
        <w:rPr>
          <w:rFonts w:eastAsia="宋体" w:cs="Times New Roman"/>
          <w:color w:val="auto"/>
          <w:szCs w:val="20"/>
        </w:rPr>
        <w:sectPr>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
        <w:rPr>
          <w:color w:val="auto"/>
        </w:rPr>
      </w:pPr>
      <w:bookmarkStart w:id="1" w:name="_Toc29681"/>
      <w:r>
        <w:rPr>
          <w:rFonts w:hint="eastAsia"/>
          <w:color w:val="auto"/>
          <w:lang w:val="en-US" w:eastAsia="zh-CN"/>
        </w:rPr>
        <w:t>规划概述及协调性分析</w:t>
      </w:r>
      <w:bookmarkEnd w:id="1"/>
    </w:p>
    <w:p>
      <w:pPr>
        <w:pStyle w:val="3"/>
        <w:rPr>
          <w:color w:val="auto"/>
        </w:rPr>
      </w:pPr>
      <w:bookmarkStart w:id="2" w:name="_Toc4702"/>
      <w:r>
        <w:rPr>
          <w:rFonts w:hint="eastAsia"/>
          <w:color w:val="auto"/>
        </w:rPr>
        <w:t>规划概述</w:t>
      </w:r>
      <w:bookmarkEnd w:id="2"/>
    </w:p>
    <w:p>
      <w:pPr>
        <w:pStyle w:val="5"/>
      </w:pPr>
      <w:r>
        <w:rPr>
          <w:rFonts w:hint="eastAsia"/>
        </w:rPr>
        <w:t>规划范围与期限</w:t>
      </w:r>
    </w:p>
    <w:p>
      <w:pPr>
        <w:pStyle w:val="4"/>
        <w:ind w:firstLine="480"/>
      </w:pPr>
      <w:r>
        <w:rPr>
          <w:rFonts w:hint="eastAsia"/>
        </w:rPr>
        <w:t>1、规划范围</w:t>
      </w:r>
    </w:p>
    <w:p>
      <w:pPr>
        <w:pStyle w:val="4"/>
        <w:bidi w:val="0"/>
        <w:rPr>
          <w:rFonts w:hint="eastAsia"/>
        </w:rPr>
      </w:pPr>
      <w:r>
        <w:rPr>
          <w:rFonts w:hint="eastAsia"/>
        </w:rPr>
        <w:t>电子信息产业园位于海安城区西南部，规划范围面积550.6公顷，北至胜利河，西至204国道，南至新长铁路，东至如海运河。</w:t>
      </w:r>
    </w:p>
    <w:p>
      <w:pPr>
        <w:pStyle w:val="4"/>
        <w:ind w:firstLine="480"/>
      </w:pPr>
      <w:r>
        <w:rPr>
          <w:rFonts w:hint="eastAsia"/>
        </w:rPr>
        <w:t>2、规划期限</w:t>
      </w:r>
    </w:p>
    <w:p>
      <w:pPr>
        <w:pStyle w:val="4"/>
        <w:ind w:firstLine="480"/>
      </w:pPr>
      <w:r>
        <w:rPr>
          <w:rFonts w:hint="eastAsia"/>
        </w:rPr>
        <w:t>本次规划时段为202</w:t>
      </w:r>
      <w:r>
        <w:rPr>
          <w:rFonts w:hint="eastAsia"/>
          <w:lang w:val="en-US" w:eastAsia="zh-CN"/>
        </w:rPr>
        <w:t>1</w:t>
      </w:r>
      <w:r>
        <w:rPr>
          <w:rFonts w:hint="eastAsia"/>
        </w:rPr>
        <w:t>-203</w:t>
      </w:r>
      <w:r>
        <w:rPr>
          <w:rFonts w:hint="eastAsia"/>
          <w:lang w:val="en-US" w:eastAsia="zh-CN"/>
        </w:rPr>
        <w:t>5</w:t>
      </w:r>
      <w:r>
        <w:rPr>
          <w:rFonts w:hint="eastAsia"/>
        </w:rPr>
        <w:t>年，分为近期和远期，其中近期为2021-2025年；远期为2026-203</w:t>
      </w:r>
      <w:r>
        <w:rPr>
          <w:rFonts w:hint="eastAsia"/>
          <w:lang w:val="en-US" w:eastAsia="zh-CN"/>
        </w:rPr>
        <w:t>5</w:t>
      </w:r>
      <w:r>
        <w:rPr>
          <w:rFonts w:hint="eastAsia"/>
        </w:rPr>
        <w:t>年。</w:t>
      </w:r>
    </w:p>
    <w:p>
      <w:pPr>
        <w:pStyle w:val="5"/>
      </w:pPr>
      <w:r>
        <w:rPr>
          <w:rFonts w:hint="eastAsia"/>
        </w:rPr>
        <w:t>功能定位与目标</w:t>
      </w:r>
    </w:p>
    <w:p>
      <w:pPr>
        <w:pStyle w:val="6"/>
      </w:pPr>
      <w:r>
        <w:rPr>
          <w:rFonts w:hint="eastAsia"/>
        </w:rPr>
        <w:t>定位</w:t>
      </w:r>
    </w:p>
    <w:p>
      <w:pPr>
        <w:pStyle w:val="4"/>
        <w:ind w:firstLine="480"/>
        <w:rPr>
          <w:rFonts w:hint="eastAsia"/>
          <w:lang w:val="en-US" w:eastAsia="zh-CN"/>
        </w:rPr>
      </w:pPr>
      <w:r>
        <w:rPr>
          <w:rFonts w:hint="eastAsia"/>
          <w:lang w:val="en-US" w:eastAsia="zh-CN"/>
        </w:rPr>
        <w:t>电子信息产业园将打造海安市电子信息产业聚集与创新基地，成为设施配套齐全、环境一流，综合适应能力强的电子信息产业平台。</w:t>
      </w:r>
    </w:p>
    <w:p>
      <w:pPr>
        <w:pStyle w:val="6"/>
      </w:pPr>
      <w:r>
        <w:rPr>
          <w:rFonts w:hint="eastAsia"/>
          <w:lang w:val="en-US" w:eastAsia="zh-CN"/>
        </w:rPr>
        <w:t>人</w:t>
      </w:r>
      <w:r>
        <w:rPr>
          <w:rFonts w:hint="eastAsia"/>
        </w:rPr>
        <w:t>口规模</w:t>
      </w:r>
    </w:p>
    <w:p>
      <w:pPr>
        <w:pStyle w:val="4"/>
        <w:ind w:firstLine="480"/>
        <w:rPr>
          <w:color w:val="auto"/>
        </w:rPr>
      </w:pPr>
      <w:r>
        <w:rPr>
          <w:rFonts w:hint="eastAsia"/>
          <w:color w:val="auto"/>
          <w:lang w:val="en-US" w:eastAsia="zh-CN"/>
        </w:rPr>
        <w:t>新增就业岗位约3万个</w:t>
      </w:r>
      <w:r>
        <w:rPr>
          <w:rFonts w:hint="eastAsia"/>
          <w:color w:val="auto"/>
        </w:rPr>
        <w:t>。</w:t>
      </w:r>
    </w:p>
    <w:p>
      <w:pPr>
        <w:pStyle w:val="5"/>
      </w:pPr>
      <w:r>
        <w:t>产业</w:t>
      </w:r>
      <w:r>
        <w:rPr>
          <w:rFonts w:hint="eastAsia"/>
        </w:rPr>
        <w:t>发展与布局引导</w:t>
      </w:r>
    </w:p>
    <w:p>
      <w:pPr>
        <w:pStyle w:val="6"/>
      </w:pPr>
      <w:r>
        <w:rPr>
          <w:rFonts w:hint="eastAsia"/>
        </w:rPr>
        <w:t>产业体系构建</w:t>
      </w:r>
    </w:p>
    <w:p>
      <w:pPr>
        <w:pStyle w:val="4"/>
        <w:ind w:firstLine="480"/>
        <w:rPr>
          <w:rFonts w:hint="default"/>
          <w:lang w:val="en-US" w:eastAsia="zh-CN"/>
        </w:rPr>
      </w:pPr>
      <w:r>
        <w:rPr>
          <w:rFonts w:hint="eastAsia"/>
          <w:lang w:val="en-US" w:eastAsia="zh-CN"/>
        </w:rPr>
        <w:t>电子信息产业园规划主导产业类型为：</w:t>
      </w:r>
      <w:r>
        <w:t>半导体制造；以电子机械、电子元件、仪器、仪表及相关配套产业为主的电子加工；以及以精密机械、电子机械、光学仪器、自动化等为主的制造产业</w:t>
      </w:r>
      <w:r>
        <w:rPr>
          <w:rFonts w:hint="eastAsia"/>
          <w:lang w:eastAsia="zh-CN"/>
        </w:rPr>
        <w:t>；</w:t>
      </w:r>
      <w:r>
        <w:rPr>
          <w:rFonts w:hint="eastAsia"/>
          <w:lang w:val="en-US" w:eastAsia="zh-CN"/>
        </w:rPr>
        <w:t>配套建设金属表面处理项目。</w:t>
      </w:r>
    </w:p>
    <w:p>
      <w:pPr>
        <w:pStyle w:val="6"/>
      </w:pPr>
      <w:r>
        <w:rPr>
          <w:rFonts w:hint="eastAsia"/>
        </w:rPr>
        <w:t>产业空间布局</w:t>
      </w:r>
    </w:p>
    <w:p>
      <w:pPr>
        <w:pStyle w:val="4"/>
        <w:ind w:firstLine="480"/>
        <w:rPr>
          <w:rFonts w:hint="eastAsia"/>
          <w:lang w:val="en-US" w:eastAsia="zh-CN"/>
        </w:rPr>
      </w:pPr>
      <w:r>
        <w:rPr>
          <w:rFonts w:hint="eastAsia"/>
          <w:lang w:val="en-US" w:eastAsia="zh-CN"/>
        </w:rPr>
        <w:t>电子信息产业园分为南北两个社区，以栟茶河为界，北部社区的主要功能包括电子信息产业研发、软件与信息技术服务业为主，为电子信息产业创新创业提供平台，形成高端孵化平台；南部社区主要功能区包括金属表面处理区、电子加工区、综合生产区、半导体制造区。</w:t>
      </w:r>
    </w:p>
    <w:p>
      <w:pPr>
        <w:pStyle w:val="4"/>
        <w:ind w:firstLine="480"/>
      </w:pPr>
      <w:r>
        <w:rPr>
          <w:rFonts w:hint="eastAsia"/>
          <w:lang w:val="en-US" w:eastAsia="zh-CN"/>
        </w:rPr>
        <w:t>两大片区</w:t>
      </w:r>
      <w:r>
        <w:rPr>
          <w:rFonts w:hint="eastAsia"/>
        </w:rPr>
        <w:t>产业发展指引见表2.1.</w:t>
      </w:r>
      <w:r>
        <w:rPr>
          <w:rFonts w:hint="eastAsia"/>
          <w:lang w:val="en-US" w:eastAsia="zh-CN"/>
        </w:rPr>
        <w:t>3</w:t>
      </w:r>
      <w:r>
        <w:rPr>
          <w:rFonts w:hint="eastAsia"/>
        </w:rPr>
        <w:t>-</w:t>
      </w:r>
      <w:r>
        <w:rPr>
          <w:rFonts w:hint="eastAsia"/>
          <w:lang w:val="en-US" w:eastAsia="zh-CN"/>
        </w:rPr>
        <w:t>1</w:t>
      </w:r>
      <w:r>
        <w:rPr>
          <w:rFonts w:hint="eastAsia"/>
        </w:rPr>
        <w:t>。</w:t>
      </w:r>
    </w:p>
    <w:p>
      <w:pPr>
        <w:pStyle w:val="12"/>
        <w:spacing w:before="120" w:after="72"/>
      </w:pPr>
      <w:r>
        <w:rPr>
          <w:rFonts w:hint="eastAsia"/>
        </w:rPr>
        <w:t>表2.1.</w:t>
      </w:r>
      <w:r>
        <w:rPr>
          <w:rFonts w:hint="eastAsia"/>
          <w:lang w:val="en-US" w:eastAsia="zh-CN"/>
        </w:rPr>
        <w:t>3</w:t>
      </w:r>
      <w:r>
        <w:rPr>
          <w:rFonts w:hint="eastAsia"/>
        </w:rPr>
        <w:t>-</w:t>
      </w:r>
      <w:r>
        <w:rPr>
          <w:rFonts w:hint="eastAsia"/>
          <w:lang w:val="en-US" w:eastAsia="zh-CN"/>
        </w:rPr>
        <w:t>1</w:t>
      </w:r>
      <w:r>
        <w:rPr>
          <w:rFonts w:hint="eastAsia"/>
        </w:rPr>
        <w:t xml:space="preserve">  </w:t>
      </w:r>
      <w:r>
        <w:rPr>
          <w:rFonts w:hint="eastAsia"/>
          <w:lang w:val="en-US" w:eastAsia="zh-CN"/>
        </w:rPr>
        <w:t>两</w:t>
      </w:r>
      <w:r>
        <w:rPr>
          <w:rFonts w:hint="eastAsia"/>
        </w:rPr>
        <w:t>大片区产业发展指引</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22"/>
        <w:gridCol w:w="62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tcBorders>
              <w:tl2br w:val="nil"/>
              <w:tr2bl w:val="nil"/>
            </w:tcBorders>
          </w:tcPr>
          <w:p>
            <w:pPr>
              <w:pStyle w:val="22"/>
            </w:pPr>
            <w:r>
              <w:rPr>
                <w:rFonts w:hint="eastAsia"/>
              </w:rPr>
              <w:t>序号</w:t>
            </w:r>
          </w:p>
        </w:tc>
        <w:tc>
          <w:tcPr>
            <w:tcW w:w="658" w:type="pct"/>
            <w:tcBorders>
              <w:tl2br w:val="nil"/>
              <w:tr2bl w:val="nil"/>
            </w:tcBorders>
          </w:tcPr>
          <w:p>
            <w:pPr>
              <w:pStyle w:val="22"/>
            </w:pPr>
            <w:r>
              <w:rPr>
                <w:rFonts w:hint="eastAsia"/>
              </w:rPr>
              <w:t>名称</w:t>
            </w:r>
          </w:p>
        </w:tc>
        <w:tc>
          <w:tcPr>
            <w:tcW w:w="3661" w:type="pct"/>
            <w:tcBorders>
              <w:tl2br w:val="nil"/>
              <w:tr2bl w:val="nil"/>
            </w:tcBorders>
          </w:tcPr>
          <w:p>
            <w:pPr>
              <w:pStyle w:val="22"/>
            </w:pPr>
            <w:r>
              <w:rPr>
                <w:rFonts w:hint="eastAsia"/>
              </w:rPr>
              <w:t>产业发展指引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tcBorders>
              <w:tl2br w:val="nil"/>
              <w:tr2bl w:val="nil"/>
            </w:tcBorders>
            <w:vAlign w:val="center"/>
          </w:tcPr>
          <w:p>
            <w:pPr>
              <w:pStyle w:val="21"/>
            </w:pPr>
            <w:r>
              <w:rPr>
                <w:rFonts w:hint="eastAsia"/>
              </w:rPr>
              <w:t>1</w:t>
            </w:r>
          </w:p>
        </w:tc>
        <w:tc>
          <w:tcPr>
            <w:tcW w:w="658" w:type="pct"/>
            <w:tcBorders>
              <w:tl2br w:val="nil"/>
              <w:tr2bl w:val="nil"/>
            </w:tcBorders>
            <w:vAlign w:val="center"/>
          </w:tcPr>
          <w:p>
            <w:pPr>
              <w:pStyle w:val="21"/>
              <w:rPr>
                <w:rFonts w:hint="default" w:eastAsiaTheme="minorEastAsia"/>
                <w:lang w:val="en-US" w:eastAsia="zh-CN"/>
              </w:rPr>
            </w:pPr>
            <w:r>
              <w:rPr>
                <w:rFonts w:hint="eastAsia"/>
                <w:lang w:val="en-US" w:eastAsia="zh-CN"/>
              </w:rPr>
              <w:t>北部片区</w:t>
            </w:r>
          </w:p>
        </w:tc>
        <w:tc>
          <w:tcPr>
            <w:tcW w:w="3661" w:type="pct"/>
            <w:tcBorders>
              <w:tl2br w:val="nil"/>
              <w:tr2bl w:val="nil"/>
            </w:tcBorders>
            <w:vAlign w:val="center"/>
          </w:tcPr>
          <w:p>
            <w:pPr>
              <w:pStyle w:val="21"/>
              <w:bidi w:val="0"/>
            </w:pPr>
            <w:r>
              <w:rPr>
                <w:rFonts w:hint="eastAsia"/>
                <w:lang w:val="en-US" w:eastAsia="zh-CN"/>
              </w:rPr>
              <w:t>电子信息产业研发、软件与信息技术服务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tcBorders>
              <w:tl2br w:val="nil"/>
              <w:tr2bl w:val="nil"/>
            </w:tcBorders>
            <w:vAlign w:val="center"/>
          </w:tcPr>
          <w:p>
            <w:pPr>
              <w:pStyle w:val="21"/>
            </w:pPr>
            <w:r>
              <w:rPr>
                <w:rFonts w:hint="eastAsia"/>
              </w:rPr>
              <w:t>2</w:t>
            </w:r>
          </w:p>
        </w:tc>
        <w:tc>
          <w:tcPr>
            <w:tcW w:w="658" w:type="pct"/>
            <w:tcBorders>
              <w:tl2br w:val="nil"/>
              <w:tr2bl w:val="nil"/>
            </w:tcBorders>
            <w:vAlign w:val="center"/>
          </w:tcPr>
          <w:p>
            <w:pPr>
              <w:pStyle w:val="21"/>
              <w:rPr>
                <w:rFonts w:hint="default" w:eastAsiaTheme="minorEastAsia"/>
                <w:lang w:val="en-US" w:eastAsia="zh-CN"/>
              </w:rPr>
            </w:pPr>
            <w:r>
              <w:rPr>
                <w:rFonts w:hint="eastAsia"/>
                <w:lang w:val="en-US" w:eastAsia="zh-CN"/>
              </w:rPr>
              <w:t>南部片区</w:t>
            </w:r>
          </w:p>
        </w:tc>
        <w:tc>
          <w:tcPr>
            <w:tcW w:w="3661" w:type="pct"/>
            <w:tcBorders>
              <w:tl2br w:val="nil"/>
              <w:tr2bl w:val="nil"/>
            </w:tcBorders>
            <w:vAlign w:val="center"/>
          </w:tcPr>
          <w:p>
            <w:pPr>
              <w:pStyle w:val="21"/>
              <w:bidi w:val="0"/>
            </w:pPr>
            <w:r>
              <w:rPr>
                <w:rFonts w:hint="eastAsia"/>
                <w:lang w:val="en-US" w:eastAsia="zh-CN"/>
              </w:rPr>
              <w:t>金属表面处理、电子加工、综合生产、半导体制</w:t>
            </w:r>
          </w:p>
        </w:tc>
      </w:tr>
    </w:tbl>
    <w:p>
      <w:pPr>
        <w:pStyle w:val="21"/>
        <w:bidi w:val="0"/>
      </w:pPr>
    </w:p>
    <w:p>
      <w:pPr>
        <w:pStyle w:val="5"/>
      </w:pPr>
      <w:r>
        <w:rPr>
          <w:rFonts w:hint="eastAsia"/>
        </w:rPr>
        <w:t>用地布局与规划</w:t>
      </w:r>
    </w:p>
    <w:p>
      <w:pPr>
        <w:pStyle w:val="6"/>
      </w:pPr>
      <w:r>
        <w:rPr>
          <w:rFonts w:hint="eastAsia"/>
        </w:rPr>
        <w:t>用地布局结构</w:t>
      </w:r>
    </w:p>
    <w:p>
      <w:pPr>
        <w:pStyle w:val="4"/>
        <w:bidi w:val="0"/>
      </w:pPr>
      <w:r>
        <w:rPr>
          <w:rFonts w:hint="eastAsia"/>
        </w:rPr>
        <w:t>规划形成</w:t>
      </w:r>
      <w:r>
        <w:rPr>
          <w:rFonts w:hint="eastAsia" w:ascii="宋体" w:hAnsi="宋体"/>
        </w:rPr>
        <w:t>“两组团”的布局结构</w:t>
      </w:r>
      <w:r>
        <w:rPr>
          <w:rFonts w:hint="eastAsia" w:ascii="宋体" w:hAnsi="宋体"/>
          <w:lang w:eastAsia="zh-CN"/>
        </w:rPr>
        <w:t>，</w:t>
      </w:r>
      <w:r>
        <w:rPr>
          <w:rFonts w:hint="eastAsia" w:ascii="宋体" w:hAnsi="宋体"/>
          <w:lang w:val="en-US" w:eastAsia="zh-CN"/>
        </w:rPr>
        <w:t>以栟茶运河为界分为</w:t>
      </w:r>
      <w:r>
        <w:rPr>
          <w:rFonts w:hint="eastAsia"/>
        </w:rPr>
        <w:t>北部产业组团和南部产业组团。</w:t>
      </w:r>
    </w:p>
    <w:p>
      <w:pPr>
        <w:pStyle w:val="6"/>
      </w:pPr>
      <w:r>
        <w:rPr>
          <w:rFonts w:hint="eastAsia"/>
        </w:rPr>
        <w:t>用地规划</w:t>
      </w:r>
    </w:p>
    <w:p>
      <w:pPr>
        <w:pStyle w:val="4"/>
        <w:bidi w:val="0"/>
        <w:rPr>
          <w:rFonts w:hint="eastAsia" w:eastAsiaTheme="minorEastAsia"/>
          <w:lang w:eastAsia="zh-CN"/>
        </w:rPr>
      </w:pPr>
      <w:r>
        <w:t>规划区总面积</w:t>
      </w:r>
      <w:r>
        <w:rPr>
          <w:rFonts w:hint="eastAsia"/>
          <w:lang w:val="en-US" w:eastAsia="zh-CN"/>
        </w:rPr>
        <w:t>550.6</w:t>
      </w:r>
      <w:r>
        <w:t>公顷，其中</w:t>
      </w:r>
      <w:r>
        <w:rPr>
          <w:rFonts w:hint="eastAsia"/>
        </w:rPr>
        <w:t>城市</w:t>
      </w:r>
      <w:r>
        <w:t>建设用地</w:t>
      </w:r>
      <w:r>
        <w:rPr>
          <w:rFonts w:hint="eastAsia"/>
          <w:lang w:val="en-US" w:eastAsia="zh-CN"/>
        </w:rPr>
        <w:t>509.4</w:t>
      </w:r>
      <w:r>
        <w:t>公顷</w:t>
      </w:r>
      <w:r>
        <w:rPr>
          <w:rFonts w:hint="eastAsia"/>
        </w:rPr>
        <w:t>，占规划总用地的</w:t>
      </w:r>
      <w:r>
        <w:rPr>
          <w:rFonts w:hint="eastAsia"/>
          <w:lang w:val="en-US" w:eastAsia="zh-CN"/>
        </w:rPr>
        <w:t>92.52</w:t>
      </w:r>
      <w:r>
        <w:rPr>
          <w:rFonts w:hint="eastAsia"/>
        </w:rPr>
        <w:t>%</w:t>
      </w:r>
      <w:r>
        <w:t>。城市建设用地中公共管理与公共服务设施用地</w:t>
      </w:r>
      <w:r>
        <w:rPr>
          <w:rFonts w:hint="eastAsia"/>
          <w:lang w:val="en-US" w:eastAsia="zh-CN"/>
        </w:rPr>
        <w:t>7.95</w:t>
      </w:r>
      <w:r>
        <w:t>公顷，占规划总用地的</w:t>
      </w:r>
      <w:r>
        <w:rPr>
          <w:rFonts w:hint="eastAsia"/>
          <w:lang w:val="en-US" w:eastAsia="zh-CN"/>
        </w:rPr>
        <w:t>1.44</w:t>
      </w:r>
      <w:r>
        <w:t>%；商业服务业设施用地</w:t>
      </w:r>
      <w:r>
        <w:rPr>
          <w:rFonts w:hint="eastAsia"/>
          <w:lang w:val="en-US" w:eastAsia="zh-CN"/>
        </w:rPr>
        <w:t>15.16</w:t>
      </w:r>
      <w:r>
        <w:t>公顷，占规划总用地的</w:t>
      </w:r>
      <w:r>
        <w:rPr>
          <w:rFonts w:hint="eastAsia"/>
          <w:lang w:val="en-US" w:eastAsia="zh-CN"/>
        </w:rPr>
        <w:t>2.75</w:t>
      </w:r>
      <w:r>
        <w:t>%；工业用地</w:t>
      </w:r>
      <w:r>
        <w:rPr>
          <w:rFonts w:hint="eastAsia"/>
          <w:lang w:val="en-US" w:eastAsia="zh-CN"/>
        </w:rPr>
        <w:t>362.69</w:t>
      </w:r>
      <w:r>
        <w:t>公顷，占规划总用地的</w:t>
      </w:r>
      <w:r>
        <w:rPr>
          <w:rFonts w:hint="eastAsia"/>
          <w:lang w:val="en-US" w:eastAsia="zh-CN"/>
        </w:rPr>
        <w:t>65.87</w:t>
      </w:r>
      <w:r>
        <w:t>%；道路与交通设施用地</w:t>
      </w:r>
      <w:r>
        <w:rPr>
          <w:rFonts w:hint="eastAsia"/>
          <w:lang w:val="en-US" w:eastAsia="zh-CN"/>
        </w:rPr>
        <w:t>66.43</w:t>
      </w:r>
      <w:r>
        <w:t>公顷，占规划总用地的</w:t>
      </w:r>
      <w:r>
        <w:rPr>
          <w:rFonts w:hint="eastAsia"/>
          <w:lang w:val="en-US" w:eastAsia="zh-CN"/>
        </w:rPr>
        <w:t>12.07</w:t>
      </w:r>
      <w:r>
        <w:t>%；公用设施用地</w:t>
      </w:r>
      <w:r>
        <w:rPr>
          <w:rFonts w:hint="eastAsia"/>
          <w:lang w:val="en-US" w:eastAsia="zh-CN"/>
        </w:rPr>
        <w:t>1.98</w:t>
      </w:r>
      <w:r>
        <w:t>公顷，占规划总用地的</w:t>
      </w:r>
      <w:r>
        <w:rPr>
          <w:rFonts w:hint="eastAsia"/>
        </w:rPr>
        <w:t>0.</w:t>
      </w:r>
      <w:r>
        <w:rPr>
          <w:rFonts w:hint="eastAsia"/>
          <w:lang w:val="en-US" w:eastAsia="zh-CN"/>
        </w:rPr>
        <w:t>36</w:t>
      </w:r>
      <w:r>
        <w:t>%；绿地与广场用地</w:t>
      </w:r>
      <w:r>
        <w:rPr>
          <w:rFonts w:hint="eastAsia"/>
          <w:lang w:val="en-US" w:eastAsia="zh-CN"/>
        </w:rPr>
        <w:t>55.19</w:t>
      </w:r>
      <w:r>
        <w:t>公顷，占规划总用地的</w:t>
      </w:r>
      <w:r>
        <w:rPr>
          <w:rFonts w:hint="eastAsia"/>
          <w:lang w:val="en-US" w:eastAsia="zh-CN"/>
        </w:rPr>
        <w:t>10.02</w:t>
      </w:r>
      <w:r>
        <w:t>%。具体用地平衡表见表2.</w:t>
      </w:r>
      <w:r>
        <w:rPr>
          <w:rFonts w:hint="eastAsia"/>
        </w:rPr>
        <w:t>1.</w:t>
      </w:r>
      <w:r>
        <w:rPr>
          <w:rFonts w:hint="eastAsia"/>
          <w:lang w:val="en-US" w:eastAsia="zh-CN"/>
        </w:rPr>
        <w:t>4</w:t>
      </w:r>
      <w:r>
        <w:t>-</w:t>
      </w:r>
      <w:r>
        <w:rPr>
          <w:rFonts w:hint="eastAsia"/>
        </w:rPr>
        <w:t>1</w:t>
      </w:r>
      <w:r>
        <w:rPr>
          <w:rFonts w:hint="eastAsia"/>
          <w:lang w:eastAsia="zh-CN"/>
        </w:rPr>
        <w:t>。</w:t>
      </w:r>
    </w:p>
    <w:p>
      <w:pPr>
        <w:pStyle w:val="12"/>
        <w:spacing w:before="120" w:after="72"/>
      </w:pPr>
      <w:r>
        <w:t>表2.</w:t>
      </w:r>
      <w:r>
        <w:rPr>
          <w:rFonts w:hint="eastAsia"/>
        </w:rPr>
        <w:t>1.</w:t>
      </w:r>
      <w:r>
        <w:rPr>
          <w:rFonts w:hint="eastAsia"/>
          <w:lang w:val="en-US" w:eastAsia="zh-CN"/>
        </w:rPr>
        <w:t>4</w:t>
      </w:r>
      <w:r>
        <w:t xml:space="preserve">-1  </w:t>
      </w:r>
      <w:r>
        <w:rPr>
          <w:rFonts w:hint="eastAsia"/>
          <w:lang w:val="en-US" w:eastAsia="zh-CN"/>
        </w:rPr>
        <w:t>规划</w:t>
      </w:r>
      <w:r>
        <w:t>用地平衡表</w:t>
      </w:r>
    </w:p>
    <w:tbl>
      <w:tblPr>
        <w:tblStyle w:val="1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0"/>
        <w:gridCol w:w="1"/>
        <w:gridCol w:w="561"/>
        <w:gridCol w:w="223"/>
        <w:gridCol w:w="2010"/>
        <w:gridCol w:w="1066"/>
        <w:gridCol w:w="1271"/>
        <w:gridCol w:w="106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95" w:type="pct"/>
            <w:vMerge w:val="restart"/>
            <w:tcBorders>
              <w:top w:val="single" w:color="000000" w:sz="12" w:space="0"/>
              <w:left w:val="nil"/>
              <w:right w:val="single" w:color="000000" w:sz="8" w:space="0"/>
            </w:tcBorders>
            <w:shd w:val="clear" w:color="auto" w:fill="auto"/>
            <w:noWrap/>
            <w:vAlign w:val="center"/>
          </w:tcPr>
          <w:p>
            <w:pPr>
              <w:pStyle w:val="22"/>
              <w:bidi w:val="0"/>
              <w:jc w:val="center"/>
              <w:rPr>
                <w:rFonts w:hint="eastAsia"/>
              </w:rPr>
            </w:pPr>
            <w:r>
              <w:rPr>
                <w:rFonts w:hint="eastAsia"/>
                <w:lang w:val="en-US" w:eastAsia="zh-CN"/>
              </w:rPr>
              <w:t>用地代码</w:t>
            </w:r>
          </w:p>
        </w:tc>
        <w:tc>
          <w:tcPr>
            <w:tcW w:w="1878" w:type="pct"/>
            <w:gridSpan w:val="4"/>
            <w:vMerge w:val="restart"/>
            <w:tcBorders>
              <w:top w:val="single" w:color="000000" w:sz="12" w:space="0"/>
              <w:left w:val="single" w:color="000000" w:sz="8" w:space="0"/>
              <w:right w:val="single" w:color="000000" w:sz="8" w:space="0"/>
            </w:tcBorders>
            <w:shd w:val="clear" w:color="auto" w:fill="auto"/>
            <w:noWrap/>
            <w:vAlign w:val="center"/>
          </w:tcPr>
          <w:p>
            <w:pPr>
              <w:pStyle w:val="22"/>
              <w:bidi w:val="0"/>
              <w:jc w:val="center"/>
              <w:rPr>
                <w:rFonts w:hint="eastAsia"/>
              </w:rPr>
            </w:pPr>
            <w:r>
              <w:rPr>
                <w:rFonts w:hint="eastAsia"/>
                <w:lang w:val="en-US" w:eastAsia="zh-CN"/>
              </w:rPr>
              <w:t>用地名称</w:t>
            </w:r>
          </w:p>
        </w:tc>
        <w:tc>
          <w:tcPr>
            <w:tcW w:w="1265" w:type="pct"/>
            <w:gridSpan w:val="2"/>
            <w:tcBorders>
              <w:top w:val="single" w:color="000000" w:sz="12" w:space="0"/>
              <w:left w:val="single" w:color="000000" w:sz="8" w:space="0"/>
              <w:bottom w:val="single" w:color="000000" w:sz="8" w:space="0"/>
              <w:right w:val="single" w:color="000000" w:sz="8" w:space="0"/>
            </w:tcBorders>
            <w:shd w:val="clear" w:color="auto" w:fill="auto"/>
            <w:noWrap/>
            <w:vAlign w:val="center"/>
          </w:tcPr>
          <w:p>
            <w:pPr>
              <w:pStyle w:val="22"/>
              <w:bidi w:val="0"/>
              <w:jc w:val="center"/>
              <w:rPr>
                <w:rFonts w:hint="eastAsia"/>
              </w:rPr>
            </w:pPr>
            <w:r>
              <w:rPr>
                <w:rFonts w:hint="eastAsia"/>
                <w:lang w:val="en-US" w:eastAsia="zh-CN"/>
              </w:rPr>
              <w:t>面积（ha）</w:t>
            </w:r>
          </w:p>
        </w:tc>
        <w:tc>
          <w:tcPr>
            <w:tcW w:w="1260" w:type="pct"/>
            <w:gridSpan w:val="2"/>
            <w:tcBorders>
              <w:top w:val="single" w:color="000000" w:sz="12" w:space="0"/>
              <w:left w:val="single" w:color="000000" w:sz="8" w:space="0"/>
              <w:right w:val="nil"/>
            </w:tcBorders>
            <w:shd w:val="clear" w:color="auto" w:fill="auto"/>
            <w:noWrap/>
            <w:vAlign w:val="center"/>
          </w:tcPr>
          <w:p>
            <w:pPr>
              <w:pStyle w:val="22"/>
              <w:bidi w:val="0"/>
              <w:jc w:val="center"/>
              <w:rPr>
                <w:rFonts w:hint="eastAsia"/>
              </w:rPr>
            </w:pPr>
            <w:r>
              <w:rPr>
                <w:rFonts w:hint="eastAsia"/>
                <w:lang w:val="en-US" w:eastAsia="zh-CN"/>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95" w:type="pct"/>
            <w:vMerge w:val="continue"/>
            <w:tcBorders>
              <w:left w:val="nil"/>
              <w:bottom w:val="single" w:color="000000" w:sz="8" w:space="0"/>
              <w:right w:val="single" w:color="000000" w:sz="8" w:space="0"/>
            </w:tcBorders>
            <w:shd w:val="clear" w:color="auto" w:fill="auto"/>
            <w:noWrap/>
            <w:vAlign w:val="center"/>
          </w:tcPr>
          <w:p>
            <w:pPr>
              <w:pStyle w:val="22"/>
              <w:bidi w:val="0"/>
              <w:jc w:val="center"/>
            </w:pPr>
          </w:p>
        </w:tc>
        <w:tc>
          <w:tcPr>
            <w:tcW w:w="1878" w:type="pct"/>
            <w:gridSpan w:val="4"/>
            <w:vMerge w:val="continue"/>
            <w:tcBorders>
              <w:left w:val="single" w:color="000000" w:sz="8" w:space="0"/>
              <w:bottom w:val="single" w:color="000000" w:sz="8" w:space="0"/>
              <w:right w:val="single" w:color="000000" w:sz="8" w:space="0"/>
            </w:tcBorders>
            <w:shd w:val="clear" w:color="auto" w:fill="auto"/>
            <w:noWrap/>
            <w:vAlign w:val="center"/>
          </w:tcPr>
          <w:p>
            <w:pPr>
              <w:pStyle w:val="22"/>
              <w:bidi w:val="0"/>
              <w:jc w:val="center"/>
            </w:pPr>
          </w:p>
        </w:tc>
        <w:tc>
          <w:tcPr>
            <w:tcW w:w="577" w:type="pct"/>
            <w:tcBorders>
              <w:top w:val="single" w:color="000000" w:sz="12" w:space="0"/>
              <w:left w:val="single" w:color="000000" w:sz="8" w:space="0"/>
              <w:bottom w:val="single" w:color="000000" w:sz="8" w:space="0"/>
              <w:right w:val="single" w:color="000000" w:sz="8" w:space="0"/>
            </w:tcBorders>
            <w:shd w:val="clear" w:color="auto" w:fill="auto"/>
            <w:noWrap/>
            <w:vAlign w:val="top"/>
          </w:tcPr>
          <w:p>
            <w:pPr>
              <w:pStyle w:val="22"/>
              <w:rPr>
                <w:rFonts w:hint="eastAsia"/>
                <w:lang w:val="en-US" w:eastAsia="zh-CN"/>
              </w:rPr>
            </w:pPr>
            <w:r>
              <w:t>近期</w:t>
            </w:r>
          </w:p>
        </w:tc>
        <w:tc>
          <w:tcPr>
            <w:tcW w:w="688" w:type="pct"/>
            <w:tcBorders>
              <w:left w:val="single" w:color="000000" w:sz="8" w:space="0"/>
              <w:bottom w:val="single" w:color="000000" w:sz="8" w:space="0"/>
              <w:right w:val="single" w:color="000000" w:sz="8" w:space="0"/>
            </w:tcBorders>
            <w:shd w:val="clear" w:color="auto" w:fill="auto"/>
            <w:noWrap/>
            <w:vAlign w:val="center"/>
          </w:tcPr>
          <w:p>
            <w:pPr>
              <w:pStyle w:val="22"/>
              <w:rPr>
                <w:rFonts w:hint="eastAsia"/>
                <w:lang w:val="en-US" w:eastAsia="zh-CN"/>
              </w:rPr>
            </w:pPr>
            <w:r>
              <w:t>远期</w:t>
            </w:r>
          </w:p>
        </w:tc>
        <w:tc>
          <w:tcPr>
            <w:tcW w:w="577" w:type="pct"/>
            <w:tcBorders>
              <w:left w:val="single" w:color="000000" w:sz="8" w:space="0"/>
              <w:bottom w:val="single" w:color="000000" w:sz="8" w:space="0"/>
              <w:right w:val="nil"/>
            </w:tcBorders>
            <w:shd w:val="clear" w:color="auto" w:fill="auto"/>
            <w:noWrap/>
            <w:vAlign w:val="top"/>
          </w:tcPr>
          <w:p>
            <w:pPr>
              <w:pStyle w:val="22"/>
              <w:rPr>
                <w:rFonts w:hint="eastAsia"/>
                <w:lang w:val="en-US" w:eastAsia="zh-CN"/>
              </w:rPr>
            </w:pPr>
            <w:r>
              <w:rPr>
                <w:color w:val="auto"/>
              </w:rPr>
              <w:t>近期</w:t>
            </w:r>
          </w:p>
        </w:tc>
        <w:tc>
          <w:tcPr>
            <w:tcW w:w="683" w:type="pct"/>
            <w:tcBorders>
              <w:left w:val="single" w:color="000000" w:sz="8" w:space="0"/>
              <w:bottom w:val="single" w:color="000000" w:sz="8" w:space="0"/>
              <w:right w:val="nil"/>
            </w:tcBorders>
            <w:shd w:val="clear" w:color="auto" w:fill="auto"/>
            <w:noWrap/>
            <w:vAlign w:val="center"/>
          </w:tcPr>
          <w:p>
            <w:pPr>
              <w:pStyle w:val="22"/>
              <w:rPr>
                <w:rFonts w:hint="eastAsia"/>
                <w:lang w:val="en-US" w:eastAsia="zh-CN"/>
              </w:rPr>
            </w:pPr>
            <w:r>
              <w:rPr>
                <w:color w:val="auto"/>
              </w:rPr>
              <w:t>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B</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商业服务业设施用地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15.16</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B2</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商务设施用地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15.16</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A</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公共管理与公共设施用地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7.95</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restar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A1</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行政办公用地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2.92</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A2</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文化设施用地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5.03</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M</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工业用地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180.06</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362.69</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32.70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65.87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restar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Ma</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生产研发用地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49.01</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M1</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一类工业用地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180.06</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313.68</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32.70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56.97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G</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绿地与广场用地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20.88</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55.19</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3.79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10.02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restar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G1</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公园绿地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 xml:space="preserve">6.20 </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14.08</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1.13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G2</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防护绿地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14.68</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39.76</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2.67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G3</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广场用地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1.35</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S</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道路和交通设施用地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29.15</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66.43</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5.29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12.07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restar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S1</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城市道路用地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29.15</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65.87</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5.29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11.96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S4</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交通场站用地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0.56</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U</w:t>
            </w:r>
          </w:p>
        </w:tc>
        <w:tc>
          <w:tcPr>
            <w:tcW w:w="1878"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公用设施用地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1.98</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restart"/>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r>
              <w:rPr>
                <w:rFonts w:hint="eastAsia"/>
                <w:lang w:val="en-US" w:eastAsia="zh-CN"/>
              </w:rPr>
              <w:t>其中</w:t>
            </w: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U1</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供应设施用地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0.46</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vMerge w:val="continue"/>
            <w:tcBorders>
              <w:top w:val="single" w:color="000000" w:sz="8" w:space="0"/>
              <w:left w:val="nil"/>
              <w:bottom w:val="single" w:color="000000" w:sz="8" w:space="0"/>
              <w:right w:val="single" w:color="000000" w:sz="8" w:space="0"/>
            </w:tcBorders>
            <w:shd w:val="clear" w:color="auto" w:fill="auto"/>
            <w:noWrap/>
            <w:vAlign w:val="center"/>
          </w:tcPr>
          <w:p>
            <w:pPr>
              <w:pStyle w:val="21"/>
              <w:bidi w:val="0"/>
              <w:rPr>
                <w:rFonts w:hint="eastAsia"/>
              </w:rPr>
            </w:pPr>
          </w:p>
        </w:tc>
        <w:tc>
          <w:tcPr>
            <w:tcW w:w="418"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U3</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安全设施用地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1.52</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74" w:type="pct"/>
            <w:gridSpan w:val="5"/>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城市建设用地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230.09</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509.4</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41.79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92.52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5"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H14</w:t>
            </w:r>
          </w:p>
        </w:tc>
        <w:tc>
          <w:tcPr>
            <w:tcW w:w="1878" w:type="pct"/>
            <w:gridSpan w:val="4"/>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村庄建设用地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62.64</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11.38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6" w:type="pct"/>
            <w:gridSpan w:val="2"/>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eastAsiaTheme="minorEastAsia"/>
                <w:lang w:val="en-US" w:eastAsia="zh-CN"/>
              </w:rPr>
            </w:pPr>
            <w:r>
              <w:rPr>
                <w:rFonts w:hint="eastAsia"/>
                <w:lang w:val="en-US" w:eastAsia="zh-CN"/>
              </w:rPr>
              <w:t>E</w:t>
            </w:r>
          </w:p>
        </w:tc>
        <w:tc>
          <w:tcPr>
            <w:tcW w:w="1877" w:type="pct"/>
            <w:gridSpan w:val="3"/>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非建设用地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257.87</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rPr>
            </w:pPr>
            <w:r>
              <w:rPr>
                <w:rFonts w:hint="eastAsia"/>
                <w:lang w:val="en-US" w:eastAsia="zh-CN"/>
              </w:rPr>
              <w:t>41.2</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46.83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6" w:type="pct"/>
            <w:gridSpan w:val="2"/>
            <w:vMerge w:val="restart"/>
            <w:tcBorders>
              <w:top w:val="single" w:color="000000" w:sz="8" w:space="0"/>
              <w:left w:val="nil"/>
              <w:right w:val="single" w:color="000000" w:sz="8" w:space="0"/>
            </w:tcBorders>
            <w:shd w:val="clear" w:color="auto" w:fill="auto"/>
            <w:noWrap/>
            <w:vAlign w:val="bottom"/>
          </w:tcPr>
          <w:p>
            <w:pPr>
              <w:pStyle w:val="21"/>
              <w:bidi w:val="0"/>
              <w:rPr>
                <w:rFonts w:hint="eastAsia" w:eastAsiaTheme="minorEastAsia"/>
                <w:lang w:val="en-US" w:eastAsia="zh-CN"/>
              </w:rPr>
            </w:pPr>
            <w:r>
              <w:rPr>
                <w:rFonts w:hint="eastAsia"/>
                <w:lang w:val="en-US" w:eastAsia="zh-CN"/>
              </w:rPr>
              <w:t>其中</w:t>
            </w:r>
          </w:p>
        </w:tc>
        <w:tc>
          <w:tcPr>
            <w:tcW w:w="583" w:type="pct"/>
            <w:gridSpan w:val="2"/>
            <w:tcBorders>
              <w:top w:val="single" w:color="000000" w:sz="8" w:space="0"/>
              <w:left w:val="nil"/>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E1</w:t>
            </w:r>
          </w:p>
        </w:tc>
        <w:tc>
          <w:tcPr>
            <w:tcW w:w="1294"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水域</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63.89</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11.60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6" w:type="pct"/>
            <w:gridSpan w:val="2"/>
            <w:vMerge w:val="continue"/>
            <w:tcBorders>
              <w:left w:val="nil"/>
              <w:bottom w:val="single" w:color="000000" w:sz="8" w:space="0"/>
              <w:right w:val="single" w:color="000000" w:sz="8" w:space="0"/>
            </w:tcBorders>
            <w:shd w:val="clear" w:color="auto" w:fill="auto"/>
            <w:noWrap/>
            <w:vAlign w:val="bottom"/>
          </w:tcPr>
          <w:p>
            <w:pPr>
              <w:pStyle w:val="21"/>
              <w:bidi w:val="0"/>
              <w:rPr>
                <w:rFonts w:hint="eastAsia"/>
              </w:rPr>
            </w:pPr>
          </w:p>
        </w:tc>
        <w:tc>
          <w:tcPr>
            <w:tcW w:w="583" w:type="pct"/>
            <w:gridSpan w:val="2"/>
            <w:tcBorders>
              <w:left w:val="nil"/>
              <w:bottom w:val="single" w:color="000000" w:sz="8" w:space="0"/>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E2</w:t>
            </w:r>
          </w:p>
        </w:tc>
        <w:tc>
          <w:tcPr>
            <w:tcW w:w="1294" w:type="pct"/>
            <w:tcBorders>
              <w:top w:val="single" w:color="000000" w:sz="8" w:space="0"/>
              <w:left w:val="nil"/>
              <w:bottom w:val="single" w:color="000000" w:sz="8" w:space="0"/>
              <w:right w:val="single" w:color="000000" w:sz="8" w:space="0"/>
            </w:tcBorders>
            <w:shd w:val="clear" w:color="auto" w:fill="auto"/>
            <w:noWrap/>
            <w:vAlign w:val="bottom"/>
          </w:tcPr>
          <w:p>
            <w:pPr>
              <w:pStyle w:val="21"/>
              <w:bidi w:val="0"/>
              <w:rPr>
                <w:rFonts w:hint="default"/>
                <w:lang w:val="en-US" w:eastAsia="zh-CN"/>
              </w:rPr>
            </w:pPr>
            <w:r>
              <w:rPr>
                <w:rFonts w:hint="eastAsia"/>
                <w:lang w:val="en-US" w:eastAsia="zh-CN"/>
              </w:rPr>
              <w:t>农林用地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193.98</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0</w:t>
            </w:r>
          </w:p>
        </w:tc>
        <w:tc>
          <w:tcPr>
            <w:tcW w:w="1066"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rPr>
            </w:pPr>
            <w:r>
              <w:rPr>
                <w:rFonts w:hint="eastAsia"/>
                <w:lang w:val="en-US" w:eastAsia="zh-CN"/>
              </w:rPr>
              <w:t xml:space="preserve">35.23 </w:t>
            </w:r>
          </w:p>
        </w:tc>
        <w:tc>
          <w:tcPr>
            <w:tcW w:w="1262" w:type="dxa"/>
            <w:tcBorders>
              <w:top w:val="single" w:color="000000" w:sz="8" w:space="0"/>
              <w:left w:val="single" w:color="000000" w:sz="8" w:space="0"/>
              <w:bottom w:val="single" w:color="000000" w:sz="8" w:space="0"/>
              <w:right w:val="nil"/>
            </w:tcBorders>
            <w:shd w:val="clear" w:color="auto" w:fill="auto"/>
            <w:noWrap/>
            <w:vAlign w:val="bottom"/>
          </w:tcPr>
          <w:p>
            <w:pPr>
              <w:pStyle w:val="21"/>
              <w:bidi w:val="0"/>
              <w:rPr>
                <w:rFonts w:hint="eastAsia"/>
                <w:lang w:val="en-US" w:eastAsia="zh-CN"/>
              </w:rPr>
            </w:pPr>
            <w:r>
              <w:rPr>
                <w:rFonts w:hint="eastAsia"/>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4" w:type="pct"/>
            <w:gridSpan w:val="5"/>
            <w:tcBorders>
              <w:top w:val="single" w:color="000000" w:sz="8" w:space="0"/>
              <w:left w:val="nil"/>
              <w:bottom w:val="single" w:color="000000" w:sz="12" w:space="0"/>
              <w:right w:val="single" w:color="000000" w:sz="8" w:space="0"/>
            </w:tcBorders>
            <w:shd w:val="clear" w:color="auto" w:fill="auto"/>
            <w:noWrap/>
            <w:vAlign w:val="bottom"/>
          </w:tcPr>
          <w:p>
            <w:pPr>
              <w:pStyle w:val="21"/>
              <w:bidi w:val="0"/>
              <w:rPr>
                <w:rFonts w:hint="eastAsia"/>
              </w:rPr>
            </w:pPr>
            <w:r>
              <w:rPr>
                <w:rFonts w:hint="eastAsia"/>
                <w:lang w:val="en-US" w:eastAsia="zh-CN"/>
              </w:rPr>
              <w:t>总规划范围用地</w:t>
            </w:r>
          </w:p>
        </w:tc>
        <w:tc>
          <w:tcPr>
            <w:tcW w:w="1066" w:type="dxa"/>
            <w:tcBorders>
              <w:top w:val="single" w:color="000000" w:sz="8" w:space="0"/>
              <w:left w:val="single" w:color="000000" w:sz="8" w:space="0"/>
              <w:bottom w:val="single" w:color="000000" w:sz="12" w:space="0"/>
              <w:right w:val="single" w:color="000000" w:sz="8" w:space="0"/>
            </w:tcBorders>
            <w:shd w:val="clear" w:color="auto" w:fill="auto"/>
            <w:noWrap/>
            <w:vAlign w:val="bottom"/>
          </w:tcPr>
          <w:p>
            <w:pPr>
              <w:pStyle w:val="21"/>
              <w:bidi w:val="0"/>
              <w:rPr>
                <w:rFonts w:hint="eastAsia"/>
                <w:lang w:val="en-US" w:eastAsia="zh-CN"/>
              </w:rPr>
            </w:pPr>
            <w:r>
              <w:rPr>
                <w:rFonts w:hint="eastAsia"/>
                <w:lang w:val="en-US" w:eastAsia="zh-CN"/>
              </w:rPr>
              <w:t>550.6</w:t>
            </w:r>
          </w:p>
        </w:tc>
        <w:tc>
          <w:tcPr>
            <w:tcW w:w="1271" w:type="dxa"/>
            <w:tcBorders>
              <w:top w:val="single" w:color="000000" w:sz="8" w:space="0"/>
              <w:left w:val="single" w:color="000000" w:sz="8" w:space="0"/>
              <w:bottom w:val="single" w:color="000000" w:sz="12" w:space="0"/>
              <w:right w:val="single" w:color="000000" w:sz="8" w:space="0"/>
            </w:tcBorders>
            <w:shd w:val="clear" w:color="auto" w:fill="auto"/>
            <w:noWrap/>
            <w:vAlign w:val="bottom"/>
          </w:tcPr>
          <w:p>
            <w:pPr>
              <w:pStyle w:val="21"/>
              <w:bidi w:val="0"/>
              <w:rPr>
                <w:rFonts w:hint="eastAsia"/>
              </w:rPr>
            </w:pPr>
            <w:r>
              <w:rPr>
                <w:rFonts w:hint="eastAsia"/>
                <w:lang w:val="en-US" w:eastAsia="zh-CN"/>
              </w:rPr>
              <w:t>550.6</w:t>
            </w:r>
          </w:p>
        </w:tc>
        <w:tc>
          <w:tcPr>
            <w:tcW w:w="1066" w:type="dxa"/>
            <w:tcBorders>
              <w:top w:val="single" w:color="000000" w:sz="8" w:space="0"/>
              <w:left w:val="single" w:color="000000" w:sz="8" w:space="0"/>
              <w:bottom w:val="single" w:color="000000" w:sz="12" w:space="0"/>
              <w:right w:val="nil"/>
            </w:tcBorders>
            <w:shd w:val="clear" w:color="auto" w:fill="auto"/>
            <w:noWrap/>
            <w:vAlign w:val="bottom"/>
          </w:tcPr>
          <w:p>
            <w:pPr>
              <w:pStyle w:val="21"/>
              <w:bidi w:val="0"/>
              <w:rPr>
                <w:rFonts w:hint="eastAsia"/>
              </w:rPr>
            </w:pPr>
            <w:r>
              <w:rPr>
                <w:rFonts w:hint="eastAsia"/>
                <w:lang w:val="en-US" w:eastAsia="zh-CN"/>
              </w:rPr>
              <w:t xml:space="preserve">100.00 </w:t>
            </w:r>
          </w:p>
        </w:tc>
        <w:tc>
          <w:tcPr>
            <w:tcW w:w="1262" w:type="dxa"/>
            <w:tcBorders>
              <w:top w:val="single" w:color="000000" w:sz="8" w:space="0"/>
              <w:left w:val="single" w:color="000000" w:sz="8" w:space="0"/>
              <w:bottom w:val="single" w:color="000000" w:sz="12" w:space="0"/>
              <w:right w:val="nil"/>
            </w:tcBorders>
            <w:shd w:val="clear" w:color="auto" w:fill="auto"/>
            <w:noWrap/>
            <w:vAlign w:val="bottom"/>
          </w:tcPr>
          <w:p>
            <w:pPr>
              <w:pStyle w:val="21"/>
              <w:bidi w:val="0"/>
              <w:rPr>
                <w:rFonts w:hint="eastAsia"/>
              </w:rPr>
            </w:pPr>
            <w:r>
              <w:rPr>
                <w:rFonts w:hint="eastAsia"/>
                <w:lang w:val="en-US" w:eastAsia="zh-CN"/>
              </w:rPr>
              <w:t xml:space="preserve">100.00 </w:t>
            </w:r>
          </w:p>
        </w:tc>
      </w:tr>
    </w:tbl>
    <w:p>
      <w:pPr>
        <w:pStyle w:val="5"/>
        <w:bidi w:val="0"/>
        <w:rPr>
          <w:rFonts w:hint="eastAsia"/>
          <w:color w:val="auto"/>
          <w:lang w:eastAsia="zh-CN"/>
        </w:rPr>
      </w:pPr>
      <w:r>
        <w:rPr>
          <w:rFonts w:hint="eastAsia"/>
          <w:color w:val="auto"/>
          <w:lang w:val="en-US" w:eastAsia="zh-CN"/>
        </w:rPr>
        <w:t>基础设施规划</w:t>
      </w:r>
    </w:p>
    <w:p>
      <w:pPr>
        <w:pStyle w:val="6"/>
        <w:bidi w:val="0"/>
        <w:rPr>
          <w:rFonts w:hint="eastAsia"/>
          <w:lang w:eastAsia="zh-CN"/>
        </w:rPr>
      </w:pPr>
      <w:r>
        <w:rPr>
          <w:rFonts w:hint="eastAsia"/>
          <w:lang w:eastAsia="zh-CN"/>
        </w:rPr>
        <w:t>给水规划</w:t>
      </w:r>
    </w:p>
    <w:p>
      <w:pPr>
        <w:pStyle w:val="4"/>
        <w:bidi w:val="0"/>
        <w:rPr>
          <w:rFonts w:hint="eastAsia"/>
          <w:color w:val="auto"/>
          <w:lang w:eastAsia="zh-CN"/>
        </w:rPr>
      </w:pPr>
      <w:r>
        <w:rPr>
          <w:rFonts w:hint="eastAsia"/>
          <w:color w:val="auto"/>
          <w:lang w:eastAsia="zh-CN"/>
        </w:rPr>
        <w:t>规划范围实行区域供水，由南通市长青沙水厂供水，水源为长江。</w:t>
      </w:r>
      <w:r>
        <w:rPr>
          <w:rFonts w:hint="eastAsia"/>
          <w:color w:val="auto"/>
          <w:lang w:val="en-US" w:eastAsia="zh-CN"/>
        </w:rPr>
        <w:t>规划</w:t>
      </w:r>
      <w:r>
        <w:rPr>
          <w:rFonts w:hint="eastAsia"/>
          <w:color w:val="auto"/>
          <w:lang w:eastAsia="zh-CN"/>
        </w:rPr>
        <w:t>保持现状供水管网结构，并在此基础上，从海安水厂接出，海营路、南海大道敷设DN400-DN500毫米横向供水主干管；其余道路敷设DN200-DN300毫米供水干管和供水支管，逐步完善管网建设密度，形成用水可靠的环网供水结构。</w:t>
      </w:r>
    </w:p>
    <w:p>
      <w:pPr>
        <w:pStyle w:val="6"/>
        <w:bidi w:val="0"/>
        <w:rPr>
          <w:rFonts w:hint="eastAsia"/>
          <w:lang w:eastAsia="zh-CN"/>
        </w:rPr>
      </w:pPr>
      <w:r>
        <w:rPr>
          <w:rFonts w:hint="eastAsia"/>
          <w:lang w:eastAsia="zh-CN"/>
        </w:rPr>
        <w:t>排水规划</w:t>
      </w:r>
    </w:p>
    <w:p>
      <w:pPr>
        <w:pStyle w:val="4"/>
        <w:bidi w:val="0"/>
        <w:rPr>
          <w:rFonts w:hint="eastAsia"/>
          <w:color w:val="auto"/>
          <w:lang w:eastAsia="zh-CN"/>
        </w:rPr>
      </w:pPr>
      <w:r>
        <w:rPr>
          <w:rFonts w:hint="eastAsia"/>
          <w:color w:val="auto"/>
          <w:lang w:val="en-US" w:eastAsia="zh-CN"/>
        </w:rPr>
        <w:t>电子信息产业园</w:t>
      </w:r>
      <w:r>
        <w:rPr>
          <w:rFonts w:hint="eastAsia"/>
          <w:color w:val="auto"/>
          <w:lang w:eastAsia="zh-CN"/>
        </w:rPr>
        <w:t>规划采用雨污分流排水体制。</w:t>
      </w:r>
    </w:p>
    <w:p>
      <w:pPr>
        <w:pStyle w:val="4"/>
        <w:bidi w:val="0"/>
        <w:rPr>
          <w:rFonts w:hint="eastAsia"/>
          <w:color w:val="auto"/>
          <w:lang w:eastAsia="zh-CN"/>
        </w:rPr>
      </w:pPr>
      <w:r>
        <w:rPr>
          <w:rFonts w:hint="eastAsia"/>
          <w:color w:val="auto"/>
          <w:lang w:eastAsia="zh-CN"/>
        </w:rPr>
        <w:t>（1）雨水排放</w:t>
      </w:r>
    </w:p>
    <w:p>
      <w:pPr>
        <w:pStyle w:val="4"/>
        <w:bidi w:val="0"/>
        <w:rPr>
          <w:rFonts w:hint="eastAsia"/>
          <w:color w:val="auto"/>
          <w:lang w:eastAsia="zh-CN"/>
        </w:rPr>
      </w:pPr>
      <w:r>
        <w:rPr>
          <w:rFonts w:hint="eastAsia"/>
          <w:color w:val="auto"/>
          <w:lang w:eastAsia="zh-CN"/>
        </w:rPr>
        <w:t>雨水收集后就近、重力排入水体。结合新建道路敷设雨水管道。</w:t>
      </w:r>
    </w:p>
    <w:p>
      <w:pPr>
        <w:pStyle w:val="4"/>
        <w:bidi w:val="0"/>
        <w:rPr>
          <w:rFonts w:hint="eastAsia"/>
          <w:color w:val="auto"/>
          <w:lang w:eastAsia="zh-CN"/>
        </w:rPr>
      </w:pPr>
      <w:r>
        <w:rPr>
          <w:rFonts w:hint="eastAsia"/>
          <w:color w:val="auto"/>
          <w:lang w:eastAsia="zh-CN"/>
        </w:rPr>
        <w:t>（2）污水排放</w:t>
      </w:r>
    </w:p>
    <w:p>
      <w:pPr>
        <w:pStyle w:val="4"/>
        <w:bidi w:val="0"/>
        <w:rPr>
          <w:rFonts w:hint="eastAsia"/>
          <w:color w:val="auto"/>
          <w:lang w:eastAsia="zh-CN"/>
        </w:rPr>
      </w:pPr>
      <w:r>
        <w:rPr>
          <w:rFonts w:hint="eastAsia"/>
          <w:color w:val="auto"/>
          <w:lang w:eastAsia="zh-CN"/>
        </w:rPr>
        <w:t>规划污水泵站2座，新建2座，总规模达2.5万立方米/日，沿南海大道-南绕城路敷设的d600-d800毫米污水主干管，最终均接入园区污水处理厂；其余道路敷设d400-d500毫米污水干管。新建污水管道布置以车行道中间偏西侧、北侧为主。污水管道起始端覆土深度不宜小于2.0米，最大埋设深度宜控制在6.0米。</w:t>
      </w:r>
    </w:p>
    <w:p>
      <w:pPr>
        <w:pStyle w:val="4"/>
        <w:bidi w:val="0"/>
        <w:rPr>
          <w:rFonts w:hint="eastAsia"/>
          <w:color w:val="auto"/>
          <w:lang w:val="en-US" w:eastAsia="zh-CN"/>
        </w:rPr>
      </w:pPr>
      <w:r>
        <w:rPr>
          <w:rFonts w:hint="eastAsia"/>
          <w:color w:val="auto"/>
          <w:lang w:val="en-US" w:eastAsia="zh-CN"/>
        </w:rPr>
        <w:t>电子信息产业园（金属表面处理项目废水）内</w:t>
      </w:r>
      <w:r>
        <w:rPr>
          <w:rFonts w:hint="eastAsia"/>
          <w:color w:val="auto"/>
          <w:lang w:eastAsia="zh-CN"/>
        </w:rPr>
        <w:t>生活污水和生产废水均排入鹰泰水务。鹰泰水务有限公司现状处理规模2万吨/日，尾水达到《城镇污水处理厂排放标准》（GB18918-2002）一级A 标准后排入栟茶运河；二期工程设计规模为2万吨/日，65%尾水达到《城镇污水处理厂排放标准》（GB18918-2002）一级A标准后排入海南中心河，35%回用于绿化和工业用水，目前二期工程已完成排污口论证。</w:t>
      </w:r>
      <w:r>
        <w:rPr>
          <w:rFonts w:hint="eastAsia"/>
          <w:color w:val="auto"/>
          <w:lang w:val="en-US" w:eastAsia="zh-CN"/>
        </w:rPr>
        <w:t>金属表面处理项目废水达到接管标准后排入海安润泽水务有限公司，尾水通过鹰泰水务海安有限公司排放口排放，排放标准执行《城镇污水处理厂污染物排放标准》（GB18918-2002）一级A标准和《电镀污染物排放标准》（GB21900-2008）中表2标准，40%尾水回用，回用中水执行《城市污水再生利用 工业用水水质》（GB/T 19923-2005）表1工艺与产品用水标准，用于金属表面处理中心企业生产。目前润泽水务污水处理厂正在建设中。</w:t>
      </w:r>
    </w:p>
    <w:p>
      <w:pPr>
        <w:pStyle w:val="6"/>
        <w:bidi w:val="0"/>
        <w:rPr>
          <w:rFonts w:hint="eastAsia"/>
          <w:lang w:eastAsia="zh-CN"/>
        </w:rPr>
      </w:pPr>
      <w:r>
        <w:rPr>
          <w:rFonts w:hint="eastAsia"/>
          <w:lang w:eastAsia="zh-CN"/>
        </w:rPr>
        <w:t>再生水工程</w:t>
      </w:r>
    </w:p>
    <w:p>
      <w:pPr>
        <w:pStyle w:val="4"/>
        <w:bidi w:val="0"/>
        <w:rPr>
          <w:rFonts w:hint="eastAsia"/>
          <w:color w:val="auto"/>
          <w:lang w:eastAsia="zh-CN"/>
        </w:rPr>
      </w:pPr>
      <w:r>
        <w:rPr>
          <w:rFonts w:hint="eastAsia"/>
          <w:color w:val="auto"/>
          <w:lang w:eastAsia="zh-CN"/>
        </w:rPr>
        <w:t>规划利用鹰泰水务的尾水进行深度净化，沿南海大道、204国道、园大路敷设DN400-DN600毫米再生水主管道。其余部分道路敷设DN200-DN300毫米再生水支状管道。采用枝状网与环状网相结合的方式。</w:t>
      </w:r>
    </w:p>
    <w:p>
      <w:pPr>
        <w:pStyle w:val="6"/>
        <w:bidi w:val="0"/>
        <w:rPr>
          <w:rFonts w:hint="eastAsia"/>
          <w:lang w:eastAsia="zh-CN"/>
        </w:rPr>
      </w:pPr>
      <w:r>
        <w:rPr>
          <w:rFonts w:hint="eastAsia"/>
          <w:lang w:eastAsia="zh-CN"/>
        </w:rPr>
        <w:t>燃气规划</w:t>
      </w:r>
    </w:p>
    <w:p>
      <w:pPr>
        <w:pStyle w:val="4"/>
        <w:bidi w:val="0"/>
        <w:rPr>
          <w:rFonts w:hint="eastAsia"/>
          <w:color w:val="auto"/>
          <w:lang w:eastAsia="zh-CN"/>
        </w:rPr>
      </w:pPr>
      <w:r>
        <w:rPr>
          <w:rFonts w:hint="eastAsia"/>
          <w:color w:val="auto"/>
          <w:lang w:eastAsia="zh-CN"/>
        </w:rPr>
        <w:t>1、用气量预测</w:t>
      </w:r>
    </w:p>
    <w:p>
      <w:pPr>
        <w:pStyle w:val="4"/>
        <w:bidi w:val="0"/>
        <w:rPr>
          <w:rFonts w:hint="eastAsia"/>
          <w:color w:val="auto"/>
          <w:lang w:eastAsia="zh-CN"/>
        </w:rPr>
      </w:pPr>
      <w:r>
        <w:rPr>
          <w:rFonts w:hint="eastAsia"/>
          <w:color w:val="auto"/>
          <w:lang w:eastAsia="zh-CN"/>
        </w:rPr>
        <w:t>规划管道天然气气化率100</w:t>
      </w:r>
      <w:r>
        <w:rPr>
          <w:rFonts w:hint="eastAsia"/>
          <w:color w:val="auto"/>
          <w:lang w:val="en-US" w:eastAsia="zh-CN"/>
        </w:rPr>
        <w:t>%</w:t>
      </w:r>
      <w:r>
        <w:rPr>
          <w:rFonts w:hint="eastAsia"/>
          <w:color w:val="auto"/>
          <w:lang w:eastAsia="zh-CN"/>
        </w:rPr>
        <w:t>，预测产业园天然气用气量为1029万标立方米/年，最大日用气量为2.94万标立方米/日，最大小时用气量为0.18万标立方米/时。</w:t>
      </w:r>
    </w:p>
    <w:p>
      <w:pPr>
        <w:pStyle w:val="4"/>
        <w:bidi w:val="0"/>
        <w:rPr>
          <w:rFonts w:hint="eastAsia"/>
          <w:color w:val="auto"/>
          <w:lang w:eastAsia="zh-CN"/>
        </w:rPr>
      </w:pPr>
      <w:r>
        <w:rPr>
          <w:rFonts w:hint="eastAsia"/>
          <w:color w:val="auto"/>
          <w:lang w:eastAsia="zh-CN"/>
        </w:rPr>
        <w:t>2、气源</w:t>
      </w:r>
    </w:p>
    <w:p>
      <w:pPr>
        <w:pStyle w:val="4"/>
        <w:bidi w:val="0"/>
        <w:rPr>
          <w:rFonts w:hint="eastAsia"/>
          <w:color w:val="auto"/>
          <w:lang w:eastAsia="zh-CN"/>
        </w:rPr>
      </w:pPr>
      <w:r>
        <w:rPr>
          <w:rFonts w:hint="eastAsia"/>
          <w:color w:val="auto"/>
          <w:lang w:eastAsia="zh-CN"/>
        </w:rPr>
        <w:t>利用“西气东输苏中支线”、“西气东输冀宁联络线复线”、江苏如东LNG长输管道天然气、压缩天然气（CNG）和液化天然气（LNG）等，形成多气源联合供气。由新奥燃气供应，中压燃气主干管经南海大道、开元大道、204国道等道路引入。</w:t>
      </w:r>
    </w:p>
    <w:p>
      <w:pPr>
        <w:pStyle w:val="4"/>
        <w:bidi w:val="0"/>
        <w:rPr>
          <w:rFonts w:hint="eastAsia"/>
          <w:color w:val="auto"/>
          <w:lang w:eastAsia="zh-CN"/>
        </w:rPr>
      </w:pPr>
      <w:r>
        <w:rPr>
          <w:rFonts w:hint="eastAsia"/>
          <w:color w:val="auto"/>
          <w:lang w:eastAsia="zh-CN"/>
        </w:rPr>
        <w:t>3、输配系统</w:t>
      </w:r>
    </w:p>
    <w:p>
      <w:pPr>
        <w:pStyle w:val="4"/>
        <w:bidi w:val="0"/>
        <w:rPr>
          <w:rFonts w:hint="eastAsia"/>
          <w:color w:val="auto"/>
          <w:lang w:eastAsia="zh-CN"/>
        </w:rPr>
      </w:pPr>
      <w:r>
        <w:rPr>
          <w:rFonts w:hint="eastAsia"/>
          <w:color w:val="auto"/>
          <w:lang w:eastAsia="zh-CN"/>
        </w:rPr>
        <w:t>产业园燃气输配系统由高压及中低压输配管网和各级调压设施组成。用户使用的压力级制采用中压A和低压，中压A级管道设计压力为0.4兆帕，低压管道设计供气压力为2.5～3.0千帕。</w:t>
      </w:r>
    </w:p>
    <w:p>
      <w:pPr>
        <w:pStyle w:val="4"/>
        <w:bidi w:val="0"/>
        <w:rPr>
          <w:rFonts w:hint="eastAsia"/>
          <w:color w:val="auto"/>
          <w:lang w:eastAsia="zh-CN"/>
        </w:rPr>
      </w:pPr>
      <w:r>
        <w:rPr>
          <w:rFonts w:hint="eastAsia"/>
          <w:color w:val="auto"/>
          <w:lang w:eastAsia="zh-CN"/>
        </w:rPr>
        <w:t>由高中压调压站引出中压燃气主干管线经南海大道、开元大道、204国道引入产业园，主要燃气管道连成环网，保证供气安全。</w:t>
      </w:r>
    </w:p>
    <w:p>
      <w:pPr>
        <w:pStyle w:val="4"/>
        <w:bidi w:val="0"/>
        <w:rPr>
          <w:rFonts w:hint="eastAsia"/>
          <w:color w:val="auto"/>
          <w:lang w:eastAsia="zh-CN"/>
        </w:rPr>
      </w:pPr>
      <w:r>
        <w:rPr>
          <w:rFonts w:hint="eastAsia"/>
          <w:color w:val="auto"/>
          <w:lang w:eastAsia="zh-CN"/>
        </w:rPr>
        <w:t>燃气由中压管网至各用户计量调压站（箱），经调压后供应工业、研发用户和公建、商业用户使用；至各中、低压小区调压站或楼栋调压柜，经调压后进入低压管道，供应居民用户使用。</w:t>
      </w:r>
    </w:p>
    <w:p>
      <w:pPr>
        <w:pStyle w:val="4"/>
        <w:bidi w:val="0"/>
        <w:rPr>
          <w:rFonts w:hint="eastAsia"/>
          <w:color w:val="auto"/>
          <w:lang w:eastAsia="zh-CN"/>
        </w:rPr>
      </w:pPr>
      <w:r>
        <w:rPr>
          <w:rFonts w:hint="eastAsia"/>
          <w:color w:val="auto"/>
          <w:lang w:eastAsia="zh-CN"/>
        </w:rPr>
        <w:t>中压燃气管通常布置在道路西（北）侧慢车道、人行道或绿化带中。</w:t>
      </w:r>
    </w:p>
    <w:p>
      <w:pPr>
        <w:pStyle w:val="6"/>
        <w:bidi w:val="0"/>
        <w:rPr>
          <w:rFonts w:hint="eastAsia"/>
          <w:lang w:eastAsia="zh-CN"/>
        </w:rPr>
      </w:pPr>
      <w:r>
        <w:rPr>
          <w:rFonts w:hint="eastAsia"/>
          <w:lang w:eastAsia="zh-CN"/>
        </w:rPr>
        <w:t>供电规划</w:t>
      </w:r>
    </w:p>
    <w:p>
      <w:pPr>
        <w:pStyle w:val="4"/>
        <w:bidi w:val="0"/>
        <w:rPr>
          <w:rFonts w:hint="eastAsia"/>
          <w:color w:val="auto"/>
          <w:lang w:eastAsia="zh-CN"/>
        </w:rPr>
      </w:pPr>
      <w:r>
        <w:rPr>
          <w:rFonts w:hint="eastAsia"/>
          <w:color w:val="auto"/>
          <w:lang w:eastAsia="zh-CN"/>
        </w:rPr>
        <w:t>1、用电量</w:t>
      </w:r>
    </w:p>
    <w:p>
      <w:pPr>
        <w:pStyle w:val="4"/>
        <w:bidi w:val="0"/>
        <w:rPr>
          <w:rFonts w:hint="eastAsia"/>
          <w:color w:val="auto"/>
          <w:lang w:eastAsia="zh-CN"/>
        </w:rPr>
      </w:pPr>
      <w:r>
        <w:rPr>
          <w:rFonts w:hint="eastAsia"/>
          <w:color w:val="auto"/>
          <w:lang w:eastAsia="zh-CN"/>
        </w:rPr>
        <w:t>电子信息产业园最高负荷达13万千瓦，建设用地平均负荷密度为2.61万千瓦/平方公里。</w:t>
      </w:r>
    </w:p>
    <w:p>
      <w:pPr>
        <w:pStyle w:val="4"/>
        <w:bidi w:val="0"/>
        <w:rPr>
          <w:rFonts w:hint="eastAsia"/>
          <w:color w:val="auto"/>
          <w:lang w:eastAsia="zh-CN"/>
        </w:rPr>
      </w:pPr>
      <w:r>
        <w:rPr>
          <w:rFonts w:hint="eastAsia"/>
          <w:color w:val="auto"/>
          <w:lang w:eastAsia="zh-CN"/>
        </w:rPr>
        <w:t>2、</w:t>
      </w:r>
      <w:r>
        <w:rPr>
          <w:rFonts w:hint="eastAsia"/>
          <w:color w:val="auto"/>
          <w:lang w:val="en-US" w:eastAsia="zh-CN"/>
        </w:rPr>
        <w:t>电源</w:t>
      </w:r>
    </w:p>
    <w:p>
      <w:pPr>
        <w:pStyle w:val="4"/>
        <w:bidi w:val="0"/>
        <w:rPr>
          <w:rFonts w:hint="eastAsia"/>
          <w:color w:val="auto"/>
          <w:lang w:val="en-US" w:eastAsia="zh-CN"/>
        </w:rPr>
      </w:pPr>
      <w:r>
        <w:rPr>
          <w:rFonts w:hint="eastAsia"/>
          <w:color w:val="auto"/>
          <w:lang w:val="en-US" w:eastAsia="zh-CN"/>
        </w:rPr>
        <w:t>（1）区域电源</w:t>
      </w:r>
    </w:p>
    <w:p>
      <w:pPr>
        <w:pStyle w:val="4"/>
        <w:bidi w:val="0"/>
        <w:rPr>
          <w:rFonts w:hint="eastAsia"/>
          <w:color w:val="auto"/>
          <w:lang w:eastAsia="zh-CN"/>
        </w:rPr>
      </w:pPr>
      <w:r>
        <w:rPr>
          <w:rFonts w:hint="eastAsia"/>
          <w:color w:val="auto"/>
          <w:lang w:eastAsia="zh-CN"/>
        </w:rPr>
        <w:t>规划电源为500kV仲洋变，主变最终规模4×1000MWA。</w:t>
      </w:r>
    </w:p>
    <w:p>
      <w:pPr>
        <w:pStyle w:val="4"/>
        <w:bidi w:val="0"/>
        <w:rPr>
          <w:rFonts w:hint="eastAsia"/>
          <w:color w:val="auto"/>
          <w:lang w:eastAsia="zh-CN"/>
        </w:rPr>
      </w:pPr>
      <w:r>
        <w:rPr>
          <w:rFonts w:hint="eastAsia"/>
          <w:color w:val="auto"/>
          <w:lang w:eastAsia="zh-CN"/>
        </w:rPr>
        <w:t>（2）分布式能源</w:t>
      </w:r>
    </w:p>
    <w:p>
      <w:pPr>
        <w:pStyle w:val="4"/>
        <w:bidi w:val="0"/>
        <w:rPr>
          <w:rFonts w:hint="eastAsia"/>
          <w:color w:val="auto"/>
          <w:lang w:eastAsia="zh-CN"/>
        </w:rPr>
      </w:pPr>
      <w:r>
        <w:rPr>
          <w:rFonts w:hint="eastAsia"/>
          <w:color w:val="auto"/>
          <w:lang w:eastAsia="zh-CN"/>
        </w:rPr>
        <w:t>积极发展以可再生能源利用为主要形式的分布式能源系统，重点利用太阳能热水、太阳能光伏发电、地（水）源热泵、冷热电联产等，形成与常规能源相互衔接、补充的能源供应模式。</w:t>
      </w:r>
    </w:p>
    <w:p>
      <w:pPr>
        <w:pStyle w:val="6"/>
        <w:bidi w:val="0"/>
        <w:rPr>
          <w:rFonts w:hint="eastAsia"/>
          <w:lang w:eastAsia="zh-CN"/>
        </w:rPr>
      </w:pPr>
      <w:r>
        <w:rPr>
          <w:rFonts w:hint="eastAsia"/>
          <w:lang w:eastAsia="zh-CN"/>
        </w:rPr>
        <w:t>供热规划</w:t>
      </w:r>
    </w:p>
    <w:p>
      <w:pPr>
        <w:pStyle w:val="4"/>
        <w:bidi w:val="0"/>
        <w:rPr>
          <w:rFonts w:hint="eastAsia"/>
          <w:color w:val="auto"/>
          <w:lang w:eastAsia="zh-CN"/>
        </w:rPr>
      </w:pPr>
      <w:r>
        <w:rPr>
          <w:rFonts w:hint="eastAsia"/>
          <w:color w:val="auto"/>
          <w:lang w:eastAsia="zh-CN"/>
        </w:rPr>
        <w:t xml:space="preserve">1、热负荷预测 </w:t>
      </w:r>
    </w:p>
    <w:p>
      <w:pPr>
        <w:pStyle w:val="4"/>
        <w:bidi w:val="0"/>
        <w:rPr>
          <w:rFonts w:hint="eastAsia"/>
          <w:color w:val="auto"/>
          <w:lang w:eastAsia="zh-CN"/>
        </w:rPr>
      </w:pPr>
      <w:r>
        <w:rPr>
          <w:rFonts w:hint="eastAsia"/>
          <w:color w:val="auto"/>
          <w:lang w:val="en-US" w:eastAsia="zh-CN"/>
        </w:rPr>
        <w:t>电子信息产业园</w:t>
      </w:r>
      <w:r>
        <w:rPr>
          <w:rFonts w:hint="eastAsia"/>
          <w:color w:val="auto"/>
          <w:lang w:eastAsia="zh-CN"/>
        </w:rPr>
        <w:t>热负荷预测约为</w:t>
      </w:r>
      <w:r>
        <w:rPr>
          <w:rFonts w:hint="eastAsia"/>
          <w:color w:val="auto"/>
          <w:lang w:val="en-US" w:eastAsia="zh-CN"/>
        </w:rPr>
        <w:t>98</w:t>
      </w:r>
      <w:r>
        <w:rPr>
          <w:rFonts w:hint="eastAsia"/>
          <w:color w:val="auto"/>
          <w:lang w:eastAsia="zh-CN"/>
        </w:rPr>
        <w:t xml:space="preserve">吨/小时。 </w:t>
      </w:r>
    </w:p>
    <w:p>
      <w:pPr>
        <w:pStyle w:val="4"/>
        <w:bidi w:val="0"/>
        <w:rPr>
          <w:rFonts w:hint="eastAsia"/>
          <w:color w:val="auto"/>
          <w:lang w:eastAsia="zh-CN"/>
        </w:rPr>
      </w:pPr>
      <w:bookmarkStart w:id="3" w:name="_Toc381115313"/>
      <w:r>
        <w:rPr>
          <w:rFonts w:hint="eastAsia"/>
          <w:color w:val="auto"/>
          <w:lang w:eastAsia="zh-CN"/>
        </w:rPr>
        <w:t>2、热源</w:t>
      </w:r>
      <w:bookmarkEnd w:id="3"/>
      <w:r>
        <w:rPr>
          <w:rFonts w:hint="eastAsia"/>
          <w:color w:val="auto"/>
          <w:lang w:eastAsia="zh-CN"/>
        </w:rPr>
        <w:t>规划</w:t>
      </w:r>
    </w:p>
    <w:p>
      <w:pPr>
        <w:pStyle w:val="4"/>
        <w:bidi w:val="0"/>
        <w:rPr>
          <w:rFonts w:hint="eastAsia"/>
          <w:color w:val="auto"/>
          <w:lang w:eastAsia="zh-CN"/>
        </w:rPr>
      </w:pPr>
      <w:r>
        <w:rPr>
          <w:rFonts w:hint="eastAsia"/>
          <w:color w:val="auto"/>
          <w:lang w:eastAsia="zh-CN"/>
        </w:rPr>
        <w:t>近期，充分利用现状热源点（</w:t>
      </w:r>
      <w:r>
        <w:rPr>
          <w:rFonts w:hint="eastAsia"/>
          <w:color w:val="auto"/>
          <w:lang w:val="en-US" w:eastAsia="zh-CN"/>
        </w:rPr>
        <w:t>华新热电</w:t>
      </w:r>
      <w:r>
        <w:rPr>
          <w:rFonts w:hint="eastAsia"/>
          <w:color w:val="auto"/>
          <w:lang w:eastAsia="zh-CN"/>
        </w:rPr>
        <w:t>），以生产企业为依托发展连片供热，扩大集中供热范围。远期，适当发展居民热水、采暖及制冷的热负荷。热源、热力网和热用户统筹规划、同步建设。热电厂供热范围内企业可使用热电厂蒸汽实施集中供热，不得自行配置燃煤锅炉。</w:t>
      </w:r>
    </w:p>
    <w:p>
      <w:pPr>
        <w:pStyle w:val="4"/>
        <w:bidi w:val="0"/>
        <w:rPr>
          <w:rFonts w:hint="eastAsia"/>
          <w:color w:val="auto"/>
          <w:lang w:eastAsia="zh-CN"/>
        </w:rPr>
      </w:pPr>
      <w:bookmarkStart w:id="4" w:name="_Toc381115314"/>
      <w:r>
        <w:rPr>
          <w:rFonts w:hint="eastAsia"/>
          <w:color w:val="auto"/>
          <w:lang w:eastAsia="zh-CN"/>
        </w:rPr>
        <w:t>3、热力管网</w:t>
      </w:r>
      <w:bookmarkEnd w:id="4"/>
    </w:p>
    <w:p>
      <w:pPr>
        <w:pStyle w:val="4"/>
        <w:bidi w:val="0"/>
        <w:rPr>
          <w:rFonts w:hint="eastAsia"/>
          <w:color w:val="auto"/>
          <w:lang w:eastAsia="zh-CN"/>
        </w:rPr>
      </w:pPr>
      <w:r>
        <w:rPr>
          <w:rFonts w:hint="eastAsia"/>
          <w:color w:val="auto"/>
          <w:lang w:eastAsia="zh-CN"/>
        </w:rPr>
        <w:t>热力管道采用架空和埋地敷设相结合，主要供热干管靠近大型用户和热负荷集中的地区，增强供热能力，保证供热稳定性。主干供热管道沿河、沿次干路采用低支墩架空铺设，沿主要道路及局部过路热力管道采用埋地敷设。</w:t>
      </w:r>
    </w:p>
    <w:p>
      <w:pPr>
        <w:pStyle w:val="4"/>
        <w:bidi w:val="0"/>
        <w:rPr>
          <w:rFonts w:hint="eastAsia"/>
          <w:color w:val="auto"/>
          <w:lang w:eastAsia="zh-CN"/>
        </w:rPr>
      </w:pPr>
      <w:r>
        <w:rPr>
          <w:rFonts w:hint="eastAsia"/>
          <w:color w:val="auto"/>
          <w:lang w:eastAsia="zh-CN"/>
        </w:rPr>
        <w:t>华新热电厂一期工程为2×75t/h循环流化床锅炉+1×15MW抽凝发电机组，二期工程为1×130t/h循环流化床锅炉+1×B18MW级背压式汽轮发电机组，现状最大供热能力达到280吨/时，热力管网在现状基础上连片延伸完善，能够满足规划供热需求。</w:t>
      </w:r>
    </w:p>
    <w:p>
      <w:pPr>
        <w:pStyle w:val="4"/>
        <w:bidi w:val="0"/>
        <w:rPr>
          <w:rFonts w:hint="eastAsia"/>
          <w:color w:val="auto"/>
          <w:lang w:eastAsia="zh-CN"/>
        </w:rPr>
      </w:pPr>
      <w:r>
        <w:rPr>
          <w:rFonts w:hint="eastAsia"/>
          <w:color w:val="auto"/>
          <w:lang w:eastAsia="zh-CN"/>
        </w:rPr>
        <w:t>规划供热管线布设见图2.1.6-</w:t>
      </w:r>
      <w:r>
        <w:rPr>
          <w:rFonts w:hint="eastAsia"/>
          <w:color w:val="auto"/>
          <w:lang w:val="en-US" w:eastAsia="zh-CN"/>
        </w:rPr>
        <w:t>6</w:t>
      </w:r>
      <w:r>
        <w:rPr>
          <w:rFonts w:hint="eastAsia"/>
          <w:color w:val="auto"/>
          <w:lang w:eastAsia="zh-CN"/>
        </w:rPr>
        <w:t>。</w:t>
      </w:r>
    </w:p>
    <w:p>
      <w:pPr>
        <w:pStyle w:val="6"/>
        <w:bidi w:val="0"/>
        <w:rPr>
          <w:rFonts w:hint="eastAsia"/>
          <w:lang w:eastAsia="zh-CN"/>
        </w:rPr>
      </w:pPr>
      <w:r>
        <w:rPr>
          <w:rFonts w:hint="eastAsia"/>
          <w:lang w:val="en-US" w:eastAsia="zh-CN"/>
        </w:rPr>
        <w:t>绿线</w:t>
      </w:r>
      <w:r>
        <w:rPr>
          <w:rFonts w:hint="eastAsia"/>
          <w:lang w:eastAsia="zh-CN"/>
        </w:rPr>
        <w:t>规划</w:t>
      </w:r>
    </w:p>
    <w:p>
      <w:pPr>
        <w:pStyle w:val="4"/>
        <w:bidi w:val="0"/>
        <w:rPr>
          <w:rFonts w:hint="eastAsia"/>
          <w:color w:val="auto"/>
          <w:lang w:eastAsia="zh-CN"/>
        </w:rPr>
      </w:pPr>
      <w:r>
        <w:rPr>
          <w:rFonts w:hint="eastAsia"/>
          <w:color w:val="auto"/>
          <w:lang w:val="en-US" w:eastAsia="zh-CN"/>
        </w:rPr>
        <w:t>沿204国道、新厂铁路、开源大道等主要交通干线设置20~30米的防护绿地。沿栟茶运河、如海运河、备战河等河流设置不低于10米的防护绿地。北部片区设置2处公园绿地。城市绿线</w:t>
      </w:r>
      <w:r>
        <w:rPr>
          <w:rFonts w:hint="eastAsia"/>
          <w:color w:val="auto"/>
          <w:lang w:eastAsia="zh-CN"/>
        </w:rPr>
        <w:t>规划见图2.1.7-1。</w:t>
      </w:r>
    </w:p>
    <w:p>
      <w:pPr>
        <w:pStyle w:val="6"/>
        <w:bidi w:val="0"/>
        <w:rPr>
          <w:rFonts w:hint="eastAsia"/>
          <w:lang w:eastAsia="zh-CN"/>
        </w:rPr>
      </w:pPr>
      <w:r>
        <w:rPr>
          <w:rFonts w:hint="eastAsia"/>
          <w:lang w:eastAsia="zh-CN"/>
        </w:rPr>
        <w:t>环境保护规划</w:t>
      </w:r>
    </w:p>
    <w:p>
      <w:pPr>
        <w:pStyle w:val="4"/>
        <w:bidi w:val="0"/>
        <w:rPr>
          <w:rFonts w:hint="eastAsia"/>
          <w:color w:val="auto"/>
          <w:lang w:eastAsia="zh-CN"/>
        </w:rPr>
      </w:pPr>
      <w:r>
        <w:rPr>
          <w:rFonts w:hint="eastAsia"/>
          <w:color w:val="auto"/>
          <w:lang w:val="en-US" w:eastAsia="zh-CN"/>
        </w:rPr>
        <w:t>1、</w:t>
      </w:r>
      <w:r>
        <w:rPr>
          <w:rFonts w:hint="eastAsia"/>
          <w:color w:val="auto"/>
          <w:lang w:eastAsia="zh-CN"/>
        </w:rPr>
        <w:t>环境质量目标</w:t>
      </w:r>
    </w:p>
    <w:p>
      <w:pPr>
        <w:pStyle w:val="4"/>
        <w:bidi w:val="0"/>
        <w:rPr>
          <w:rFonts w:hint="eastAsia"/>
          <w:color w:val="auto"/>
          <w:lang w:eastAsia="zh-CN"/>
        </w:rPr>
      </w:pPr>
      <w:r>
        <w:rPr>
          <w:rFonts w:hint="eastAsia"/>
          <w:color w:val="auto"/>
          <w:lang w:eastAsia="zh-CN"/>
        </w:rPr>
        <w:t>大气环境：</w:t>
      </w:r>
      <w:bookmarkStart w:id="5" w:name="_Toc211410246"/>
      <w:bookmarkStart w:id="6" w:name="_Toc157432609"/>
      <w:bookmarkStart w:id="7" w:name="_Toc211392279"/>
      <w:bookmarkStart w:id="8" w:name="_Toc157410740"/>
      <w:r>
        <w:rPr>
          <w:rFonts w:hint="eastAsia"/>
          <w:color w:val="auto"/>
          <w:lang w:eastAsia="zh-CN"/>
        </w:rPr>
        <w:t>大气环境达到国家大气环境质量二级标准</w:t>
      </w:r>
      <w:bookmarkEnd w:id="5"/>
      <w:bookmarkEnd w:id="6"/>
      <w:bookmarkEnd w:id="7"/>
      <w:bookmarkEnd w:id="8"/>
      <w:r>
        <w:rPr>
          <w:rFonts w:hint="eastAsia"/>
          <w:color w:val="auto"/>
          <w:lang w:eastAsia="zh-CN"/>
        </w:rPr>
        <w:t>。</w:t>
      </w:r>
    </w:p>
    <w:p>
      <w:pPr>
        <w:pStyle w:val="4"/>
        <w:bidi w:val="0"/>
        <w:rPr>
          <w:rFonts w:hint="eastAsia"/>
          <w:color w:val="auto"/>
          <w:lang w:eastAsia="zh-CN"/>
        </w:rPr>
      </w:pPr>
      <w:r>
        <w:rPr>
          <w:rFonts w:hint="eastAsia"/>
          <w:color w:val="auto"/>
          <w:lang w:eastAsia="zh-CN"/>
        </w:rPr>
        <w:t>水环境：</w:t>
      </w:r>
      <w:r>
        <w:rPr>
          <w:rFonts w:hint="eastAsia"/>
          <w:color w:val="auto"/>
          <w:lang w:val="en-US" w:eastAsia="zh-CN"/>
        </w:rPr>
        <w:t>电子信息产业园</w:t>
      </w:r>
      <w:r>
        <w:rPr>
          <w:rFonts w:hint="eastAsia"/>
          <w:color w:val="auto"/>
          <w:lang w:eastAsia="zh-CN"/>
        </w:rPr>
        <w:t>所在区域主要水系栟茶运河、如海运河、</w:t>
      </w:r>
      <w:r>
        <w:rPr>
          <w:rFonts w:hint="eastAsia"/>
          <w:color w:val="auto"/>
          <w:lang w:val="en-US" w:eastAsia="zh-CN"/>
        </w:rPr>
        <w:t>备战河、八一河胜利河</w:t>
      </w:r>
      <w:r>
        <w:rPr>
          <w:rFonts w:hint="eastAsia"/>
          <w:color w:val="auto"/>
          <w:lang w:eastAsia="zh-CN"/>
        </w:rPr>
        <w:t>等达到《地表水环境质量标准》中的Ⅲ类标准。</w:t>
      </w:r>
    </w:p>
    <w:p>
      <w:pPr>
        <w:pStyle w:val="4"/>
        <w:bidi w:val="0"/>
        <w:rPr>
          <w:rFonts w:hint="eastAsia"/>
          <w:color w:val="auto"/>
          <w:lang w:eastAsia="zh-CN"/>
        </w:rPr>
      </w:pPr>
      <w:r>
        <w:rPr>
          <w:rFonts w:hint="eastAsia"/>
          <w:color w:val="auto"/>
          <w:lang w:eastAsia="zh-CN"/>
        </w:rPr>
        <w:t>声环境：居住、医疗卫生、文化教育、科研设计、行政办公区为声环境1 区，工业、仓储区为声环境3类区，交通干线两侧为噪声环境4类区，其中高速公路、一级公路、城市快速路、城市主干路、城市次干路、内河航道两侧为4a类。</w:t>
      </w:r>
    </w:p>
    <w:p>
      <w:pPr>
        <w:pStyle w:val="4"/>
        <w:bidi w:val="0"/>
        <w:rPr>
          <w:rFonts w:hint="eastAsia"/>
          <w:color w:val="auto"/>
          <w:lang w:eastAsia="zh-CN"/>
        </w:rPr>
      </w:pPr>
      <w:r>
        <w:rPr>
          <w:rFonts w:hint="eastAsia"/>
          <w:color w:val="auto"/>
          <w:lang w:val="en-US" w:eastAsia="zh-CN"/>
        </w:rPr>
        <w:t>2、</w:t>
      </w:r>
      <w:r>
        <w:rPr>
          <w:rFonts w:hint="eastAsia"/>
          <w:color w:val="auto"/>
          <w:lang w:eastAsia="zh-CN"/>
        </w:rPr>
        <w:t>大气环境治理</w:t>
      </w:r>
    </w:p>
    <w:p>
      <w:pPr>
        <w:pStyle w:val="4"/>
        <w:bidi w:val="0"/>
        <w:rPr>
          <w:rFonts w:hint="eastAsia"/>
          <w:color w:val="auto"/>
          <w:lang w:eastAsia="zh-CN"/>
        </w:rPr>
      </w:pPr>
      <w:r>
        <w:rPr>
          <w:rFonts w:hint="eastAsia"/>
          <w:color w:val="auto"/>
          <w:lang w:eastAsia="zh-CN"/>
        </w:rPr>
        <w:t>根据国家产业政策按规模和工艺逐步淘汰落后工艺，为</w:t>
      </w:r>
      <w:r>
        <w:rPr>
          <w:rFonts w:hint="eastAsia"/>
          <w:color w:val="auto"/>
          <w:lang w:val="en-US" w:eastAsia="zh-CN"/>
        </w:rPr>
        <w:t>电子信息产业园</w:t>
      </w:r>
      <w:r>
        <w:rPr>
          <w:rFonts w:hint="eastAsia"/>
          <w:color w:val="auto"/>
          <w:lang w:eastAsia="zh-CN"/>
        </w:rPr>
        <w:t xml:space="preserve">腾出足够环境容量，用以发展低能耗、高附加值行业。严格控制污染源进入，加强沿河绿带建设，净化空气环境，减少工业废气排放。严格控制企业废气排放，加强企业排污监控，在工业集中区域内统一栽种抗毒解毒力强的树种，在生活居住区、行政办公区内种植净化能力强的树种。在粉尘污染源与生活区、办公区间设置高大阔叶乔木林带，可阻挡和吸滞粉尘。 </w:t>
      </w:r>
    </w:p>
    <w:p>
      <w:pPr>
        <w:pStyle w:val="4"/>
        <w:bidi w:val="0"/>
        <w:rPr>
          <w:rFonts w:hint="eastAsia"/>
          <w:color w:val="auto"/>
          <w:lang w:eastAsia="zh-CN"/>
        </w:rPr>
      </w:pPr>
      <w:r>
        <w:rPr>
          <w:rFonts w:hint="eastAsia"/>
          <w:color w:val="auto"/>
          <w:lang w:val="en-US" w:eastAsia="zh-CN"/>
        </w:rPr>
        <w:t>3、</w:t>
      </w:r>
      <w:r>
        <w:rPr>
          <w:rFonts w:hint="eastAsia"/>
          <w:color w:val="auto"/>
          <w:lang w:eastAsia="zh-CN"/>
        </w:rPr>
        <w:t>水环境治理</w:t>
      </w:r>
    </w:p>
    <w:p>
      <w:pPr>
        <w:pStyle w:val="4"/>
        <w:bidi w:val="0"/>
        <w:rPr>
          <w:rFonts w:hint="eastAsia"/>
          <w:color w:val="auto"/>
          <w:lang w:eastAsia="zh-CN"/>
        </w:rPr>
      </w:pPr>
      <w:r>
        <w:rPr>
          <w:rFonts w:hint="eastAsia"/>
          <w:color w:val="auto"/>
          <w:lang w:eastAsia="zh-CN"/>
        </w:rPr>
        <w:t>规划采用雨污分流的排水体制。电子信息产业园污水集中处理率达到100%。加强河道监测和监管，坚决依法取缔非法排污口，禁止有毒有害物质进入河道。全面控制初雨径流污染，通过提高透水地面比例、推广下凹式绿地等措施，增加雨水下渗量，建设雨水留蓄与利用系统，减少初雨径流污染排放量。通过湿地建设、河道生态改造及河岸带生态建设，修复河流生态系统功能，改善河流水质。</w:t>
      </w:r>
    </w:p>
    <w:p>
      <w:pPr>
        <w:pStyle w:val="4"/>
        <w:bidi w:val="0"/>
        <w:rPr>
          <w:rFonts w:hint="eastAsia"/>
          <w:color w:val="auto"/>
          <w:lang w:eastAsia="zh-CN"/>
        </w:rPr>
      </w:pPr>
      <w:r>
        <w:rPr>
          <w:rFonts w:hint="eastAsia"/>
          <w:color w:val="auto"/>
          <w:lang w:val="en-US" w:eastAsia="zh-CN"/>
        </w:rPr>
        <w:t>4、</w:t>
      </w:r>
      <w:r>
        <w:rPr>
          <w:rFonts w:hint="eastAsia"/>
          <w:color w:val="auto"/>
          <w:lang w:eastAsia="zh-CN"/>
        </w:rPr>
        <w:t>声环境治理</w:t>
      </w:r>
    </w:p>
    <w:p>
      <w:pPr>
        <w:pStyle w:val="4"/>
        <w:bidi w:val="0"/>
        <w:rPr>
          <w:rFonts w:hint="eastAsia"/>
          <w:color w:val="auto"/>
          <w:lang w:eastAsia="zh-CN"/>
        </w:rPr>
      </w:pPr>
      <w:r>
        <w:rPr>
          <w:rFonts w:hint="eastAsia"/>
          <w:color w:val="auto"/>
          <w:lang w:eastAsia="zh-CN"/>
        </w:rPr>
        <w:t xml:space="preserve">通过优化城市交通网络保持道路畅通、保持良好交通秩序，加强路面保养、减少车辆颠簸振动噪声，禁止噪声超标车辆上路行驶等措施加以控制。合理设置道路隔音屏与绿色声屏障，可采用侧枝发达、枝叶茂密的常绿植物构成绿色长廊，将机动车道与步行道隔离。绿色长廊的植物株间成“品”字形交错配置，并在株间栽植灌木。在步行道和建筑之间再配以乔、灌、草结合的植物群落，逐级削减噪声。 </w:t>
      </w:r>
    </w:p>
    <w:p>
      <w:pPr>
        <w:pStyle w:val="4"/>
        <w:bidi w:val="0"/>
        <w:rPr>
          <w:rFonts w:hint="eastAsia"/>
          <w:color w:val="auto"/>
          <w:lang w:eastAsia="zh-CN"/>
        </w:rPr>
      </w:pPr>
      <w:r>
        <w:rPr>
          <w:rFonts w:hint="eastAsia"/>
          <w:color w:val="auto"/>
          <w:lang w:val="en-US" w:eastAsia="zh-CN"/>
        </w:rPr>
        <w:t>5、</w:t>
      </w:r>
      <w:r>
        <w:rPr>
          <w:rFonts w:hint="eastAsia"/>
          <w:color w:val="auto"/>
          <w:lang w:eastAsia="zh-CN"/>
        </w:rPr>
        <w:t>固体废物治理</w:t>
      </w:r>
    </w:p>
    <w:p>
      <w:pPr>
        <w:pStyle w:val="4"/>
        <w:bidi w:val="0"/>
        <w:rPr>
          <w:rFonts w:hint="eastAsia"/>
          <w:color w:val="auto"/>
          <w:lang w:eastAsia="zh-CN"/>
        </w:rPr>
      </w:pPr>
      <w:r>
        <w:rPr>
          <w:rFonts w:hint="eastAsia"/>
          <w:color w:val="auto"/>
          <w:lang w:eastAsia="zh-CN"/>
        </w:rPr>
        <w:t>工业固体废物综合利用率达到100%，有毒有害废物处置率达到100%，生活垃圾处理率达到100%。根据“减量化、资源化、无害化”的原则，推行垃圾分类，建立垃圾分类收集、转运处理系统，回收利用使之重新变成资源。本规划垃圾分类收集系统普及率应达到100%。</w:t>
      </w:r>
    </w:p>
    <w:p>
      <w:pPr>
        <w:pStyle w:val="3"/>
        <w:rPr>
          <w:color w:val="auto"/>
        </w:rPr>
      </w:pPr>
      <w:bookmarkStart w:id="9" w:name="_Toc7772"/>
      <w:r>
        <w:rPr>
          <w:rFonts w:hint="eastAsia"/>
          <w:color w:val="auto"/>
        </w:rPr>
        <w:t>规划协调性分析</w:t>
      </w:r>
      <w:bookmarkEnd w:id="9"/>
    </w:p>
    <w:p>
      <w:pPr>
        <w:pStyle w:val="4"/>
        <w:rPr>
          <w:rFonts w:hint="eastAsia"/>
          <w:color w:val="auto"/>
        </w:rPr>
      </w:pPr>
      <w:r>
        <w:rPr>
          <w:color w:val="auto"/>
        </w:rPr>
        <w:t>本次规划符合</w:t>
      </w:r>
      <w:r>
        <w:rPr>
          <w:rFonts w:hint="eastAsia"/>
          <w:color w:val="auto"/>
        </w:rPr>
        <w:t>《省政府关于印发江苏省国民经济和社会发展第十四个五年规划和二〇三五年远景目标纲要的通知》、</w:t>
      </w:r>
      <w:r>
        <w:rPr>
          <w:color w:val="auto"/>
        </w:rPr>
        <w:t>《江苏省主体功能区规划》、《南通市国民经济和社会发展第十四个五年规划纲要》的相关要求。</w:t>
      </w:r>
      <w:r>
        <w:rPr>
          <w:rFonts w:hint="eastAsia"/>
          <w:color w:val="auto"/>
        </w:rPr>
        <w:t>本次规划与《</w:t>
      </w:r>
      <w:r>
        <w:rPr>
          <w:rFonts w:hint="eastAsia"/>
          <w:color w:val="auto"/>
          <w:lang w:val="en-US" w:eastAsia="zh-CN"/>
        </w:rPr>
        <w:t>海安县</w:t>
      </w:r>
      <w:r>
        <w:rPr>
          <w:rFonts w:hint="eastAsia"/>
          <w:color w:val="auto"/>
        </w:rPr>
        <w:t>城市总体规划》（</w:t>
      </w:r>
      <w:r>
        <w:rPr>
          <w:color w:val="auto"/>
        </w:rPr>
        <w:t>2013-2030）、</w:t>
      </w:r>
      <w:r>
        <w:rPr>
          <w:rFonts w:hint="eastAsia"/>
          <w:color w:val="auto"/>
        </w:rPr>
        <w:t>《</w:t>
      </w:r>
      <w:r>
        <w:rPr>
          <w:rFonts w:hint="eastAsia"/>
          <w:color w:val="auto"/>
          <w:lang w:val="en-US" w:eastAsia="zh-CN"/>
        </w:rPr>
        <w:t>海安市国土空间规划近期实施方案</w:t>
      </w:r>
      <w:r>
        <w:rPr>
          <w:rFonts w:hint="eastAsia"/>
          <w:color w:val="auto"/>
        </w:rPr>
        <w:t>》等规划</w:t>
      </w:r>
      <w:r>
        <w:rPr>
          <w:rFonts w:hint="eastAsia"/>
          <w:color w:val="auto"/>
          <w:lang w:val="en-US" w:eastAsia="zh-CN"/>
        </w:rPr>
        <w:t>不完全相符</w:t>
      </w:r>
      <w:r>
        <w:rPr>
          <w:rFonts w:hint="eastAsia"/>
          <w:color w:val="auto"/>
        </w:rPr>
        <w:t>，</w:t>
      </w:r>
      <w:r>
        <w:rPr>
          <w:rFonts w:hint="eastAsia"/>
          <w:color w:val="auto"/>
          <w:lang w:val="en-US" w:eastAsia="zh-CN"/>
        </w:rPr>
        <w:t>本次规划区</w:t>
      </w:r>
      <w:r>
        <w:rPr>
          <w:rFonts w:hint="eastAsia"/>
          <w:color w:val="auto"/>
        </w:rPr>
        <w:t>占用</w:t>
      </w:r>
      <w:r>
        <w:rPr>
          <w:rFonts w:hint="eastAsia"/>
          <w:color w:val="auto"/>
          <w:lang w:val="en-US" w:eastAsia="zh-CN"/>
        </w:rPr>
        <w:t>农林用地约300</w:t>
      </w:r>
      <w:r>
        <w:rPr>
          <w:rFonts w:hint="eastAsia"/>
          <w:color w:val="auto"/>
        </w:rPr>
        <w:t>公顷，</w:t>
      </w:r>
      <w:r>
        <w:rPr>
          <w:rFonts w:hint="eastAsia"/>
          <w:color w:val="auto"/>
          <w:lang w:val="en-US" w:eastAsia="zh-CN"/>
        </w:rPr>
        <w:t>其中基本农田98公顷，规划近期不占用基本农田，远期占用基本农田98公顷。</w:t>
      </w:r>
      <w:r>
        <w:rPr>
          <w:rFonts w:hint="eastAsia"/>
          <w:color w:val="auto"/>
        </w:rPr>
        <w:t>在本次规划发展过程中，严格控制占用</w:t>
      </w:r>
      <w:r>
        <w:rPr>
          <w:rFonts w:hint="eastAsia"/>
          <w:color w:val="auto"/>
          <w:lang w:val="en-US" w:eastAsia="zh-CN"/>
        </w:rPr>
        <w:t>农林用地和基本农田</w:t>
      </w:r>
      <w:r>
        <w:rPr>
          <w:rFonts w:hint="eastAsia"/>
          <w:color w:val="auto"/>
        </w:rPr>
        <w:t>，具体地块的开发需与</w:t>
      </w:r>
      <w:r>
        <w:rPr>
          <w:rFonts w:hint="eastAsia"/>
          <w:color w:val="auto"/>
          <w:lang w:val="en-US" w:eastAsia="zh-CN"/>
        </w:rPr>
        <w:t>海安市</w:t>
      </w:r>
      <w:r>
        <w:rPr>
          <w:rFonts w:hint="eastAsia"/>
          <w:color w:val="auto"/>
        </w:rPr>
        <w:t>国土空间规划相一致；</w:t>
      </w:r>
      <w:r>
        <w:rPr>
          <w:rFonts w:hint="eastAsia"/>
          <w:color w:val="auto"/>
          <w:lang w:val="en-US" w:eastAsia="zh-CN"/>
        </w:rPr>
        <w:t>远期若开发基本农田</w:t>
      </w:r>
      <w:r>
        <w:rPr>
          <w:rFonts w:hint="eastAsia"/>
          <w:color w:val="auto"/>
        </w:rPr>
        <w:t>，需严格执行《中华人民共和国土地管理法》</w:t>
      </w:r>
      <w:r>
        <w:rPr>
          <w:rFonts w:hint="eastAsia"/>
          <w:color w:val="auto"/>
          <w:lang w:val="en-US" w:eastAsia="zh-CN"/>
        </w:rPr>
        <w:t>和《基本农田保护条例》</w:t>
      </w:r>
      <w:r>
        <w:rPr>
          <w:rFonts w:hint="eastAsia"/>
          <w:color w:val="auto"/>
        </w:rPr>
        <w:t>，单独向自然资源部门申请，制定占补平衡方案，获得相关部门批准耕地调整后方可农用地转用。在获得调整批准前，明确耕地利用优先序，对</w:t>
      </w:r>
      <w:r>
        <w:rPr>
          <w:rFonts w:hint="eastAsia"/>
          <w:color w:val="auto"/>
          <w:lang w:val="en-US" w:eastAsia="zh-CN"/>
        </w:rPr>
        <w:t>基本农田</w:t>
      </w:r>
      <w:r>
        <w:rPr>
          <w:rFonts w:hint="eastAsia"/>
          <w:color w:val="auto"/>
        </w:rPr>
        <w:t>实行特殊保护和用途管制。</w:t>
      </w:r>
    </w:p>
    <w:p>
      <w:pPr>
        <w:pStyle w:val="4"/>
        <w:rPr>
          <w:color w:val="auto"/>
        </w:rPr>
      </w:pPr>
      <w:r>
        <w:rPr>
          <w:rFonts w:hint="eastAsia"/>
          <w:color w:val="auto"/>
        </w:rPr>
        <w:t>对照《关于加强长江经济带工业绿色发展的指导意见》、《长江经济带发展负面清单指南（试行）》和《长江经济带发展负面清单指南》江苏省实施细则（试行）、《江苏省煤炭消费减量替代工作方案》、《江苏省“绿岛”项目管理办法（试行）》</w:t>
      </w:r>
      <w:r>
        <w:rPr>
          <w:rFonts w:hint="eastAsia"/>
          <w:color w:val="auto"/>
          <w:lang w:eastAsia="zh-CN"/>
        </w:rPr>
        <w:t>、</w:t>
      </w:r>
      <w:r>
        <w:rPr>
          <w:rFonts w:hint="eastAsia"/>
          <w:color w:val="auto"/>
        </w:rPr>
        <w:t>《省政府关于推进绿色产业发展的意见》</w:t>
      </w:r>
      <w:r>
        <w:rPr>
          <w:rFonts w:hint="eastAsia"/>
          <w:color w:val="auto"/>
          <w:lang w:eastAsia="zh-CN"/>
        </w:rPr>
        <w:t>、《南通市关于加大污染减排力度推进重点行业绿色发展的指导意见》</w:t>
      </w:r>
      <w:r>
        <w:rPr>
          <w:color w:val="auto"/>
        </w:rPr>
        <w:t>的相关要求，</w:t>
      </w:r>
      <w:r>
        <w:rPr>
          <w:rFonts w:hint="eastAsia"/>
          <w:color w:val="auto"/>
        </w:rPr>
        <w:t>本次规划用地布局</w:t>
      </w:r>
      <w:r>
        <w:rPr>
          <w:rFonts w:hint="eastAsia"/>
          <w:color w:val="auto"/>
          <w:lang w:val="en-US" w:eastAsia="zh-CN"/>
        </w:rPr>
        <w:t>存在占用农林用地和基本农田</w:t>
      </w:r>
      <w:r>
        <w:rPr>
          <w:rFonts w:hint="eastAsia"/>
          <w:color w:val="auto"/>
        </w:rPr>
        <w:t>的限制因素。</w:t>
      </w:r>
    </w:p>
    <w:p>
      <w:pPr>
        <w:pStyle w:val="4"/>
        <w:rPr>
          <w:rFonts w:hint="eastAsia"/>
          <w:color w:val="auto"/>
        </w:rPr>
      </w:pPr>
      <w:r>
        <w:rPr>
          <w:color w:val="auto"/>
        </w:rPr>
        <w:t>对照</w:t>
      </w:r>
      <w:r>
        <w:rPr>
          <w:rFonts w:hint="eastAsia"/>
          <w:color w:val="auto"/>
          <w:lang w:eastAsia="zh-CN"/>
        </w:rPr>
        <w:t>《</w:t>
      </w:r>
      <w:r>
        <w:rPr>
          <w:rFonts w:hint="eastAsia"/>
          <w:color w:val="auto"/>
          <w:lang w:val="en-US" w:eastAsia="zh-CN"/>
        </w:rPr>
        <w:t>江苏省通榆河水污染防治条例</w:t>
      </w:r>
      <w:r>
        <w:rPr>
          <w:rFonts w:hint="eastAsia"/>
          <w:color w:val="auto"/>
          <w:lang w:eastAsia="zh-CN"/>
        </w:rPr>
        <w:t>》、《</w:t>
      </w:r>
      <w:r>
        <w:rPr>
          <w:rFonts w:hint="eastAsia"/>
          <w:color w:val="auto"/>
          <w:lang w:val="en-US" w:eastAsia="zh-CN"/>
        </w:rPr>
        <w:t>江苏省十四五生态环境保护规划</w:t>
      </w:r>
      <w:r>
        <w:rPr>
          <w:rFonts w:hint="eastAsia"/>
          <w:color w:val="auto"/>
          <w:lang w:eastAsia="zh-CN"/>
        </w:rPr>
        <w:t>》</w:t>
      </w:r>
      <w:r>
        <w:rPr>
          <w:color w:val="auto"/>
        </w:rPr>
        <w:t>、《关于全面加强生态环境保护坚决打好污染防治攻坚战的实施意见》、大气污染防治工作方案、水污染防治工作方案、土壤污染防治工作方案、《江苏省生态空间管控区域规划》</w:t>
      </w:r>
      <w:r>
        <w:rPr>
          <w:rFonts w:hint="eastAsia"/>
          <w:color w:val="auto"/>
          <w:lang w:eastAsia="zh-CN"/>
        </w:rPr>
        <w:t>、</w:t>
      </w:r>
      <w:r>
        <w:rPr>
          <w:color w:val="auto"/>
        </w:rPr>
        <w:t>《江苏省国家级生态保护红线规划》、《省政府办公厅关于印发江苏省生态空间管控区域监督管理办法的通知》、</w:t>
      </w:r>
      <w:r>
        <w:rPr>
          <w:rFonts w:hint="eastAsia"/>
          <w:color w:val="auto"/>
          <w:lang w:eastAsia="zh-CN"/>
        </w:rPr>
        <w:t>《</w:t>
      </w:r>
      <w:r>
        <w:rPr>
          <w:rFonts w:hint="eastAsia"/>
          <w:color w:val="auto"/>
          <w:lang w:val="en-US" w:eastAsia="zh-CN"/>
        </w:rPr>
        <w:t>南通市十四五生态环境保护规划</w:t>
      </w:r>
      <w:r>
        <w:rPr>
          <w:rFonts w:hint="eastAsia"/>
          <w:color w:val="auto"/>
          <w:lang w:eastAsia="zh-CN"/>
        </w:rPr>
        <w:t>》、</w:t>
      </w:r>
      <w:r>
        <w:rPr>
          <w:color w:val="auto"/>
        </w:rPr>
        <w:t>《南通市长江经济带生态环境保护实施规划》、《关于加强高耗能、高排放建设项目生态环境源头防控的指导意见》</w:t>
      </w:r>
      <w:r>
        <w:rPr>
          <w:rFonts w:hint="eastAsia"/>
          <w:color w:val="auto"/>
        </w:rPr>
        <w:t>等，</w:t>
      </w:r>
      <w:r>
        <w:rPr>
          <w:color w:val="auto"/>
        </w:rPr>
        <w:t>本次</w:t>
      </w:r>
      <w:r>
        <w:rPr>
          <w:rFonts w:hint="eastAsia"/>
          <w:color w:val="auto"/>
          <w:lang w:val="en-US" w:eastAsia="zh-CN"/>
        </w:rPr>
        <w:t>规划占用通榆河一级保护区约2.6平方公里，本次评价提出严格执行《江苏省通榆河水污染防治条例》要求，引进污染对水环境影响小的项目，设置绿化隔离带等要求。</w:t>
      </w:r>
    </w:p>
    <w:p>
      <w:pPr>
        <w:rPr>
          <w:rFonts w:hint="eastAsia"/>
          <w:color w:val="auto"/>
        </w:rPr>
      </w:pPr>
      <w:r>
        <w:rPr>
          <w:rFonts w:hint="eastAsia"/>
          <w:color w:val="auto"/>
        </w:rPr>
        <w:br w:type="page"/>
      </w:r>
    </w:p>
    <w:p>
      <w:pPr>
        <w:pStyle w:val="2"/>
        <w:bidi w:val="0"/>
        <w:rPr>
          <w:color w:val="auto"/>
        </w:rPr>
      </w:pPr>
      <w:bookmarkStart w:id="10" w:name="_Toc10950"/>
      <w:r>
        <w:rPr>
          <w:rFonts w:hint="eastAsia"/>
          <w:color w:val="auto"/>
        </w:rPr>
        <w:t>区域开发现状</w:t>
      </w:r>
      <w:bookmarkEnd w:id="10"/>
    </w:p>
    <w:p>
      <w:pPr>
        <w:pStyle w:val="3"/>
        <w:bidi w:val="0"/>
        <w:rPr>
          <w:rFonts w:hint="eastAsia"/>
          <w:color w:val="auto"/>
          <w:lang w:val="en-US" w:eastAsia="zh-CN"/>
        </w:rPr>
      </w:pPr>
      <w:bookmarkStart w:id="11" w:name="_Toc458"/>
      <w:r>
        <w:rPr>
          <w:rFonts w:hint="eastAsia"/>
          <w:color w:val="auto"/>
          <w:lang w:val="en-US" w:eastAsia="zh-CN"/>
        </w:rPr>
        <w:t>区域开发现状</w:t>
      </w:r>
      <w:bookmarkEnd w:id="11"/>
    </w:p>
    <w:p>
      <w:pPr>
        <w:pStyle w:val="4"/>
        <w:rPr>
          <w:rFonts w:hint="eastAsia"/>
          <w:color w:val="auto"/>
          <w:lang w:val="en-US" w:eastAsia="zh-CN"/>
        </w:rPr>
      </w:pPr>
      <w:r>
        <w:rPr>
          <w:rFonts w:hint="eastAsia"/>
          <w:color w:val="auto"/>
          <w:lang w:val="en-US" w:eastAsia="zh-CN"/>
        </w:rPr>
        <w:t>电子信息产业园规划总面积550.6公顷。现状用地以农林用地和村庄建设用地为主。城乡建设用地共198.20公顷，约占规划总用地的36.00%，其中城市建设用地61.29公顷，占总用地的11.13%；村庄建设用地136.91公顷，占总用地的24.87%；农林用地295.45公顷，占总用地的53.66%。</w:t>
      </w:r>
    </w:p>
    <w:p>
      <w:pPr>
        <w:pStyle w:val="4"/>
        <w:rPr>
          <w:rFonts w:hint="eastAsia"/>
          <w:color w:val="auto"/>
          <w:lang w:val="en-US" w:eastAsia="zh-CN"/>
        </w:rPr>
      </w:pPr>
      <w:r>
        <w:rPr>
          <w:rFonts w:hint="eastAsia"/>
          <w:color w:val="auto"/>
          <w:lang w:val="en-US" w:eastAsia="zh-CN"/>
        </w:rPr>
        <w:t>城市建设用地构成包括工业用地、道路与交通设施用地、公共管理与公共服务设施用地，用地类型以工业用地为主，面积为50.30公顷，占规划总用地的9.14%。</w:t>
      </w:r>
    </w:p>
    <w:p>
      <w:pPr>
        <w:pStyle w:val="4"/>
        <w:rPr>
          <w:rFonts w:hint="eastAsia"/>
          <w:color w:val="auto"/>
          <w:lang w:val="en-US" w:eastAsia="zh-CN"/>
        </w:rPr>
      </w:pPr>
      <w:r>
        <w:rPr>
          <w:rFonts w:hint="eastAsia"/>
          <w:color w:val="auto"/>
          <w:lang w:val="en-US" w:eastAsia="zh-CN"/>
        </w:rPr>
        <w:t>现状工业用地全部为二类工业用地，分布相对集中，主要分布在栟茶运河以南中部区域，并形成了小规模的工业集聚区，栟茶运河以北区域则零星散布一些工业用地。</w:t>
      </w:r>
    </w:p>
    <w:p>
      <w:pPr>
        <w:pStyle w:val="4"/>
        <w:rPr>
          <w:rFonts w:hint="default"/>
          <w:color w:val="auto"/>
          <w:lang w:val="en-US" w:eastAsia="zh-CN"/>
        </w:rPr>
      </w:pPr>
      <w:r>
        <w:rPr>
          <w:rFonts w:hint="eastAsia"/>
          <w:color w:val="auto"/>
          <w:lang w:val="en-US" w:eastAsia="zh-CN"/>
        </w:rPr>
        <w:t>目前电子信息产业园内还未敷设排水管网和供热管网。仅有1家纺织企业自建污水处理设施，废水处理达标后排入胜利河。其他企业均不产生或排放生产废水，生活污水经化粪池处理后定期由专业运输车运送作为肥料回田。目前无集中供热，无燃煤锅炉，1家企业自建锅炉用于生产供热，燃料为天然气清洁能源，且锅炉已完成低氮改造。</w:t>
      </w:r>
    </w:p>
    <w:p>
      <w:pPr>
        <w:pStyle w:val="4"/>
        <w:rPr>
          <w:rFonts w:hint="default"/>
          <w:color w:val="auto"/>
          <w:lang w:val="en-US" w:eastAsia="zh-CN"/>
        </w:rPr>
      </w:pPr>
      <w:r>
        <w:rPr>
          <w:rFonts w:hint="eastAsia"/>
          <w:color w:val="auto"/>
          <w:lang w:val="en-US" w:eastAsia="zh-CN"/>
        </w:rPr>
        <w:t>电子信息产业园共有13家企业内共计14个项目，行业类别主要为电器机械和器材制造业、非金属矿物制品业、纺织业、金属制品业、通用设备制造业、专用设备制造业等，其中已建9家企业10个项目，环评已批拟建/在建项目4个，2个项目为纺织业，4个为非金属矿物制品业，不符合此次规划的产业定位。</w:t>
      </w:r>
    </w:p>
    <w:p>
      <w:pPr>
        <w:pStyle w:val="3"/>
        <w:bidi w:val="0"/>
        <w:rPr>
          <w:rFonts w:hint="eastAsia"/>
          <w:color w:val="auto"/>
          <w:lang w:val="en-US" w:eastAsia="zh-CN"/>
        </w:rPr>
      </w:pPr>
      <w:bookmarkStart w:id="12" w:name="_Toc8103"/>
      <w:r>
        <w:rPr>
          <w:rFonts w:hint="eastAsia"/>
          <w:color w:val="auto"/>
          <w:lang w:val="en-US" w:eastAsia="zh-CN"/>
        </w:rPr>
        <w:t>环境质量现状</w:t>
      </w:r>
      <w:bookmarkEnd w:id="12"/>
    </w:p>
    <w:p>
      <w:pPr>
        <w:pStyle w:val="4"/>
        <w:rPr>
          <w:rFonts w:hint="default"/>
          <w:color w:val="auto"/>
          <w:lang w:val="en-US" w:eastAsia="zh-CN"/>
        </w:rPr>
      </w:pPr>
      <w:r>
        <w:rPr>
          <w:rFonts w:hint="default"/>
          <w:color w:val="auto"/>
          <w:lang w:val="en-US" w:eastAsia="zh-CN"/>
        </w:rPr>
        <w:t>①大气环境</w:t>
      </w:r>
    </w:p>
    <w:p>
      <w:pPr>
        <w:pStyle w:val="4"/>
        <w:rPr>
          <w:rFonts w:hint="default"/>
          <w:color w:val="auto"/>
          <w:lang w:val="en-US" w:eastAsia="zh-CN"/>
        </w:rPr>
      </w:pPr>
      <w:r>
        <w:rPr>
          <w:rFonts w:hint="default"/>
          <w:color w:val="auto"/>
          <w:lang w:val="en-US" w:eastAsia="zh-CN"/>
        </w:rPr>
        <w:t>根据海安市区和海安三角洲</w:t>
      </w:r>
      <w:r>
        <w:rPr>
          <w:rFonts w:hint="eastAsia"/>
          <w:color w:val="auto"/>
          <w:lang w:val="en-US" w:eastAsia="zh-CN"/>
        </w:rPr>
        <w:t>两个</w:t>
      </w:r>
      <w:r>
        <w:rPr>
          <w:rFonts w:hint="default"/>
          <w:color w:val="auto"/>
          <w:lang w:val="en-US" w:eastAsia="zh-CN"/>
        </w:rPr>
        <w:t>空气质量监测</w:t>
      </w:r>
      <w:r>
        <w:rPr>
          <w:rFonts w:hint="eastAsia"/>
          <w:color w:val="auto"/>
          <w:lang w:val="en-US" w:eastAsia="zh-CN"/>
        </w:rPr>
        <w:t>站</w:t>
      </w:r>
      <w:r>
        <w:rPr>
          <w:rFonts w:hint="default"/>
          <w:color w:val="auto"/>
          <w:lang w:val="en-US" w:eastAsia="zh-CN"/>
        </w:rPr>
        <w:t>2020年的监测数据，海安市为大气环境质量不达标区。</w:t>
      </w:r>
    </w:p>
    <w:p>
      <w:pPr>
        <w:pStyle w:val="4"/>
        <w:rPr>
          <w:rFonts w:hint="default"/>
          <w:color w:val="auto"/>
          <w:lang w:val="en-US" w:eastAsia="zh-CN"/>
        </w:rPr>
      </w:pPr>
      <w:r>
        <w:rPr>
          <w:rFonts w:hint="default"/>
          <w:color w:val="auto"/>
          <w:lang w:val="en-US" w:eastAsia="zh-CN"/>
        </w:rPr>
        <w:t>本次在评价区内共布设</w:t>
      </w:r>
      <w:r>
        <w:rPr>
          <w:rFonts w:hint="eastAsia"/>
          <w:color w:val="auto"/>
          <w:lang w:val="en-US" w:eastAsia="zh-CN"/>
        </w:rPr>
        <w:t>4</w:t>
      </w:r>
      <w:r>
        <w:rPr>
          <w:rFonts w:hint="default"/>
          <w:color w:val="auto"/>
          <w:lang w:val="en-US" w:eastAsia="zh-CN"/>
        </w:rPr>
        <w:t>个环境空气质量现状监测点，监测结果表明：监测期间氟化物</w:t>
      </w:r>
      <w:r>
        <w:rPr>
          <w:rFonts w:hint="eastAsia"/>
          <w:color w:val="auto"/>
          <w:lang w:val="en-US" w:eastAsia="zh-CN"/>
        </w:rPr>
        <w:t>、NOx</w:t>
      </w:r>
      <w:r>
        <w:rPr>
          <w:rFonts w:hint="default"/>
          <w:color w:val="auto"/>
          <w:lang w:val="en-US" w:eastAsia="zh-CN"/>
        </w:rPr>
        <w:t>符合《环境空气质量标准》（GB3095-2012）及其修改单中二级标准的要求；甲苯、二甲苯、NH</w:t>
      </w:r>
      <w:r>
        <w:rPr>
          <w:rFonts w:hint="default"/>
          <w:color w:val="auto"/>
          <w:vertAlign w:val="subscript"/>
          <w:lang w:val="en-US" w:eastAsia="zh-CN"/>
        </w:rPr>
        <w:t>3</w:t>
      </w:r>
      <w:r>
        <w:rPr>
          <w:rFonts w:hint="default"/>
          <w:color w:val="auto"/>
          <w:lang w:val="en-US" w:eastAsia="zh-CN"/>
        </w:rPr>
        <w:t>、H</w:t>
      </w:r>
      <w:r>
        <w:rPr>
          <w:rFonts w:hint="default"/>
          <w:color w:val="auto"/>
          <w:vertAlign w:val="subscript"/>
          <w:lang w:val="en-US" w:eastAsia="zh-CN"/>
        </w:rPr>
        <w:t>2</w:t>
      </w:r>
      <w:r>
        <w:rPr>
          <w:rFonts w:hint="default"/>
          <w:color w:val="auto"/>
          <w:lang w:val="en-US" w:eastAsia="zh-CN"/>
        </w:rPr>
        <w:t>S、HCl、硫酸雾符合《环境影响评价技术导则 大气环境》（HJ2.2-2018）附录D中标准限值；非甲烷总烃满足《大气污染物综合排放标准详解》中相关标准要求</w:t>
      </w:r>
      <w:r>
        <w:rPr>
          <w:rFonts w:hint="eastAsia"/>
          <w:color w:val="auto"/>
          <w:lang w:val="en-US" w:eastAsia="zh-CN"/>
        </w:rPr>
        <w:t>，HCN符合《前苏联居住区大气中有害物质的最大允许浓度》（CH245-71）；铬酸雾符合《工业企业设计卫生标准》（TJ36-79）中居住区大气中有害物质最高容许浓度。</w:t>
      </w:r>
      <w:r>
        <w:rPr>
          <w:rFonts w:hint="default"/>
          <w:color w:val="auto"/>
          <w:lang w:val="en-US" w:eastAsia="zh-CN"/>
        </w:rPr>
        <w:t>因此，评价区域环境空气质量现状较好。</w:t>
      </w:r>
    </w:p>
    <w:p>
      <w:pPr>
        <w:pStyle w:val="4"/>
        <w:rPr>
          <w:rFonts w:hint="default"/>
          <w:color w:val="auto"/>
          <w:lang w:val="en-US" w:eastAsia="zh-CN"/>
        </w:rPr>
      </w:pPr>
      <w:r>
        <w:rPr>
          <w:rFonts w:hint="default"/>
          <w:color w:val="auto"/>
          <w:lang w:val="en-US" w:eastAsia="zh-CN"/>
        </w:rPr>
        <w:t>根据2011-2020年度的海安市区域环境空气质量变化趋势图可以看出：SO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、PM</w:t>
      </w:r>
      <w:r>
        <w:rPr>
          <w:rFonts w:hint="default"/>
          <w:color w:val="auto"/>
          <w:vertAlign w:val="subscript"/>
          <w:lang w:val="en-US" w:eastAsia="zh-CN"/>
        </w:rPr>
        <w:t>2.5</w:t>
      </w:r>
      <w:r>
        <w:rPr>
          <w:rFonts w:hint="default"/>
          <w:color w:val="auto"/>
          <w:lang w:val="en-US" w:eastAsia="zh-CN"/>
        </w:rPr>
        <w:t>基本呈逐年下降趋势，NO</w:t>
      </w:r>
      <w:r>
        <w:rPr>
          <w:rFonts w:hint="default"/>
          <w:color w:val="auto"/>
          <w:vertAlign w:val="subscript"/>
          <w:lang w:val="en-US" w:eastAsia="zh-CN"/>
        </w:rPr>
        <w:t>2</w:t>
      </w:r>
      <w:r>
        <w:rPr>
          <w:rFonts w:hint="default"/>
          <w:color w:val="auto"/>
          <w:lang w:val="en-US" w:eastAsia="zh-CN"/>
        </w:rPr>
        <w:t>基本保持稳定，总体来说，区域环境空气质量呈改善的趋势。</w:t>
      </w:r>
    </w:p>
    <w:p>
      <w:pPr>
        <w:pStyle w:val="4"/>
        <w:rPr>
          <w:rFonts w:hint="default"/>
          <w:color w:val="auto"/>
          <w:lang w:val="en-US" w:eastAsia="zh-CN"/>
        </w:rPr>
      </w:pPr>
      <w:r>
        <w:rPr>
          <w:rFonts w:hint="default"/>
          <w:color w:val="auto"/>
          <w:lang w:val="en-US" w:eastAsia="zh-CN"/>
        </w:rPr>
        <w:t>②地表水环境</w:t>
      </w:r>
    </w:p>
    <w:p>
      <w:pPr>
        <w:pStyle w:val="4"/>
        <w:rPr>
          <w:rFonts w:hint="default"/>
          <w:color w:val="auto"/>
          <w:lang w:val="en-US" w:eastAsia="zh-CN"/>
        </w:rPr>
      </w:pPr>
      <w:r>
        <w:rPr>
          <w:rFonts w:hint="default"/>
          <w:color w:val="auto"/>
          <w:lang w:val="en-US" w:eastAsia="zh-CN"/>
        </w:rPr>
        <w:t>本次评价布设了</w:t>
      </w:r>
      <w:r>
        <w:rPr>
          <w:rFonts w:hint="eastAsia"/>
          <w:color w:val="auto"/>
          <w:lang w:val="en-US" w:eastAsia="zh-CN"/>
        </w:rPr>
        <w:t>11</w:t>
      </w:r>
      <w:r>
        <w:rPr>
          <w:rFonts w:hint="default"/>
          <w:color w:val="auto"/>
          <w:lang w:val="en-US" w:eastAsia="zh-CN"/>
        </w:rPr>
        <w:t>个监测断面，现状监测数据表明，监测期间</w:t>
      </w:r>
      <w:r>
        <w:rPr>
          <w:rFonts w:hint="eastAsia"/>
          <w:color w:val="auto"/>
          <w:lang w:val="en-US" w:eastAsia="zh-CN"/>
        </w:rPr>
        <w:t>各监测断面水质均达到地表水Ⅲ类水质标准</w:t>
      </w:r>
      <w:r>
        <w:rPr>
          <w:rFonts w:hint="default"/>
          <w:color w:val="auto"/>
          <w:lang w:val="en-US" w:eastAsia="zh-CN"/>
        </w:rPr>
        <w:t>。</w:t>
      </w:r>
      <w:bookmarkStart w:id="13" w:name="_Hlk17220532"/>
      <w:r>
        <w:rPr>
          <w:rFonts w:hint="default"/>
          <w:color w:val="auto"/>
          <w:lang w:val="en-US" w:eastAsia="zh-CN"/>
        </w:rPr>
        <w:t>由例行监测数据可知，</w:t>
      </w:r>
      <w:r>
        <w:rPr>
          <w:rFonts w:hint="eastAsia"/>
          <w:color w:val="auto"/>
          <w:lang w:val="en-US" w:eastAsia="zh-CN"/>
        </w:rPr>
        <w:t>2020年</w:t>
      </w:r>
      <w:r>
        <w:rPr>
          <w:rFonts w:hint="default"/>
          <w:color w:val="auto"/>
          <w:lang w:val="en-US" w:eastAsia="zh-CN"/>
        </w:rPr>
        <w:t>各断面大部分时间都水质维持在IV及以上标准，6~</w:t>
      </w:r>
      <w:r>
        <w:rPr>
          <w:rFonts w:hint="eastAsia"/>
          <w:color w:val="auto"/>
          <w:lang w:val="en-US" w:eastAsia="zh-CN"/>
        </w:rPr>
        <w:t>8</w:t>
      </w:r>
      <w:r>
        <w:rPr>
          <w:rFonts w:hint="default"/>
          <w:color w:val="auto"/>
          <w:lang w:val="en-US" w:eastAsia="zh-CN"/>
        </w:rPr>
        <w:t>月各断面水质总体变差</w:t>
      </w:r>
      <w:r>
        <w:rPr>
          <w:rFonts w:hint="eastAsia"/>
          <w:color w:val="auto"/>
          <w:lang w:val="en-US" w:eastAsia="zh-CN"/>
        </w:rPr>
        <w:t>，可能是汛期雨水将交通、农业面源污染物带入地表水环境</w:t>
      </w:r>
      <w:r>
        <w:rPr>
          <w:rFonts w:hint="default"/>
          <w:color w:val="auto"/>
          <w:lang w:val="en-US" w:eastAsia="zh-CN"/>
        </w:rPr>
        <w:t>。</w:t>
      </w:r>
    </w:p>
    <w:p>
      <w:pPr>
        <w:pStyle w:val="4"/>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 3 \* GB3 </w:instrText>
      </w:r>
      <w:r>
        <w:rPr>
          <w:rFonts w:hint="default"/>
          <w:color w:val="auto"/>
          <w:lang w:val="en-US" w:eastAsia="zh-CN"/>
        </w:rPr>
        <w:fldChar w:fldCharType="separate"/>
      </w:r>
      <w:r>
        <w:rPr>
          <w:rFonts w:hint="default"/>
          <w:color w:val="auto"/>
          <w:lang w:val="en-US" w:eastAsia="zh-CN"/>
        </w:rPr>
        <w:t>③</w:t>
      </w:r>
      <w:r>
        <w:rPr>
          <w:rFonts w:hint="default"/>
          <w:color w:val="auto"/>
          <w:lang w:val="en-US" w:eastAsia="zh-CN"/>
        </w:rPr>
        <w:fldChar w:fldCharType="end"/>
      </w:r>
      <w:r>
        <w:rPr>
          <w:rFonts w:hint="default"/>
          <w:color w:val="auto"/>
          <w:lang w:val="en-US" w:eastAsia="zh-CN"/>
        </w:rPr>
        <w:t>声环境</w:t>
      </w:r>
    </w:p>
    <w:p>
      <w:pPr>
        <w:pStyle w:val="4"/>
        <w:rPr>
          <w:rFonts w:hint="default"/>
          <w:color w:val="auto"/>
          <w:lang w:val="en-US" w:eastAsia="zh-CN"/>
        </w:rPr>
      </w:pPr>
      <w:r>
        <w:rPr>
          <w:rFonts w:hint="default"/>
          <w:color w:val="auto"/>
          <w:lang w:val="en-US" w:eastAsia="zh-CN"/>
        </w:rPr>
        <w:t>根据声源位置及周围环境特征，共布设</w:t>
      </w:r>
      <w:r>
        <w:rPr>
          <w:rFonts w:hint="eastAsia"/>
          <w:color w:val="auto"/>
          <w:lang w:val="en-US" w:eastAsia="zh-CN"/>
        </w:rPr>
        <w:t>7</w:t>
      </w:r>
      <w:r>
        <w:rPr>
          <w:rFonts w:hint="default"/>
          <w:color w:val="auto"/>
          <w:lang w:val="en-US" w:eastAsia="zh-CN"/>
        </w:rPr>
        <w:t>个</w:t>
      </w:r>
      <w:r>
        <w:rPr>
          <w:rFonts w:hint="eastAsia"/>
          <w:color w:val="auto"/>
          <w:lang w:val="en-US" w:eastAsia="zh-CN"/>
        </w:rPr>
        <w:t>监测</w:t>
      </w:r>
      <w:r>
        <w:rPr>
          <w:rFonts w:hint="default"/>
          <w:color w:val="auto"/>
          <w:lang w:val="en-US" w:eastAsia="zh-CN"/>
        </w:rPr>
        <w:t>点，监测结果表明监测期间各点位昼间及夜间等效声级均能满足《声环境质量标准》（GB3096-2008）相应标准要求。</w:t>
      </w:r>
    </w:p>
    <w:p>
      <w:pPr>
        <w:pStyle w:val="4"/>
        <w:rPr>
          <w:rFonts w:hint="default"/>
          <w:color w:val="auto"/>
          <w:lang w:val="en-US" w:eastAsia="zh-CN"/>
        </w:rPr>
      </w:pPr>
      <w:r>
        <w:rPr>
          <w:rFonts w:hint="default"/>
          <w:color w:val="auto"/>
          <w:lang w:val="en-US" w:eastAsia="zh-CN"/>
        </w:rPr>
        <w:t>④地下水环境</w:t>
      </w:r>
    </w:p>
    <w:p>
      <w:pPr>
        <w:pStyle w:val="4"/>
        <w:rPr>
          <w:rFonts w:hint="default"/>
          <w:color w:val="auto"/>
          <w:lang w:val="en-US" w:eastAsia="zh-CN"/>
        </w:rPr>
      </w:pPr>
      <w:r>
        <w:rPr>
          <w:rFonts w:hint="default"/>
          <w:color w:val="auto"/>
          <w:lang w:val="en-US" w:eastAsia="zh-CN"/>
        </w:rPr>
        <w:t>本次地下水评价共布设</w:t>
      </w:r>
      <w:r>
        <w:rPr>
          <w:rFonts w:hint="eastAsia"/>
          <w:color w:val="auto"/>
          <w:lang w:val="en-US" w:eastAsia="zh-CN"/>
        </w:rPr>
        <w:t>4</w:t>
      </w:r>
      <w:r>
        <w:rPr>
          <w:rFonts w:hint="default"/>
          <w:color w:val="auto"/>
          <w:lang w:val="en-US" w:eastAsia="zh-CN"/>
        </w:rPr>
        <w:t>个监测点位</w:t>
      </w:r>
      <w:r>
        <w:rPr>
          <w:rFonts w:hint="eastAsia"/>
          <w:color w:val="auto"/>
          <w:lang w:val="en-US" w:eastAsia="zh-CN"/>
        </w:rPr>
        <w:t>，</w:t>
      </w:r>
      <w:r>
        <w:rPr>
          <w:rFonts w:hint="default"/>
          <w:color w:val="auto"/>
          <w:lang w:val="en-US" w:eastAsia="zh-CN"/>
        </w:rPr>
        <w:t>各因子均满足《地下水质量标准》（GB/T14848-2017）IV类及以上标准。</w:t>
      </w:r>
    </w:p>
    <w:bookmarkEnd w:id="13"/>
    <w:p>
      <w:pPr>
        <w:pStyle w:val="4"/>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 5 \* GB3 </w:instrText>
      </w:r>
      <w:r>
        <w:rPr>
          <w:rFonts w:hint="default"/>
          <w:color w:val="auto"/>
          <w:lang w:val="en-US" w:eastAsia="zh-CN"/>
        </w:rPr>
        <w:fldChar w:fldCharType="separate"/>
      </w:r>
      <w:r>
        <w:rPr>
          <w:rFonts w:hint="default"/>
          <w:color w:val="auto"/>
          <w:lang w:val="en-US" w:eastAsia="zh-CN"/>
        </w:rPr>
        <w:t>⑤</w:t>
      </w:r>
      <w:r>
        <w:rPr>
          <w:rFonts w:hint="default"/>
          <w:color w:val="auto"/>
          <w:lang w:val="en-US" w:eastAsia="zh-CN"/>
        </w:rPr>
        <w:fldChar w:fldCharType="end"/>
      </w:r>
      <w:r>
        <w:rPr>
          <w:rFonts w:hint="default"/>
          <w:color w:val="auto"/>
          <w:lang w:val="en-US" w:eastAsia="zh-CN"/>
        </w:rPr>
        <w:t>土壤环境</w:t>
      </w:r>
    </w:p>
    <w:p>
      <w:pPr>
        <w:pStyle w:val="4"/>
        <w:rPr>
          <w:rFonts w:hint="default"/>
          <w:color w:val="auto"/>
          <w:lang w:val="en-US" w:eastAsia="zh-CN"/>
        </w:rPr>
      </w:pPr>
      <w:r>
        <w:rPr>
          <w:rFonts w:hint="default"/>
          <w:color w:val="auto"/>
          <w:lang w:val="en-US" w:eastAsia="zh-CN"/>
        </w:rPr>
        <w:t>本次土壤环境评价共布设</w:t>
      </w:r>
      <w:r>
        <w:rPr>
          <w:rFonts w:hint="eastAsia"/>
          <w:color w:val="auto"/>
          <w:lang w:val="en-US" w:eastAsia="zh-CN"/>
        </w:rPr>
        <w:t>6</w:t>
      </w:r>
      <w:r>
        <w:rPr>
          <w:rFonts w:hint="default"/>
          <w:color w:val="auto"/>
          <w:lang w:val="en-US" w:eastAsia="zh-CN"/>
        </w:rPr>
        <w:t>个监测点位，</w:t>
      </w:r>
      <w:bookmarkStart w:id="14" w:name="_Hlk17220673"/>
      <w:r>
        <w:rPr>
          <w:rFonts w:hint="default"/>
          <w:color w:val="auto"/>
          <w:lang w:val="en-US" w:eastAsia="zh-CN"/>
        </w:rPr>
        <w:t>监测期间区域土壤监</w:t>
      </w:r>
      <w:bookmarkEnd w:id="14"/>
      <w:r>
        <w:rPr>
          <w:rFonts w:hint="default"/>
          <w:color w:val="auto"/>
          <w:lang w:val="en-US" w:eastAsia="zh-CN"/>
        </w:rPr>
        <w:t>测的各因子均符合相应的《土壤环境质量-建设用地土壤污染风险管控标准》（GB36600-2018）第一、二类用地筛选值和《土壤环境质量 农用地土壤污染风险管控标准（试行）》（GB15618-2018）标准要求，由此可见，区内土壤环境质量现状良好。</w:t>
      </w:r>
    </w:p>
    <w:p>
      <w:pPr>
        <w:pStyle w:val="4"/>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 6 \* GB3 </w:instrText>
      </w:r>
      <w:r>
        <w:rPr>
          <w:rFonts w:hint="default"/>
          <w:color w:val="auto"/>
          <w:lang w:val="en-US" w:eastAsia="zh-CN"/>
        </w:rPr>
        <w:fldChar w:fldCharType="separate"/>
      </w:r>
      <w:r>
        <w:rPr>
          <w:rFonts w:hint="default"/>
          <w:color w:val="auto"/>
          <w:lang w:val="en-US" w:eastAsia="zh-CN"/>
        </w:rPr>
        <w:t>⑥</w:t>
      </w:r>
      <w:r>
        <w:rPr>
          <w:rFonts w:hint="default"/>
          <w:color w:val="auto"/>
          <w:lang w:val="en-US" w:eastAsia="zh-CN"/>
        </w:rPr>
        <w:fldChar w:fldCharType="end"/>
      </w:r>
      <w:r>
        <w:rPr>
          <w:rFonts w:hint="default"/>
          <w:color w:val="auto"/>
          <w:lang w:val="en-US" w:eastAsia="zh-CN"/>
        </w:rPr>
        <w:t>底泥环境</w:t>
      </w:r>
    </w:p>
    <w:p>
      <w:pPr>
        <w:pStyle w:val="4"/>
        <w:rPr>
          <w:rFonts w:hint="default"/>
          <w:color w:val="auto"/>
          <w:lang w:val="en-US" w:eastAsia="zh-CN"/>
        </w:rPr>
      </w:pPr>
      <w:r>
        <w:rPr>
          <w:rFonts w:hint="default"/>
          <w:color w:val="auto"/>
          <w:lang w:val="en-US" w:eastAsia="zh-CN"/>
        </w:rPr>
        <w:t>本次底泥环境评价共布设</w:t>
      </w:r>
      <w:r>
        <w:rPr>
          <w:rFonts w:hint="eastAsia"/>
          <w:color w:val="auto"/>
          <w:lang w:val="en-US" w:eastAsia="zh-CN"/>
        </w:rPr>
        <w:t>2</w:t>
      </w:r>
      <w:r>
        <w:rPr>
          <w:rFonts w:hint="default"/>
          <w:color w:val="auto"/>
          <w:lang w:val="en-US" w:eastAsia="zh-CN"/>
        </w:rPr>
        <w:t>个监测点位，监测期间河道底泥监测点位均符合参照的《土壤环境质量 农用地土壤污染风险管控标准（试行）》（GB15618-2018）标准要求，底泥质量现状良好。</w:t>
      </w:r>
    </w:p>
    <w:p>
      <w:pPr>
        <w:pStyle w:val="3"/>
        <w:bidi w:val="0"/>
        <w:rPr>
          <w:rFonts w:hint="default"/>
          <w:color w:val="auto"/>
          <w:lang w:val="en-US" w:eastAsia="zh-CN"/>
        </w:rPr>
      </w:pPr>
      <w:bookmarkStart w:id="15" w:name="_Toc22085"/>
      <w:r>
        <w:rPr>
          <w:rFonts w:hint="eastAsia"/>
          <w:color w:val="auto"/>
          <w:lang w:val="en-US" w:eastAsia="zh-CN"/>
        </w:rPr>
        <w:t>主要</w:t>
      </w:r>
      <w:r>
        <w:rPr>
          <w:rFonts w:hint="default"/>
          <w:color w:val="auto"/>
          <w:lang w:val="en-US" w:eastAsia="zh-CN"/>
        </w:rPr>
        <w:t>环境问题及制约因素</w:t>
      </w:r>
      <w:bookmarkEnd w:id="15"/>
    </w:p>
    <w:p>
      <w:pPr>
        <w:pStyle w:val="4"/>
        <w:rPr>
          <w:rFonts w:hint="default"/>
          <w:color w:val="auto"/>
          <w:lang w:val="en-US" w:eastAsia="zh-CN"/>
        </w:rPr>
      </w:pPr>
      <w:bookmarkStart w:id="16" w:name="_Toc10255"/>
      <w:r>
        <w:rPr>
          <w:rFonts w:hint="eastAsia"/>
          <w:color w:val="auto"/>
          <w:lang w:val="en-US" w:eastAsia="zh-CN"/>
        </w:rPr>
        <w:t>（1）</w:t>
      </w:r>
      <w:r>
        <w:rPr>
          <w:rFonts w:hint="default"/>
          <w:color w:val="auto"/>
          <w:lang w:val="en-US" w:eastAsia="zh-CN"/>
        </w:rPr>
        <w:t>环境问题</w:t>
      </w:r>
      <w:bookmarkEnd w:id="16"/>
    </w:p>
    <w:p>
      <w:pPr>
        <w:pStyle w:val="4"/>
        <w:rPr>
          <w:rFonts w:hint="default"/>
          <w:color w:val="auto"/>
          <w:lang w:val="en-US" w:eastAsia="zh-CN"/>
        </w:rPr>
      </w:pPr>
      <w:r>
        <w:rPr>
          <w:rFonts w:hint="eastAsia"/>
          <w:color w:val="auto"/>
          <w:lang w:val="en-US" w:eastAsia="zh-CN"/>
        </w:rPr>
        <w:t>电子信息产业园存在的主要环境问题见下表。</w:t>
      </w:r>
    </w:p>
    <w:p>
      <w:pPr>
        <w:pStyle w:val="12"/>
        <w:bidi w:val="0"/>
        <w:rPr>
          <w:rFonts w:hint="default"/>
          <w:color w:val="auto"/>
          <w:lang w:val="en-US" w:eastAsia="zh-CN"/>
        </w:rPr>
      </w:pPr>
      <w:r>
        <w:rPr>
          <w:rFonts w:hint="eastAsia"/>
          <w:color w:val="auto"/>
          <w:lang w:val="en-US" w:eastAsia="zh-CN"/>
        </w:rPr>
        <w:t>3-1  主要环境问题及整改措施</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13"/>
        <w:gridCol w:w="2746"/>
        <w:gridCol w:w="2976"/>
        <w:gridCol w:w="1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2"/>
              <w:bidi w:val="0"/>
              <w:jc w:val="center"/>
              <w:rPr>
                <w:rFonts w:hint="eastAsia"/>
                <w:color w:val="auto"/>
                <w:lang w:val="en-US" w:eastAsia="zh-CN"/>
              </w:rPr>
            </w:pPr>
            <w:r>
              <w:rPr>
                <w:rFonts w:hint="eastAsia"/>
                <w:color w:val="auto"/>
                <w:lang w:val="en-US" w:eastAsia="zh-CN"/>
              </w:rPr>
              <w:t>序号</w:t>
            </w:r>
          </w:p>
        </w:tc>
        <w:tc>
          <w:tcPr>
            <w:tcW w:w="713" w:type="dxa"/>
            <w:tcBorders>
              <w:tl2br w:val="nil"/>
              <w:tr2bl w:val="nil"/>
            </w:tcBorders>
            <w:vAlign w:val="center"/>
          </w:tcPr>
          <w:p>
            <w:pPr>
              <w:pStyle w:val="22"/>
              <w:bidi w:val="0"/>
              <w:jc w:val="center"/>
              <w:rPr>
                <w:rFonts w:hint="eastAsia"/>
                <w:color w:val="auto"/>
                <w:lang w:val="en-US" w:eastAsia="zh-CN"/>
              </w:rPr>
            </w:pPr>
            <w:r>
              <w:rPr>
                <w:rFonts w:hint="eastAsia"/>
                <w:color w:val="auto"/>
                <w:lang w:val="en-US" w:eastAsia="zh-CN"/>
              </w:rPr>
              <w:t>类型</w:t>
            </w:r>
          </w:p>
        </w:tc>
        <w:tc>
          <w:tcPr>
            <w:tcW w:w="2746" w:type="dxa"/>
            <w:tcBorders>
              <w:tl2br w:val="nil"/>
              <w:tr2bl w:val="nil"/>
            </w:tcBorders>
            <w:vAlign w:val="center"/>
          </w:tcPr>
          <w:p>
            <w:pPr>
              <w:pStyle w:val="22"/>
              <w:bidi w:val="0"/>
              <w:jc w:val="center"/>
              <w:rPr>
                <w:rFonts w:hint="default"/>
                <w:color w:val="auto"/>
                <w:lang w:val="en-US" w:eastAsia="zh-CN"/>
              </w:rPr>
            </w:pPr>
            <w:r>
              <w:rPr>
                <w:rFonts w:hint="eastAsia"/>
                <w:color w:val="auto"/>
                <w:lang w:val="en-US" w:eastAsia="zh-CN"/>
              </w:rPr>
              <w:t>存在问题</w:t>
            </w:r>
          </w:p>
        </w:tc>
        <w:tc>
          <w:tcPr>
            <w:tcW w:w="2976" w:type="dxa"/>
            <w:tcBorders>
              <w:tl2br w:val="nil"/>
              <w:tr2bl w:val="nil"/>
            </w:tcBorders>
            <w:vAlign w:val="center"/>
          </w:tcPr>
          <w:p>
            <w:pPr>
              <w:pStyle w:val="22"/>
              <w:bidi w:val="0"/>
              <w:jc w:val="center"/>
              <w:rPr>
                <w:rFonts w:hint="default"/>
                <w:color w:val="auto"/>
                <w:lang w:val="en-US" w:eastAsia="zh-CN"/>
              </w:rPr>
            </w:pPr>
            <w:r>
              <w:rPr>
                <w:rFonts w:hint="eastAsia"/>
                <w:color w:val="auto"/>
                <w:lang w:val="en-US" w:eastAsia="zh-CN"/>
              </w:rPr>
              <w:t>整改措施</w:t>
            </w:r>
          </w:p>
        </w:tc>
        <w:tc>
          <w:tcPr>
            <w:tcW w:w="1394" w:type="dxa"/>
            <w:tcBorders>
              <w:tl2br w:val="nil"/>
              <w:tr2bl w:val="nil"/>
            </w:tcBorders>
            <w:vAlign w:val="center"/>
          </w:tcPr>
          <w:p>
            <w:pPr>
              <w:pStyle w:val="22"/>
              <w:bidi w:val="0"/>
              <w:jc w:val="center"/>
              <w:rPr>
                <w:rFonts w:hint="default"/>
                <w:color w:val="auto"/>
                <w:lang w:val="en-US" w:eastAsia="zh-CN"/>
              </w:rPr>
            </w:pPr>
            <w:r>
              <w:rPr>
                <w:rFonts w:hint="eastAsia"/>
                <w:color w:val="auto"/>
                <w:lang w:val="en-US" w:eastAsia="zh-CN"/>
              </w:rPr>
              <w:t>完成时间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1"/>
              <w:bidi w:val="0"/>
              <w:jc w:val="center"/>
              <w:rPr>
                <w:rFonts w:hint="eastAsia" w:eastAsiaTheme="minorEastAsia"/>
                <w:color w:val="auto"/>
                <w:lang w:val="en-US" w:eastAsia="zh-CN"/>
              </w:rPr>
            </w:pPr>
            <w:r>
              <w:rPr>
                <w:rFonts w:hint="eastAsia"/>
                <w:color w:val="auto"/>
                <w:lang w:val="en-US" w:eastAsia="zh-CN"/>
              </w:rPr>
              <w:t>1</w:t>
            </w:r>
          </w:p>
        </w:tc>
        <w:tc>
          <w:tcPr>
            <w:tcW w:w="713"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用地布局</w:t>
            </w:r>
          </w:p>
        </w:tc>
        <w:tc>
          <w:tcPr>
            <w:tcW w:w="2746" w:type="dxa"/>
            <w:tcBorders>
              <w:tl2br w:val="nil"/>
              <w:tr2bl w:val="nil"/>
            </w:tcBorders>
            <w:vAlign w:val="center"/>
          </w:tcPr>
          <w:p>
            <w:pPr>
              <w:pStyle w:val="21"/>
              <w:bidi w:val="0"/>
              <w:jc w:val="left"/>
              <w:rPr>
                <w:rFonts w:hint="default" w:eastAsiaTheme="minorEastAsia"/>
                <w:color w:val="auto"/>
                <w:lang w:val="en-US" w:eastAsia="zh-CN"/>
              </w:rPr>
            </w:pPr>
            <w:r>
              <w:rPr>
                <w:rFonts w:hint="eastAsia"/>
                <w:color w:val="auto"/>
                <w:lang w:val="en-US" w:eastAsia="zh-CN"/>
              </w:rPr>
              <w:t>对照《海安县土地利用规划》，规划范围内占基本农田约98公顷。</w:t>
            </w:r>
          </w:p>
        </w:tc>
        <w:tc>
          <w:tcPr>
            <w:tcW w:w="2976" w:type="dxa"/>
            <w:tcBorders>
              <w:tl2br w:val="nil"/>
              <w:tr2bl w:val="nil"/>
            </w:tcBorders>
            <w:vAlign w:val="center"/>
          </w:tcPr>
          <w:p>
            <w:pPr>
              <w:pStyle w:val="21"/>
              <w:bidi w:val="0"/>
              <w:jc w:val="left"/>
              <w:rPr>
                <w:color w:val="auto"/>
              </w:rPr>
            </w:pPr>
            <w:r>
              <w:rPr>
                <w:rFonts w:hint="eastAsia"/>
                <w:color w:val="auto"/>
                <w:lang w:val="en-US" w:eastAsia="zh-CN"/>
              </w:rPr>
              <w:t>近期禁止开发占用，远期占用应制定占补平衡方案，获得相关部门批准耕地调整后方可农用地转用。在获得调整批准前，明确耕地利用优先序，对基本农田实行特殊保护和用途管制。</w:t>
            </w:r>
          </w:p>
        </w:tc>
        <w:tc>
          <w:tcPr>
            <w:tcW w:w="1394"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2025年底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1"/>
              <w:bidi w:val="0"/>
              <w:jc w:val="center"/>
              <w:rPr>
                <w:rFonts w:hint="eastAsia" w:eastAsiaTheme="minorEastAsia"/>
                <w:color w:val="auto"/>
                <w:lang w:val="en-US" w:eastAsia="zh-CN"/>
              </w:rPr>
            </w:pPr>
            <w:r>
              <w:rPr>
                <w:rFonts w:hint="eastAsia"/>
                <w:color w:val="auto"/>
                <w:lang w:val="en-US" w:eastAsia="zh-CN"/>
              </w:rPr>
              <w:t>2</w:t>
            </w:r>
          </w:p>
        </w:tc>
        <w:tc>
          <w:tcPr>
            <w:tcW w:w="713"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园区企业</w:t>
            </w:r>
          </w:p>
        </w:tc>
        <w:tc>
          <w:tcPr>
            <w:tcW w:w="2746" w:type="dxa"/>
            <w:tcBorders>
              <w:tl2br w:val="nil"/>
              <w:tr2bl w:val="nil"/>
            </w:tcBorders>
            <w:vAlign w:val="center"/>
          </w:tcPr>
          <w:p>
            <w:pPr>
              <w:pStyle w:val="21"/>
              <w:bidi w:val="0"/>
              <w:jc w:val="left"/>
              <w:rPr>
                <w:rFonts w:hint="default" w:eastAsiaTheme="minorEastAsia"/>
                <w:color w:val="auto"/>
                <w:lang w:val="en-US" w:eastAsia="zh-CN"/>
              </w:rPr>
            </w:pPr>
            <w:r>
              <w:rPr>
                <w:rFonts w:hint="eastAsia"/>
                <w:color w:val="auto"/>
                <w:lang w:val="en-US" w:eastAsia="zh-CN"/>
              </w:rPr>
              <w:t>共有6家企业与本轮规划主导产业定位不符。</w:t>
            </w:r>
          </w:p>
        </w:tc>
        <w:tc>
          <w:tcPr>
            <w:tcW w:w="2976" w:type="dxa"/>
            <w:tcBorders>
              <w:tl2br w:val="nil"/>
              <w:tr2bl w:val="nil"/>
            </w:tcBorders>
            <w:vAlign w:val="center"/>
          </w:tcPr>
          <w:p>
            <w:pPr>
              <w:pStyle w:val="21"/>
              <w:bidi w:val="0"/>
              <w:jc w:val="left"/>
              <w:rPr>
                <w:rFonts w:hint="default" w:eastAsiaTheme="minorEastAsia"/>
                <w:color w:val="auto"/>
                <w:lang w:val="en-US" w:eastAsia="zh-CN"/>
              </w:rPr>
            </w:pPr>
            <w:r>
              <w:rPr>
                <w:rFonts w:hint="eastAsia"/>
                <w:color w:val="auto"/>
                <w:lang w:val="en-US" w:eastAsia="zh-CN"/>
              </w:rPr>
              <w:t>规划期内禁止新改扩建，4家非金属矿物企业实施综合改造，进行清洁审查审核，达到清洁生产先进水平，南通裕弘服装有限公司搬迁进入有纺织印染定位的专业园区，其余企业本轮规划拟保留。</w:t>
            </w:r>
          </w:p>
        </w:tc>
        <w:tc>
          <w:tcPr>
            <w:tcW w:w="1394"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4家非金属矿物2025年前完成综合综合和清洁审查审核；南通裕弘服装有限公司2025年前关停或搬迁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1"/>
              <w:bidi w:val="0"/>
              <w:jc w:val="center"/>
              <w:rPr>
                <w:rFonts w:hint="eastAsia" w:eastAsiaTheme="minorEastAsia"/>
                <w:color w:val="auto"/>
                <w:lang w:val="en-US" w:eastAsia="zh-CN"/>
              </w:rPr>
            </w:pPr>
            <w:r>
              <w:rPr>
                <w:rFonts w:hint="eastAsia"/>
                <w:color w:val="auto"/>
                <w:lang w:val="en-US" w:eastAsia="zh-CN"/>
              </w:rPr>
              <w:t>3</w:t>
            </w:r>
          </w:p>
        </w:tc>
        <w:tc>
          <w:tcPr>
            <w:tcW w:w="713"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环境质量</w:t>
            </w:r>
          </w:p>
        </w:tc>
        <w:tc>
          <w:tcPr>
            <w:tcW w:w="2746" w:type="dxa"/>
            <w:tcBorders>
              <w:tl2br w:val="nil"/>
              <w:tr2bl w:val="nil"/>
            </w:tcBorders>
            <w:vAlign w:val="center"/>
          </w:tcPr>
          <w:p>
            <w:pPr>
              <w:pStyle w:val="21"/>
              <w:bidi w:val="0"/>
              <w:jc w:val="left"/>
              <w:rPr>
                <w:color w:val="auto"/>
              </w:rPr>
            </w:pPr>
            <w:r>
              <w:rPr>
                <w:color w:val="auto"/>
              </w:rPr>
              <w:t>地表水部分河流水环境超标，主要为</w:t>
            </w:r>
            <w:r>
              <w:rPr>
                <w:rFonts w:hint="eastAsia"/>
                <w:color w:val="auto"/>
                <w:lang w:eastAsia="zh-CN"/>
              </w:rPr>
              <w:t>栟茶运河、</w:t>
            </w:r>
            <w:r>
              <w:rPr>
                <w:rFonts w:hint="eastAsia"/>
                <w:color w:val="auto"/>
                <w:lang w:val="en-US" w:eastAsia="zh-CN"/>
              </w:rPr>
              <w:t>如海运河，通</w:t>
            </w:r>
            <w:r>
              <w:rPr>
                <w:color w:val="auto"/>
              </w:rPr>
              <w:t>超标因子为总氮、</w:t>
            </w:r>
            <w:r>
              <w:rPr>
                <w:rFonts w:hint="eastAsia"/>
                <w:color w:val="auto"/>
                <w:lang w:val="en-US" w:eastAsia="zh-CN"/>
              </w:rPr>
              <w:t>总磷</w:t>
            </w:r>
            <w:r>
              <w:rPr>
                <w:color w:val="auto"/>
              </w:rPr>
              <w:t>，根据近几年南通市的环境质量公报、历史监测数据以及现场调研可知，水环境超标的主要原因是区域内基础设施配套建设较为缓慢，污水接管</w:t>
            </w:r>
            <w:r>
              <w:rPr>
                <w:rFonts w:hint="eastAsia"/>
                <w:color w:val="auto"/>
              </w:rPr>
              <w:t>低</w:t>
            </w:r>
            <w:r>
              <w:rPr>
                <w:color w:val="auto"/>
              </w:rPr>
              <w:t>，大量生活污水直排河道对河道产生一定的影响。</w:t>
            </w:r>
          </w:p>
          <w:p>
            <w:pPr>
              <w:pStyle w:val="21"/>
              <w:bidi w:val="0"/>
              <w:jc w:val="left"/>
              <w:rPr>
                <w:color w:val="auto"/>
              </w:rPr>
            </w:pPr>
            <w:r>
              <w:rPr>
                <w:rFonts w:hint="eastAsia"/>
                <w:color w:val="auto"/>
                <w:lang w:val="en-US" w:eastAsia="zh-CN"/>
              </w:rPr>
              <w:t>海安市区空气质量自动监测站和三角洲</w:t>
            </w:r>
            <w:r>
              <w:rPr>
                <w:color w:val="auto"/>
              </w:rPr>
              <w:t>空气质量</w:t>
            </w:r>
            <w:r>
              <w:rPr>
                <w:rFonts w:hint="eastAsia"/>
                <w:color w:val="auto"/>
                <w:lang w:val="en-US" w:eastAsia="zh-CN"/>
              </w:rPr>
              <w:t>自动</w:t>
            </w:r>
            <w:r>
              <w:rPr>
                <w:color w:val="auto"/>
              </w:rPr>
              <w:t>监测</w:t>
            </w:r>
            <w:r>
              <w:rPr>
                <w:rFonts w:hint="eastAsia"/>
                <w:color w:val="auto"/>
                <w:lang w:val="en-US" w:eastAsia="zh-CN"/>
              </w:rPr>
              <w:t>站</w:t>
            </w:r>
            <w:r>
              <w:rPr>
                <w:color w:val="auto"/>
              </w:rPr>
              <w:t>2020年</w:t>
            </w:r>
            <w:r>
              <w:rPr>
                <w:rFonts w:hint="eastAsia"/>
                <w:color w:val="auto"/>
                <w:lang w:val="en-US" w:eastAsia="zh-CN"/>
              </w:rPr>
              <w:t>的</w:t>
            </w:r>
            <w:r>
              <w:rPr>
                <w:color w:val="auto"/>
              </w:rPr>
              <w:t>PM</w:t>
            </w:r>
            <w:r>
              <w:rPr>
                <w:color w:val="auto"/>
                <w:vertAlign w:val="subscript"/>
              </w:rPr>
              <w:t>2.5</w:t>
            </w:r>
            <w:r>
              <w:rPr>
                <w:rFonts w:hint="eastAsia"/>
                <w:color w:val="auto"/>
                <w:lang w:val="en-US" w:eastAsia="zh-CN"/>
              </w:rPr>
              <w:t>日均浓度和年均浓度</w:t>
            </w:r>
            <w:r>
              <w:rPr>
                <w:color w:val="auto"/>
              </w:rPr>
              <w:t>超标。</w:t>
            </w:r>
          </w:p>
        </w:tc>
        <w:tc>
          <w:tcPr>
            <w:tcW w:w="2976" w:type="dxa"/>
            <w:tcBorders>
              <w:tl2br w:val="nil"/>
              <w:tr2bl w:val="nil"/>
            </w:tcBorders>
            <w:vAlign w:val="center"/>
          </w:tcPr>
          <w:p>
            <w:pPr>
              <w:pStyle w:val="21"/>
              <w:bidi w:val="0"/>
              <w:jc w:val="left"/>
              <w:rPr>
                <w:rFonts w:hint="default"/>
                <w:color w:val="auto"/>
                <w:lang w:val="en-US" w:eastAsia="zh-CN"/>
              </w:rPr>
            </w:pPr>
            <w:r>
              <w:rPr>
                <w:rFonts w:hint="eastAsia"/>
                <w:color w:val="auto"/>
                <w:lang w:val="en-US" w:eastAsia="zh-CN"/>
              </w:rPr>
              <w:t>继续推进污水管网假设，提高废水集中处理率</w:t>
            </w:r>
          </w:p>
          <w:p>
            <w:pPr>
              <w:pStyle w:val="21"/>
              <w:bidi w:val="0"/>
              <w:jc w:val="left"/>
              <w:rPr>
                <w:rFonts w:hint="eastAsia"/>
                <w:color w:val="auto"/>
                <w:lang w:val="en-US" w:eastAsia="zh-CN"/>
              </w:rPr>
            </w:pPr>
            <w:r>
              <w:rPr>
                <w:rFonts w:hint="eastAsia"/>
                <w:color w:val="auto"/>
                <w:lang w:val="en-US" w:eastAsia="zh-CN"/>
              </w:rPr>
              <w:t>对现有主要颗粒物排放企业进行重点监控。</w:t>
            </w:r>
          </w:p>
          <w:p>
            <w:pPr>
              <w:pStyle w:val="21"/>
              <w:bidi w:val="0"/>
              <w:jc w:val="left"/>
              <w:rPr>
                <w:color w:val="auto"/>
              </w:rPr>
            </w:pPr>
            <w:r>
              <w:rPr>
                <w:rFonts w:hint="eastAsia"/>
                <w:color w:val="auto"/>
                <w:lang w:val="en-US" w:eastAsia="zh-CN"/>
              </w:rPr>
              <w:t>应加强区内废气治理，推进非金属矿物企业提升整治。</w:t>
            </w:r>
          </w:p>
          <w:p>
            <w:pPr>
              <w:pStyle w:val="21"/>
              <w:bidi w:val="0"/>
              <w:jc w:val="left"/>
              <w:rPr>
                <w:color w:val="auto"/>
              </w:rPr>
            </w:pPr>
          </w:p>
        </w:tc>
        <w:tc>
          <w:tcPr>
            <w:tcW w:w="1394" w:type="dxa"/>
            <w:tcBorders>
              <w:tl2br w:val="nil"/>
              <w:tr2bl w:val="nil"/>
            </w:tcBorders>
            <w:vAlign w:val="center"/>
          </w:tcPr>
          <w:p>
            <w:pPr>
              <w:pStyle w:val="21"/>
              <w:bidi w:val="0"/>
              <w:jc w:val="center"/>
              <w:rPr>
                <w:color w:val="auto"/>
              </w:rPr>
            </w:pPr>
            <w:r>
              <w:rPr>
                <w:rFonts w:hint="eastAsia"/>
                <w:color w:val="auto"/>
                <w:lang w:val="en-US" w:eastAsia="zh-CN"/>
              </w:rPr>
              <w:t>持续推进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1"/>
              <w:bidi w:val="0"/>
              <w:jc w:val="center"/>
              <w:rPr>
                <w:rFonts w:hint="eastAsia" w:eastAsiaTheme="minorEastAsia"/>
                <w:color w:val="auto"/>
                <w:lang w:val="en-US" w:eastAsia="zh-CN"/>
              </w:rPr>
            </w:pPr>
            <w:r>
              <w:rPr>
                <w:rFonts w:hint="eastAsia"/>
                <w:color w:val="auto"/>
                <w:lang w:val="en-US" w:eastAsia="zh-CN"/>
              </w:rPr>
              <w:t>4</w:t>
            </w:r>
          </w:p>
        </w:tc>
        <w:tc>
          <w:tcPr>
            <w:tcW w:w="713" w:type="dxa"/>
            <w:vMerge w:val="restart"/>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环境管理</w:t>
            </w:r>
          </w:p>
        </w:tc>
        <w:tc>
          <w:tcPr>
            <w:tcW w:w="2746" w:type="dxa"/>
            <w:tcBorders>
              <w:tl2br w:val="nil"/>
              <w:tr2bl w:val="nil"/>
            </w:tcBorders>
            <w:vAlign w:val="center"/>
          </w:tcPr>
          <w:p>
            <w:pPr>
              <w:pStyle w:val="21"/>
              <w:bidi w:val="0"/>
              <w:jc w:val="left"/>
              <w:rPr>
                <w:rFonts w:hint="default"/>
                <w:color w:val="auto"/>
                <w:lang w:val="en-US" w:eastAsia="zh-CN"/>
              </w:rPr>
            </w:pPr>
            <w:r>
              <w:rPr>
                <w:rFonts w:hint="eastAsia"/>
                <w:color w:val="auto"/>
                <w:lang w:val="en-US" w:eastAsia="zh-CN"/>
              </w:rPr>
              <w:t>电子信息产业园</w:t>
            </w:r>
            <w:r>
              <w:rPr>
                <w:color w:val="auto"/>
              </w:rPr>
              <w:t>目前环境管理体系待完善，主要体现在人员配备、环境监测体系和环境风险应急体系上，</w:t>
            </w:r>
            <w:r>
              <w:rPr>
                <w:rFonts w:hint="eastAsia"/>
                <w:color w:val="auto"/>
                <w:lang w:val="en-US" w:eastAsia="zh-CN"/>
              </w:rPr>
              <w:t>1、</w:t>
            </w:r>
            <w:r>
              <w:rPr>
                <w:color w:val="auto"/>
              </w:rPr>
              <w:t>专职环境管理人员配备相对较少，</w:t>
            </w:r>
            <w:r>
              <w:rPr>
                <w:rFonts w:hint="eastAsia"/>
                <w:color w:val="auto"/>
                <w:lang w:val="en-US" w:eastAsia="zh-CN"/>
              </w:rPr>
              <w:t>2</w:t>
            </w:r>
            <w:r>
              <w:rPr>
                <w:color w:val="auto"/>
              </w:rPr>
              <w:t>未制定例行环境质量监测方案并进行例行监测，</w:t>
            </w:r>
          </w:p>
          <w:p>
            <w:pPr>
              <w:pStyle w:val="21"/>
              <w:bidi w:val="0"/>
              <w:jc w:val="left"/>
              <w:rPr>
                <w:rFonts w:hint="default" w:eastAsiaTheme="minorEastAsia"/>
                <w:color w:val="auto"/>
                <w:lang w:val="en-US" w:eastAsia="zh-CN"/>
              </w:rPr>
            </w:pPr>
          </w:p>
        </w:tc>
        <w:tc>
          <w:tcPr>
            <w:tcW w:w="2976" w:type="dxa"/>
            <w:tcBorders>
              <w:tl2br w:val="nil"/>
              <w:tr2bl w:val="nil"/>
            </w:tcBorders>
            <w:vAlign w:val="center"/>
          </w:tcPr>
          <w:p>
            <w:pPr>
              <w:pStyle w:val="21"/>
              <w:bidi w:val="0"/>
              <w:jc w:val="left"/>
              <w:rPr>
                <w:rFonts w:hint="eastAsia" w:eastAsiaTheme="minorEastAsia"/>
                <w:color w:val="auto"/>
                <w:lang w:eastAsia="zh-CN"/>
              </w:rPr>
            </w:pPr>
            <w:r>
              <w:rPr>
                <w:color w:val="auto"/>
              </w:rPr>
              <w:t>应加强环境管理制度建设，增加环境管理人员配备，制定环境管理台账制度并进行一企一档管理，制定例行监测方案，按方案进行例行监测，并提升监测监控能力，在重点工业集聚区内及边界、重点企业厂界、环境敏感目标处，建设大气监测预警监控点，在敏感水体安装自动监测设施，以掌握区域环境质量情况；</w:t>
            </w:r>
            <w:r>
              <w:rPr>
                <w:rFonts w:hint="eastAsia"/>
                <w:color w:val="auto"/>
                <w:lang w:val="en-US" w:eastAsia="zh-CN"/>
              </w:rPr>
              <w:t>督促企业建立</w:t>
            </w:r>
            <w:r>
              <w:rPr>
                <w:color w:val="auto"/>
              </w:rPr>
              <w:t>完善的环境风险管理制度</w:t>
            </w:r>
            <w:r>
              <w:rPr>
                <w:rFonts w:hint="eastAsia"/>
                <w:color w:val="auto"/>
                <w:lang w:eastAsia="zh-CN"/>
              </w:rPr>
              <w:t>。</w:t>
            </w:r>
          </w:p>
        </w:tc>
        <w:tc>
          <w:tcPr>
            <w:tcW w:w="1394" w:type="dxa"/>
            <w:tcBorders>
              <w:tl2br w:val="nil"/>
              <w:tr2bl w:val="nil"/>
            </w:tcBorders>
            <w:vAlign w:val="center"/>
          </w:tcPr>
          <w:p>
            <w:pPr>
              <w:pStyle w:val="21"/>
              <w:bidi w:val="0"/>
              <w:jc w:val="center"/>
              <w:rPr>
                <w:rFonts w:hint="default" w:eastAsiaTheme="minorEastAsia"/>
                <w:color w:val="auto"/>
                <w:lang w:val="en-US" w:eastAsia="zh-CN"/>
              </w:rPr>
            </w:pPr>
            <w:r>
              <w:rPr>
                <w:rFonts w:hint="eastAsia"/>
                <w:color w:val="auto"/>
                <w:lang w:val="en-US" w:eastAsia="zh-CN"/>
              </w:rPr>
              <w:t>持续推进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pStyle w:val="21"/>
              <w:bidi w:val="0"/>
              <w:jc w:val="center"/>
              <w:rPr>
                <w:rFonts w:hint="default"/>
                <w:color w:val="auto"/>
                <w:lang w:val="en-US" w:eastAsia="zh-CN"/>
              </w:rPr>
            </w:pPr>
            <w:bookmarkStart w:id="17" w:name="_Toc17378"/>
            <w:r>
              <w:rPr>
                <w:rFonts w:hint="eastAsia"/>
                <w:color w:val="auto"/>
                <w:lang w:val="en-US" w:eastAsia="zh-CN"/>
              </w:rPr>
              <w:t>5</w:t>
            </w:r>
          </w:p>
        </w:tc>
        <w:tc>
          <w:tcPr>
            <w:tcW w:w="713" w:type="dxa"/>
            <w:vMerge w:val="continue"/>
            <w:tcBorders>
              <w:tl2br w:val="nil"/>
              <w:tr2bl w:val="nil"/>
            </w:tcBorders>
            <w:vAlign w:val="center"/>
          </w:tcPr>
          <w:p>
            <w:pPr>
              <w:pStyle w:val="21"/>
              <w:bidi w:val="0"/>
              <w:jc w:val="center"/>
              <w:rPr>
                <w:rFonts w:hint="eastAsia"/>
                <w:color w:val="auto"/>
                <w:lang w:val="en-US" w:eastAsia="zh-CN"/>
              </w:rPr>
            </w:pPr>
          </w:p>
        </w:tc>
        <w:tc>
          <w:tcPr>
            <w:tcW w:w="2746" w:type="dxa"/>
            <w:tcBorders>
              <w:tl2br w:val="nil"/>
              <w:tr2bl w:val="nil"/>
            </w:tcBorders>
            <w:vAlign w:val="center"/>
          </w:tcPr>
          <w:p>
            <w:pPr>
              <w:pStyle w:val="21"/>
              <w:bidi w:val="0"/>
              <w:jc w:val="left"/>
              <w:rPr>
                <w:rFonts w:hint="default" w:eastAsiaTheme="minorEastAsia"/>
                <w:color w:val="auto"/>
                <w:lang w:val="en-US" w:eastAsia="zh-CN"/>
              </w:rPr>
            </w:pPr>
            <w:r>
              <w:rPr>
                <w:rFonts w:hint="eastAsia"/>
                <w:color w:val="auto"/>
                <w:lang w:val="en-US" w:eastAsia="zh-CN"/>
              </w:rPr>
              <w:t>大部分企业</w:t>
            </w:r>
            <w:r>
              <w:rPr>
                <w:color w:val="auto"/>
              </w:rPr>
              <w:t>未制定和发布环境</w:t>
            </w:r>
            <w:r>
              <w:rPr>
                <w:rFonts w:hint="eastAsia"/>
                <w:color w:val="auto"/>
                <w:lang w:val="en-US" w:eastAsia="zh-CN"/>
              </w:rPr>
              <w:t>风险</w:t>
            </w:r>
            <w:r>
              <w:rPr>
                <w:color w:val="auto"/>
              </w:rPr>
              <w:t>应急预案</w:t>
            </w:r>
            <w:r>
              <w:rPr>
                <w:rFonts w:hint="eastAsia"/>
                <w:color w:val="auto"/>
                <w:lang w:eastAsia="zh-CN"/>
              </w:rPr>
              <w:t>，</w:t>
            </w:r>
            <w:r>
              <w:rPr>
                <w:rFonts w:hint="eastAsia"/>
                <w:color w:val="auto"/>
                <w:lang w:val="en-US" w:eastAsia="zh-CN"/>
              </w:rPr>
              <w:t>未进行清洁审查审核。</w:t>
            </w:r>
          </w:p>
        </w:tc>
        <w:tc>
          <w:tcPr>
            <w:tcW w:w="2976" w:type="dxa"/>
            <w:tcBorders>
              <w:tl2br w:val="nil"/>
              <w:tr2bl w:val="nil"/>
            </w:tcBorders>
            <w:vAlign w:val="center"/>
          </w:tcPr>
          <w:p>
            <w:pPr>
              <w:pStyle w:val="21"/>
              <w:bidi w:val="0"/>
              <w:jc w:val="left"/>
              <w:rPr>
                <w:rFonts w:hint="default" w:eastAsiaTheme="minorEastAsia"/>
                <w:color w:val="auto"/>
                <w:lang w:val="en-US" w:eastAsia="zh-CN"/>
              </w:rPr>
            </w:pPr>
            <w:r>
              <w:rPr>
                <w:rFonts w:hint="eastAsia"/>
                <w:color w:val="auto"/>
                <w:lang w:val="en-US" w:eastAsia="zh-CN"/>
              </w:rPr>
              <w:t>督促企业按相关要求进行环境风险应急预案和清洁生产审核</w:t>
            </w:r>
          </w:p>
        </w:tc>
        <w:tc>
          <w:tcPr>
            <w:tcW w:w="1394" w:type="dxa"/>
            <w:tcBorders>
              <w:tl2br w:val="nil"/>
              <w:tr2bl w:val="nil"/>
            </w:tcBorders>
            <w:vAlign w:val="center"/>
          </w:tcPr>
          <w:p>
            <w:pPr>
              <w:pStyle w:val="21"/>
              <w:bidi w:val="0"/>
              <w:jc w:val="center"/>
              <w:rPr>
                <w:rFonts w:hint="default"/>
                <w:color w:val="auto"/>
                <w:lang w:val="en-US" w:eastAsia="zh-CN"/>
              </w:rPr>
            </w:pPr>
            <w:r>
              <w:rPr>
                <w:rFonts w:hint="eastAsia"/>
                <w:color w:val="auto"/>
                <w:lang w:val="en-US" w:eastAsia="zh-CN"/>
              </w:rPr>
              <w:t>2022年底前</w:t>
            </w:r>
          </w:p>
        </w:tc>
      </w:tr>
    </w:tbl>
    <w:p>
      <w:pPr>
        <w:pStyle w:val="4"/>
        <w:rPr>
          <w:rFonts w:hint="default"/>
          <w:color w:val="auto"/>
          <w:lang w:val="en-US" w:eastAsia="zh-CN"/>
        </w:rPr>
      </w:pPr>
      <w:r>
        <w:rPr>
          <w:rFonts w:hint="eastAsia"/>
          <w:color w:val="auto"/>
          <w:lang w:val="en-US" w:eastAsia="zh-CN"/>
        </w:rPr>
        <w:t>2、</w:t>
      </w:r>
      <w:r>
        <w:rPr>
          <w:rFonts w:hint="default"/>
          <w:color w:val="auto"/>
          <w:lang w:val="en-US" w:eastAsia="zh-CN"/>
        </w:rPr>
        <w:t>制约因素</w:t>
      </w:r>
      <w:bookmarkEnd w:id="17"/>
    </w:p>
    <w:p>
      <w:pPr>
        <w:pStyle w:val="4"/>
        <w:rPr>
          <w:rFonts w:hint="default"/>
          <w:color w:val="auto"/>
          <w:lang w:val="en-US" w:eastAsia="zh-CN"/>
        </w:rPr>
      </w:pPr>
      <w:r>
        <w:rPr>
          <w:rFonts w:hint="eastAsia" w:ascii="宋体" w:hAnsi="宋体" w:eastAsia="宋体" w:cs="宋体"/>
          <w:color w:val="auto"/>
          <w:lang w:val="en-US" w:eastAsia="zh-CN"/>
        </w:rPr>
        <w:t>①</w:t>
      </w:r>
      <w:r>
        <w:rPr>
          <w:rFonts w:hint="default"/>
          <w:color w:val="auto"/>
          <w:lang w:val="en-US" w:eastAsia="zh-CN"/>
        </w:rPr>
        <w:t>环境质量超标对规划区开发建设的制约</w:t>
      </w:r>
    </w:p>
    <w:p>
      <w:pPr>
        <w:pStyle w:val="4"/>
        <w:rPr>
          <w:rFonts w:hint="default"/>
          <w:color w:val="auto"/>
          <w:lang w:val="en-US" w:eastAsia="zh-CN"/>
        </w:rPr>
      </w:pPr>
      <w:r>
        <w:rPr>
          <w:rFonts w:hint="default"/>
          <w:color w:val="auto"/>
          <w:lang w:val="en-US" w:eastAsia="zh-CN"/>
        </w:rPr>
        <w:t>目前海安市为环境空气质量不达标区，主要超标因子为PM</w:t>
      </w:r>
      <w:r>
        <w:rPr>
          <w:rFonts w:hint="default"/>
          <w:color w:val="auto"/>
          <w:vertAlign w:val="subscript"/>
          <w:lang w:val="en-US" w:eastAsia="zh-CN"/>
        </w:rPr>
        <w:t>2.5</w:t>
      </w:r>
      <w:r>
        <w:rPr>
          <w:rFonts w:hint="default"/>
          <w:color w:val="auto"/>
          <w:lang w:val="en-US" w:eastAsia="zh-CN"/>
        </w:rPr>
        <w:t>，无相应的环境容量，制约</w:t>
      </w:r>
      <w:r>
        <w:rPr>
          <w:rFonts w:hint="eastAsia"/>
          <w:color w:val="auto"/>
          <w:lang w:val="en-US" w:eastAsia="zh-CN"/>
        </w:rPr>
        <w:t>园区</w:t>
      </w:r>
      <w:r>
        <w:rPr>
          <w:rFonts w:hint="default"/>
          <w:color w:val="auto"/>
          <w:lang w:val="en-US" w:eastAsia="zh-CN"/>
        </w:rPr>
        <w:t>的发展。</w:t>
      </w:r>
    </w:p>
    <w:p>
      <w:pPr>
        <w:pStyle w:val="4"/>
        <w:rPr>
          <w:rFonts w:hint="default"/>
          <w:color w:val="auto"/>
          <w:lang w:val="en-US" w:eastAsia="zh-CN"/>
        </w:rPr>
      </w:pPr>
      <w:r>
        <w:rPr>
          <w:rFonts w:hint="eastAsia" w:ascii="宋体" w:hAnsi="宋体" w:eastAsia="宋体" w:cs="宋体"/>
          <w:color w:val="auto"/>
          <w:lang w:val="en-US" w:eastAsia="zh-CN"/>
        </w:rPr>
        <w:t>②</w:t>
      </w:r>
      <w:r>
        <w:rPr>
          <w:rFonts w:hint="default"/>
          <w:color w:val="auto"/>
          <w:lang w:val="en-US" w:eastAsia="zh-CN"/>
        </w:rPr>
        <w:t>环境敏感对区域发展的制约</w:t>
      </w:r>
    </w:p>
    <w:p>
      <w:pPr>
        <w:pStyle w:val="4"/>
        <w:rPr>
          <w:rFonts w:hint="default"/>
          <w:color w:val="auto"/>
          <w:lang w:val="en-US" w:eastAsia="zh-CN"/>
        </w:rPr>
      </w:pPr>
      <w:r>
        <w:rPr>
          <w:rFonts w:hint="eastAsia"/>
          <w:color w:val="auto"/>
          <w:lang w:val="en-US" w:eastAsia="zh-CN"/>
        </w:rPr>
        <w:t>电子信息产业园</w:t>
      </w:r>
      <w:r>
        <w:rPr>
          <w:rFonts w:hint="default"/>
          <w:color w:val="auto"/>
          <w:lang w:val="en-US" w:eastAsia="zh-CN"/>
        </w:rPr>
        <w:t>东侧占用约</w:t>
      </w:r>
      <w:r>
        <w:rPr>
          <w:rFonts w:hint="eastAsia"/>
          <w:color w:val="auto"/>
          <w:lang w:val="en-US" w:eastAsia="zh-CN"/>
        </w:rPr>
        <w:t>2.6</w:t>
      </w:r>
      <w:r>
        <w:rPr>
          <w:rFonts w:hint="default"/>
          <w:color w:val="auto"/>
          <w:lang w:val="en-US" w:eastAsia="zh-CN"/>
        </w:rPr>
        <w:t>km</w:t>
      </w:r>
      <w:r>
        <w:rPr>
          <w:rFonts w:hint="default"/>
          <w:color w:val="auto"/>
          <w:vertAlign w:val="superscript"/>
          <w:lang w:val="en-US" w:eastAsia="zh-CN"/>
        </w:rPr>
        <w:t>2</w:t>
      </w:r>
      <w:r>
        <w:rPr>
          <w:rFonts w:hint="default"/>
          <w:color w:val="auto"/>
          <w:lang w:val="en-US" w:eastAsia="zh-CN"/>
        </w:rPr>
        <w:t>的通榆河一级保护区，</w:t>
      </w:r>
      <w:r>
        <w:rPr>
          <w:rFonts w:hint="eastAsia"/>
          <w:color w:val="auto"/>
          <w:lang w:val="en-US" w:eastAsia="zh-CN"/>
        </w:rPr>
        <w:t>园区占用</w:t>
      </w:r>
      <w:r>
        <w:rPr>
          <w:rFonts w:hint="default"/>
          <w:color w:val="auto"/>
          <w:lang w:val="en-US" w:eastAsia="zh-CN"/>
        </w:rPr>
        <w:t>大量农林用地</w:t>
      </w:r>
      <w:r>
        <w:rPr>
          <w:rFonts w:hint="eastAsia"/>
          <w:color w:val="auto"/>
          <w:lang w:val="en-US" w:eastAsia="zh-CN"/>
        </w:rPr>
        <w:t>和部分基本农田</w:t>
      </w:r>
      <w:r>
        <w:rPr>
          <w:rFonts w:hint="default"/>
          <w:color w:val="auto"/>
          <w:lang w:val="en-US" w:eastAsia="zh-CN"/>
        </w:rPr>
        <w:t>，发展过程中需合理布局，加强保护。规划区域内环境较敏感，制约电子信息产业园的发展。</w:t>
      </w:r>
    </w:p>
    <w:p>
      <w:pPr>
        <w:pStyle w:val="4"/>
        <w:rPr>
          <w:rFonts w:hint="default"/>
          <w:color w:val="auto"/>
          <w:lang w:val="en-US" w:eastAsia="zh-CN"/>
        </w:rPr>
      </w:pPr>
      <w:r>
        <w:rPr>
          <w:rFonts w:hint="eastAsia" w:ascii="宋体" w:hAnsi="宋体" w:eastAsia="宋体" w:cs="宋体"/>
          <w:color w:val="auto"/>
          <w:lang w:val="en-US" w:eastAsia="zh-CN"/>
        </w:rPr>
        <w:t>③</w:t>
      </w:r>
      <w:r>
        <w:rPr>
          <w:rFonts w:hint="default"/>
          <w:color w:val="auto"/>
          <w:lang w:val="en-US" w:eastAsia="zh-CN"/>
        </w:rPr>
        <w:t>基础设施对区域发展的制约</w:t>
      </w:r>
    </w:p>
    <w:p>
      <w:pPr>
        <w:pStyle w:val="4"/>
        <w:rPr>
          <w:rFonts w:hint="default"/>
          <w:color w:val="auto"/>
          <w:lang w:val="en-US" w:eastAsia="zh-CN"/>
        </w:rPr>
      </w:pPr>
      <w:r>
        <w:rPr>
          <w:rFonts w:hint="eastAsia"/>
          <w:color w:val="auto"/>
          <w:lang w:val="en-US" w:eastAsia="zh-CN"/>
        </w:rPr>
        <w:t>目前电子信息产业园的排水、雨水、供热、供气等管网敷设不到位，给水、道路等等基础设施等不完善，对未来企业的入驻存在一定的制约。</w:t>
      </w:r>
    </w:p>
    <w:p>
      <w:pPr>
        <w:pStyle w:val="4"/>
        <w:rPr>
          <w:rFonts w:hint="default"/>
          <w:color w:val="auto"/>
          <w:lang w:val="en-US" w:eastAsia="zh-CN"/>
        </w:rPr>
      </w:pPr>
      <w:r>
        <w:rPr>
          <w:rFonts w:hint="default"/>
          <w:color w:val="auto"/>
          <w:lang w:val="en-US" w:eastAsia="zh-CN"/>
        </w:rPr>
        <w:t>根据海安鹰泰水务有限公司2020年运行情况，实际处理废水量16500m</w:t>
      </w:r>
      <w:r>
        <w:rPr>
          <w:rFonts w:hint="default"/>
          <w:color w:val="auto"/>
          <w:vertAlign w:val="superscript"/>
          <w:lang w:val="en-US" w:eastAsia="zh-CN"/>
        </w:rPr>
        <w:t>3</w:t>
      </w:r>
      <w:r>
        <w:rPr>
          <w:rFonts w:hint="default"/>
          <w:color w:val="auto"/>
          <w:lang w:val="en-US" w:eastAsia="zh-CN"/>
        </w:rPr>
        <w:t>/d，运行负荷约83%，接近设计处理规模，对未来企业的入驻存在一定的制约，因此，应加快海安鹰泰水务有限公司二期工程的实施进度，保证鹰泰水务有足够的废水处理容量。</w:t>
      </w:r>
    </w:p>
    <w:p>
      <w:pPr>
        <w:pStyle w:val="4"/>
        <w:rPr>
          <w:rFonts w:hint="default"/>
          <w:color w:val="auto"/>
          <w:lang w:val="en-US" w:eastAsia="zh-CN"/>
        </w:rPr>
      </w:pPr>
      <w:r>
        <w:rPr>
          <w:rFonts w:hint="eastAsia" w:ascii="宋体" w:hAnsi="宋体" w:eastAsia="宋体" w:cs="宋体"/>
          <w:color w:val="auto"/>
          <w:lang w:val="en-US" w:eastAsia="zh-CN"/>
        </w:rPr>
        <w:t>④</w:t>
      </w:r>
      <w:r>
        <w:rPr>
          <w:rFonts w:hint="default"/>
          <w:color w:val="auto"/>
          <w:lang w:val="en-US" w:eastAsia="zh-CN"/>
        </w:rPr>
        <w:t>区域环境管理能力对区域发展的制约</w:t>
      </w:r>
    </w:p>
    <w:p>
      <w:pPr>
        <w:pStyle w:val="4"/>
        <w:rPr>
          <w:rFonts w:hint="default"/>
          <w:color w:val="auto"/>
          <w:lang w:val="en-US" w:eastAsia="zh-CN"/>
        </w:rPr>
        <w:sectPr>
          <w:footerReference r:id="rId6"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r>
        <w:rPr>
          <w:rFonts w:hint="default"/>
          <w:color w:val="auto"/>
          <w:lang w:val="en-US" w:eastAsia="zh-CN"/>
        </w:rPr>
        <w:t>高新区</w:t>
      </w:r>
      <w:r>
        <w:rPr>
          <w:rFonts w:hint="eastAsia"/>
          <w:color w:val="auto"/>
          <w:lang w:val="en-US" w:eastAsia="zh-CN"/>
        </w:rPr>
        <w:t>管委会</w:t>
      </w:r>
      <w:r>
        <w:rPr>
          <w:rFonts w:hint="default"/>
          <w:color w:val="auto"/>
          <w:lang w:val="en-US" w:eastAsia="zh-CN"/>
        </w:rPr>
        <w:t>现有管理机构不完善，缺少环境管理人员，管理能力相对较弱，评价认为，这一情况也是</w:t>
      </w:r>
      <w:r>
        <w:rPr>
          <w:rFonts w:hint="eastAsia"/>
          <w:color w:val="auto"/>
          <w:lang w:val="en-US" w:eastAsia="zh-CN"/>
        </w:rPr>
        <w:t>电子信息产业园</w:t>
      </w:r>
      <w:r>
        <w:rPr>
          <w:rFonts w:hint="default"/>
          <w:color w:val="auto"/>
          <w:lang w:val="en-US" w:eastAsia="zh-CN"/>
        </w:rPr>
        <w:t>实现规划目标的一个较大环保制约因素。但是这一制约因素是可以通过努力后在较短时内改变的。随规划的实施，应配备必要的设备和人员，加强环境管理部门的能力建设，保证环境管理的需求。</w:t>
      </w:r>
    </w:p>
    <w:p>
      <w:pPr>
        <w:pStyle w:val="2"/>
        <w:bidi w:val="0"/>
        <w:rPr>
          <w:color w:val="auto"/>
        </w:rPr>
      </w:pPr>
      <w:bookmarkStart w:id="18" w:name="_Toc22272"/>
      <w:r>
        <w:rPr>
          <w:rFonts w:hint="eastAsia"/>
          <w:color w:val="auto"/>
        </w:rPr>
        <w:t>环境影响预测与评价</w:t>
      </w:r>
      <w:bookmarkEnd w:id="18"/>
    </w:p>
    <w:p>
      <w:pPr>
        <w:pStyle w:val="4"/>
        <w:rPr>
          <w:color w:val="auto"/>
        </w:rPr>
      </w:pPr>
      <w:r>
        <w:rPr>
          <w:rFonts w:hint="eastAsia"/>
          <w:color w:val="auto"/>
          <w:lang w:val="en-US" w:eastAsia="zh-CN"/>
        </w:rPr>
        <w:t>1、</w:t>
      </w:r>
      <w:r>
        <w:rPr>
          <w:color w:val="auto"/>
        </w:rPr>
        <w:t>大气环境影响分析</w:t>
      </w:r>
    </w:p>
    <w:p>
      <w:pPr>
        <w:pStyle w:val="4"/>
        <w:rPr>
          <w:color w:val="auto"/>
        </w:rPr>
      </w:pPr>
      <w:r>
        <w:rPr>
          <w:color w:val="auto"/>
        </w:rPr>
        <w:t>a</w:t>
      </w:r>
      <w:r>
        <w:rPr>
          <w:rFonts w:hint="eastAsia"/>
          <w:color w:val="auto"/>
        </w:rPr>
        <w:t>.</w:t>
      </w:r>
      <w:r>
        <w:rPr>
          <w:color w:val="auto"/>
        </w:rPr>
        <w:t>规划近期和规划远期，主要污染物SO</w:t>
      </w:r>
      <w:r>
        <w:rPr>
          <w:color w:val="auto"/>
          <w:vertAlign w:val="subscript"/>
        </w:rPr>
        <w:t>2</w:t>
      </w:r>
      <w:r>
        <w:rPr>
          <w:color w:val="auto"/>
        </w:rPr>
        <w:t>、NO</w:t>
      </w:r>
      <w:r>
        <w:rPr>
          <w:color w:val="auto"/>
          <w:vertAlign w:val="subscript"/>
        </w:rPr>
        <w:t>2</w:t>
      </w:r>
      <w:r>
        <w:rPr>
          <w:color w:val="auto"/>
        </w:rPr>
        <w:t>、PM</w:t>
      </w:r>
      <w:r>
        <w:rPr>
          <w:color w:val="auto"/>
          <w:vertAlign w:val="subscript"/>
        </w:rPr>
        <w:t>10</w:t>
      </w:r>
      <w:r>
        <w:rPr>
          <w:color w:val="auto"/>
        </w:rPr>
        <w:t>叠加现状浓度后，环境空气保护目标和网格点各污染物保证率（98%）日平均质量浓度和年平均质量浓度达标。</w:t>
      </w:r>
    </w:p>
    <w:p>
      <w:pPr>
        <w:pStyle w:val="4"/>
        <w:rPr>
          <w:color w:val="auto"/>
        </w:rPr>
      </w:pPr>
      <w:r>
        <w:rPr>
          <w:rFonts w:hint="eastAsia"/>
          <w:color w:val="auto"/>
        </w:rPr>
        <w:t>b.</w:t>
      </w:r>
      <w:r>
        <w:rPr>
          <w:color w:val="auto"/>
        </w:rPr>
        <w:t>规划近期和规划远期，其他污染物（非甲烷总烃</w:t>
      </w:r>
      <w:r>
        <w:rPr>
          <w:rFonts w:hint="eastAsia"/>
          <w:color w:val="auto"/>
          <w:lang w:eastAsia="zh-CN"/>
        </w:rPr>
        <w:t>、二甲苯、</w:t>
      </w:r>
      <w:r>
        <w:rPr>
          <w:color w:val="auto"/>
        </w:rPr>
        <w:t>HCl、</w:t>
      </w:r>
      <w:r>
        <w:rPr>
          <w:rFonts w:hint="eastAsia"/>
          <w:color w:val="auto"/>
          <w:lang w:val="en-US" w:eastAsia="zh-CN"/>
        </w:rPr>
        <w:t>氟化物、氨、硫酸雾、铬酸雾、氰化氢</w:t>
      </w:r>
      <w:r>
        <w:rPr>
          <w:color w:val="auto"/>
        </w:rPr>
        <w:t>）叠加现状浓度后短期浓度（小时和日均浓度）达标。</w:t>
      </w:r>
    </w:p>
    <w:p>
      <w:pPr>
        <w:pStyle w:val="4"/>
        <w:rPr>
          <w:color w:val="auto"/>
        </w:rPr>
      </w:pPr>
      <w:r>
        <w:rPr>
          <w:color w:val="auto"/>
        </w:rPr>
        <w:t>c</w:t>
      </w:r>
      <w:r>
        <w:rPr>
          <w:rFonts w:hint="eastAsia"/>
          <w:color w:val="auto"/>
        </w:rPr>
        <w:t>．</w:t>
      </w:r>
      <w:r>
        <w:rPr>
          <w:color w:val="auto"/>
        </w:rPr>
        <w:t>针对PM</w:t>
      </w:r>
      <w:r>
        <w:rPr>
          <w:color w:val="auto"/>
          <w:vertAlign w:val="subscript"/>
        </w:rPr>
        <w:t>2.5</w:t>
      </w:r>
      <w:r>
        <w:rPr>
          <w:color w:val="auto"/>
        </w:rPr>
        <w:t>现状浓度值超标，本次预测了评价区域规划实施后的环境质量变化情况，经预测和计算，规划实施后，规划近期和规划远期区域</w:t>
      </w:r>
      <w:r>
        <w:rPr>
          <w:rFonts w:hint="eastAsia"/>
          <w:color w:val="auto"/>
        </w:rPr>
        <w:t>P</w:t>
      </w:r>
      <w:r>
        <w:rPr>
          <w:color w:val="auto"/>
        </w:rPr>
        <w:t>M</w:t>
      </w:r>
      <w:r>
        <w:rPr>
          <w:color w:val="auto"/>
          <w:vertAlign w:val="subscript"/>
        </w:rPr>
        <w:t>2.5</w:t>
      </w:r>
      <w:r>
        <w:rPr>
          <w:color w:val="auto"/>
        </w:rPr>
        <w:t>的k值均小于</w:t>
      </w:r>
      <w:r>
        <w:rPr>
          <w:rFonts w:hint="eastAsia"/>
          <w:color w:val="auto"/>
        </w:rPr>
        <w:t>-</w:t>
      </w:r>
      <w:r>
        <w:rPr>
          <w:color w:val="auto"/>
        </w:rPr>
        <w:t>20</w:t>
      </w:r>
      <w:r>
        <w:rPr>
          <w:rFonts w:hint="eastAsia"/>
          <w:color w:val="auto"/>
        </w:rPr>
        <w:t>%</w:t>
      </w:r>
      <w:r>
        <w:rPr>
          <w:color w:val="auto"/>
        </w:rPr>
        <w:t>，因此，区域环境质量得到整体改善，大气环境影响可接受。</w:t>
      </w:r>
    </w:p>
    <w:p>
      <w:pPr>
        <w:pStyle w:val="4"/>
        <w:rPr>
          <w:color w:val="auto"/>
        </w:rPr>
      </w:pPr>
      <w:r>
        <w:rPr>
          <w:rFonts w:hint="eastAsia"/>
          <w:color w:val="auto"/>
          <w:lang w:val="en-US" w:eastAsia="zh-CN"/>
        </w:rPr>
        <w:t>2、</w:t>
      </w:r>
      <w:r>
        <w:rPr>
          <w:rFonts w:hint="eastAsia"/>
          <w:color w:val="auto"/>
        </w:rPr>
        <w:t>地表水环境影响分析</w:t>
      </w:r>
    </w:p>
    <w:p>
      <w:pPr>
        <w:pStyle w:val="4"/>
        <w:rPr>
          <w:rFonts w:hint="eastAsia"/>
          <w:color w:val="auto"/>
        </w:rPr>
      </w:pPr>
      <w:r>
        <w:rPr>
          <w:rFonts w:hint="eastAsia"/>
          <w:color w:val="auto"/>
        </w:rPr>
        <w:t>根据《海安高新区园区污水处理厂（鹰泰水务海安有限公司）二期扩建工程入河排污口设置论证报告》</w:t>
      </w:r>
      <w:r>
        <w:rPr>
          <w:rFonts w:hint="eastAsia"/>
          <w:color w:val="auto"/>
          <w:lang w:val="en-US" w:eastAsia="zh-CN"/>
        </w:rPr>
        <w:t>评价</w:t>
      </w:r>
      <w:r>
        <w:rPr>
          <w:rFonts w:hint="eastAsia"/>
          <w:color w:val="auto"/>
        </w:rPr>
        <w:t>结论：鹰泰污水处理厂二期扩建工程实施后，在提高区域污水集中收集处理率的同时，对区域污染物入河量削减量分别达：COD 3055.1t/a、氨氮268.28t/a、总磷48.73t/a，可见项目的实施可以一定程度的减少区域入河污染物总量。项目污水经处理后达到《城镇污水处理厂污染物排放标准》（GB18918-2002）一级A标准后排入海南中心河。污水正常排放对下游水体水质影响较小，污水事故排放时在海南中心河排放口附近形成一定的污染带，但对功能区水质影响较小。</w:t>
      </w:r>
    </w:p>
    <w:p>
      <w:pPr>
        <w:pStyle w:val="4"/>
        <w:rPr>
          <w:rFonts w:hint="eastAsia"/>
          <w:color w:val="auto"/>
          <w:lang w:val="en-US" w:eastAsia="zh-CN"/>
        </w:rPr>
      </w:pPr>
      <w:r>
        <w:rPr>
          <w:rFonts w:hint="eastAsia"/>
          <w:color w:val="auto"/>
          <w:lang w:val="en-US" w:eastAsia="zh-CN"/>
        </w:rPr>
        <w:t>根据</w:t>
      </w:r>
      <w:r>
        <w:rPr>
          <w:rFonts w:hint="eastAsia"/>
          <w:color w:val="auto"/>
          <w:lang w:eastAsia="zh-CN"/>
        </w:rPr>
        <w:t>《</w:t>
      </w:r>
      <w:r>
        <w:rPr>
          <w:rFonts w:hint="eastAsia"/>
          <w:color w:val="auto"/>
        </w:rPr>
        <w:t>海安润泽水务有限公司污水处理项目</w:t>
      </w:r>
      <w:r>
        <w:rPr>
          <w:rFonts w:hint="eastAsia"/>
          <w:color w:val="auto"/>
          <w:lang w:val="en-US" w:eastAsia="zh-CN"/>
        </w:rPr>
        <w:t>环境影响报告书</w:t>
      </w:r>
      <w:r>
        <w:rPr>
          <w:rFonts w:hint="eastAsia"/>
          <w:color w:val="auto"/>
          <w:lang w:eastAsia="zh-CN"/>
        </w:rPr>
        <w:t>》</w:t>
      </w:r>
      <w:r>
        <w:rPr>
          <w:rFonts w:hint="eastAsia"/>
          <w:color w:val="auto"/>
          <w:lang w:val="en-US" w:eastAsia="zh-CN"/>
        </w:rPr>
        <w:t>地表水环境影响评价结论：项目满负荷运行后，排口至下游栟茶运河与通扬运河交界断面全段的各预测因子平均浓度均《地表水环境质量标准》（GB3838-2002）</w:t>
      </w:r>
      <w:r>
        <w:rPr>
          <w:rFonts w:hint="eastAsia"/>
          <w:color w:val="auto"/>
          <w:lang w:val="en-US" w:eastAsia="zh-CN"/>
        </w:rPr>
        <w:fldChar w:fldCharType="begin"/>
      </w:r>
      <w:r>
        <w:rPr>
          <w:rFonts w:hint="eastAsia"/>
          <w:color w:val="auto"/>
          <w:lang w:val="en-US" w:eastAsia="zh-CN"/>
        </w:rPr>
        <w:instrText xml:space="preserve"> = 3 \* ROMAN </w:instrText>
      </w:r>
      <w:r>
        <w:rPr>
          <w:rFonts w:hint="eastAsia"/>
          <w:color w:val="auto"/>
          <w:lang w:val="en-US" w:eastAsia="zh-CN"/>
        </w:rPr>
        <w:fldChar w:fldCharType="separate"/>
      </w:r>
      <w:r>
        <w:rPr>
          <w:rFonts w:hint="eastAsia"/>
          <w:color w:val="auto"/>
          <w:lang w:val="en-US" w:eastAsia="zh-CN"/>
        </w:rPr>
        <w:t>III</w:t>
      </w:r>
      <w:r>
        <w:rPr>
          <w:rFonts w:hint="eastAsia"/>
          <w:color w:val="auto"/>
          <w:lang w:val="en-US" w:eastAsia="zh-CN"/>
        </w:rPr>
        <w:fldChar w:fldCharType="end"/>
      </w:r>
      <w:r>
        <w:rPr>
          <w:rFonts w:hint="eastAsia"/>
          <w:color w:val="auto"/>
          <w:lang w:val="en-US" w:eastAsia="zh-CN"/>
        </w:rPr>
        <w:t>类标准，对水体和交界断面影响较小。</w:t>
      </w:r>
    </w:p>
    <w:p>
      <w:pPr>
        <w:pStyle w:val="4"/>
        <w:rPr>
          <w:rFonts w:hint="default"/>
          <w:color w:val="auto"/>
          <w:lang w:val="en-US" w:eastAsia="zh-CN"/>
        </w:rPr>
      </w:pPr>
      <w:r>
        <w:rPr>
          <w:rFonts w:hint="eastAsia"/>
          <w:color w:val="auto"/>
          <w:lang w:val="en-US" w:eastAsia="zh-CN"/>
        </w:rPr>
        <w:t>高新区管委会应加强污水管网的建设进度，保证入驻企业废水可接管，未接管前禁止入驻企业投入生产。</w:t>
      </w:r>
    </w:p>
    <w:p>
      <w:pPr>
        <w:pStyle w:val="4"/>
        <w:rPr>
          <w:color w:val="auto"/>
        </w:rPr>
      </w:pPr>
      <w:r>
        <w:rPr>
          <w:rFonts w:hint="eastAsia"/>
          <w:color w:val="auto"/>
          <w:lang w:val="en-US" w:eastAsia="zh-CN"/>
        </w:rPr>
        <w:t>3、</w:t>
      </w:r>
      <w:r>
        <w:rPr>
          <w:color w:val="auto"/>
        </w:rPr>
        <w:t>声环境影响分析</w:t>
      </w:r>
    </w:p>
    <w:p>
      <w:pPr>
        <w:pStyle w:val="4"/>
        <w:rPr>
          <w:color w:val="auto"/>
        </w:rPr>
      </w:pPr>
      <w:r>
        <w:rPr>
          <w:rFonts w:hint="eastAsia"/>
          <w:color w:val="auto"/>
          <w:lang w:val="en-US" w:eastAsia="zh-CN"/>
        </w:rPr>
        <w:t>电子信息产业园</w:t>
      </w:r>
      <w:r>
        <w:rPr>
          <w:color w:val="auto"/>
        </w:rPr>
        <w:t>内现状工业企业固定源一般均按照要求采取控制措施，使厂界噪声能够达到相应功能区要求。对于新入以噪声污染为主的工业企业，需对企业进行合理选址与布局，并通过采用对工厂内部合理布局、选用低噪声设备等措施，使厂界噪声达到《工业企业厂界环境噪声排放标准》相应标准要求。</w:t>
      </w:r>
    </w:p>
    <w:p>
      <w:pPr>
        <w:pStyle w:val="4"/>
        <w:rPr>
          <w:color w:val="auto"/>
        </w:rPr>
      </w:pPr>
      <w:r>
        <w:rPr>
          <w:rFonts w:hint="eastAsia"/>
          <w:color w:val="auto"/>
          <w:lang w:val="en-US" w:eastAsia="zh-CN"/>
        </w:rPr>
        <w:t>4、</w:t>
      </w:r>
      <w:r>
        <w:rPr>
          <w:color w:val="auto"/>
        </w:rPr>
        <w:t>固体废物处置影响分析</w:t>
      </w:r>
    </w:p>
    <w:p>
      <w:pPr>
        <w:pStyle w:val="4"/>
        <w:rPr>
          <w:color w:val="auto"/>
        </w:rPr>
      </w:pPr>
      <w:r>
        <w:rPr>
          <w:rFonts w:hint="eastAsia"/>
          <w:color w:val="auto"/>
          <w:lang w:val="en-US" w:eastAsia="zh-CN"/>
        </w:rPr>
        <w:t>电子信息产业园</w:t>
      </w:r>
      <w:r>
        <w:rPr>
          <w:color w:val="auto"/>
        </w:rPr>
        <w:t>产生的固体废物主要为生活垃圾、一般工业固体废物和危险废物。生活垃圾规划设置生活垃圾收集和转运系统，并由环卫部门统一清运，垃圾中转站运往</w:t>
      </w:r>
      <w:r>
        <w:rPr>
          <w:rFonts w:hint="eastAsia"/>
          <w:color w:val="auto"/>
        </w:rPr>
        <w:t>海安天楹环保能源有限公司处理</w:t>
      </w:r>
      <w:r>
        <w:rPr>
          <w:color w:val="auto"/>
        </w:rPr>
        <w:t>，处置率达100％，因此产生的生活垃圾对周边环境影响不大；企业产生的一般工业固体废物基本实现100%处置或综合利用，因此对周围环境影响不大；企业产生的危险废按有关规定，委托有资质的单位进行处置，对周围环境影响不大。</w:t>
      </w:r>
    </w:p>
    <w:p>
      <w:pPr>
        <w:pStyle w:val="4"/>
        <w:rPr>
          <w:color w:val="auto"/>
        </w:rPr>
      </w:pPr>
      <w:r>
        <w:rPr>
          <w:rFonts w:hint="eastAsia"/>
          <w:color w:val="auto"/>
          <w:lang w:val="en-US" w:eastAsia="zh-CN"/>
        </w:rPr>
        <w:t>5、</w:t>
      </w:r>
      <w:r>
        <w:rPr>
          <w:color w:val="auto"/>
        </w:rPr>
        <w:t>地下水环境影响分析</w:t>
      </w:r>
    </w:p>
    <w:p>
      <w:pPr>
        <w:pStyle w:val="4"/>
        <w:rPr>
          <w:color w:val="auto"/>
        </w:rPr>
      </w:pPr>
      <w:r>
        <w:rPr>
          <w:color w:val="auto"/>
        </w:rPr>
        <w:t>当</w:t>
      </w:r>
      <w:r>
        <w:rPr>
          <w:rFonts w:hint="eastAsia"/>
          <w:color w:val="auto"/>
          <w:lang w:val="en-US" w:eastAsia="zh-CN"/>
        </w:rPr>
        <w:t>润泽水务</w:t>
      </w:r>
      <w:r>
        <w:rPr>
          <w:color w:val="auto"/>
        </w:rPr>
        <w:t>污水处理站池体破裂渗漏等非正常工况时，耗氧量</w:t>
      </w:r>
      <w:r>
        <w:rPr>
          <w:rFonts w:hint="eastAsia"/>
          <w:color w:val="auto"/>
        </w:rPr>
        <w:t>、</w:t>
      </w:r>
      <w:r>
        <w:rPr>
          <w:rFonts w:hint="eastAsia"/>
          <w:color w:val="auto"/>
          <w:lang w:val="en-US" w:eastAsia="zh-CN"/>
        </w:rPr>
        <w:t>铬（六价）、总镍</w:t>
      </w:r>
      <w:r>
        <w:rPr>
          <w:color w:val="auto"/>
        </w:rPr>
        <w:t>污染物在地下水中</w:t>
      </w:r>
      <w:r>
        <w:rPr>
          <w:rFonts w:hint="eastAsia"/>
          <w:color w:val="auto"/>
        </w:rPr>
        <w:t>最大超标范围为</w:t>
      </w:r>
      <w:r>
        <w:rPr>
          <w:rFonts w:hint="eastAsia"/>
          <w:color w:val="auto"/>
          <w:lang w:val="en-US" w:eastAsia="zh-CN"/>
        </w:rPr>
        <w:t>63</w:t>
      </w:r>
      <w:r>
        <w:rPr>
          <w:rFonts w:hint="eastAsia"/>
          <w:color w:val="auto"/>
        </w:rPr>
        <w:t>m，最大影响范围为</w:t>
      </w:r>
      <w:r>
        <w:rPr>
          <w:rFonts w:hint="eastAsia"/>
          <w:color w:val="auto"/>
          <w:lang w:val="en-US" w:eastAsia="zh-CN"/>
        </w:rPr>
        <w:t>78</w:t>
      </w:r>
      <w:r>
        <w:rPr>
          <w:rFonts w:hint="eastAsia"/>
          <w:color w:val="auto"/>
        </w:rPr>
        <w:t>m。</w:t>
      </w:r>
    </w:p>
    <w:p>
      <w:pPr>
        <w:pStyle w:val="4"/>
        <w:rPr>
          <w:color w:val="auto"/>
        </w:rPr>
      </w:pPr>
      <w:r>
        <w:rPr>
          <w:rFonts w:hint="eastAsia"/>
          <w:color w:val="auto"/>
        </w:rPr>
        <w:t>因为非正常情况下污染物超标及影响范围较大，需加强企业内部环保管理，首先避免事故的发生。事故发生后应尽早采取相应措施，避免污染物对地下水造成大范围污染。</w:t>
      </w:r>
    </w:p>
    <w:p>
      <w:pPr>
        <w:pStyle w:val="4"/>
        <w:rPr>
          <w:color w:val="auto"/>
        </w:rPr>
      </w:pPr>
      <w:r>
        <w:rPr>
          <w:rFonts w:hint="eastAsia"/>
          <w:color w:val="auto"/>
          <w:lang w:val="en-US" w:eastAsia="zh-CN"/>
        </w:rPr>
        <w:t>6、</w:t>
      </w:r>
      <w:r>
        <w:rPr>
          <w:rFonts w:hint="eastAsia"/>
          <w:color w:val="auto"/>
        </w:rPr>
        <w:t>土壤环境影响分析</w:t>
      </w:r>
    </w:p>
    <w:p>
      <w:pPr>
        <w:pStyle w:val="4"/>
        <w:rPr>
          <w:color w:val="auto"/>
        </w:rPr>
      </w:pPr>
      <w:r>
        <w:rPr>
          <w:color w:val="auto"/>
        </w:rPr>
        <w:t>根据本次土壤环境质量现状监测，监测期间区域土壤监测的各因子均符合相应的《土壤环境质量-建设用地土壤污染风险管控标准》（GB36600-2018）第一、二类用地筛选值和《土壤环境质量 农用地土壤污染风险管控标准（试行）》（GB15618-2018）标准要求，由此可见，本规划区内土壤环境质量现状良好。</w:t>
      </w:r>
    </w:p>
    <w:p>
      <w:pPr>
        <w:pStyle w:val="4"/>
        <w:rPr>
          <w:rFonts w:hint="default"/>
          <w:color w:val="auto"/>
          <w:lang w:val="en-US" w:eastAsia="zh-CN"/>
        </w:rPr>
      </w:pPr>
      <w:r>
        <w:rPr>
          <w:rFonts w:hint="eastAsia"/>
          <w:color w:val="auto"/>
          <w:lang w:val="en-US" w:eastAsia="zh-CN"/>
        </w:rPr>
        <w:t>电子信息产业园内</w:t>
      </w:r>
      <w:r>
        <w:rPr>
          <w:color w:val="auto"/>
        </w:rPr>
        <w:t>企业在正常情况下对土壤环境基本无影响，只有当区内企业所使用的有毒有害原辅材料</w:t>
      </w:r>
      <w:r>
        <w:rPr>
          <w:rFonts w:hint="eastAsia"/>
          <w:color w:val="auto"/>
        </w:rPr>
        <w:t>及废水等</w:t>
      </w:r>
      <w:r>
        <w:rPr>
          <w:color w:val="auto"/>
        </w:rPr>
        <w:t>发生泄漏的情况下对泄漏点附近的土壤造成一定的影响，</w:t>
      </w:r>
      <w:r>
        <w:rPr>
          <w:rFonts w:hint="eastAsia"/>
          <w:color w:val="auto"/>
          <w:lang w:val="en-US" w:eastAsia="zh-CN"/>
        </w:rPr>
        <w:t>根据预测结果，</w:t>
      </w:r>
      <w:r>
        <w:rPr>
          <w:rFonts w:hint="default"/>
          <w:color w:val="auto"/>
          <w:lang w:val="en-US" w:eastAsia="zh-CN"/>
        </w:rPr>
        <w:t>在含镍废水下渗的情况下，10天、1年及10年、30年后，项目各深度土壤中镍预测值均未超过标准值。但30年后，土壤中镍预测值已临近标准限值，必须按相关要求做好防渗措施，有效避免事故废水下渗造成土壤污染。因此，土壤环境影响较小。</w:t>
      </w:r>
    </w:p>
    <w:p>
      <w:pPr>
        <w:pStyle w:val="4"/>
        <w:rPr>
          <w:color w:val="auto"/>
        </w:rPr>
      </w:pPr>
      <w:r>
        <w:rPr>
          <w:color w:val="auto"/>
        </w:rPr>
        <w:t>（6）生态环境影响分析</w:t>
      </w:r>
    </w:p>
    <w:p>
      <w:pPr>
        <w:pStyle w:val="4"/>
        <w:rPr>
          <w:color w:val="auto"/>
        </w:rPr>
      </w:pPr>
      <w:r>
        <w:rPr>
          <w:rFonts w:hint="eastAsia"/>
          <w:color w:val="auto"/>
          <w:lang w:val="en-US" w:eastAsia="zh-CN"/>
        </w:rPr>
        <w:t>电子信息产业园</w:t>
      </w:r>
      <w:r>
        <w:rPr>
          <w:color w:val="auto"/>
        </w:rPr>
        <w:t>通过合理地规划与建设能在很大程度上减轻生态环境的不利影响，基本保证人居生态环境质量不降低。</w:t>
      </w:r>
    </w:p>
    <w:p>
      <w:pPr>
        <w:pStyle w:val="4"/>
        <w:rPr>
          <w:color w:val="auto"/>
        </w:rPr>
      </w:pPr>
      <w:r>
        <w:rPr>
          <w:color w:val="auto"/>
        </w:rPr>
        <w:t>（7）环境风险评价</w:t>
      </w:r>
    </w:p>
    <w:p>
      <w:pPr>
        <w:pStyle w:val="4"/>
        <w:rPr>
          <w:color w:val="auto"/>
        </w:rPr>
      </w:pPr>
      <w:r>
        <w:rPr>
          <w:rFonts w:hint="eastAsia"/>
          <w:color w:val="auto"/>
          <w:lang w:val="en-US" w:eastAsia="zh-CN"/>
        </w:rPr>
        <w:t>电子信息产业园</w:t>
      </w:r>
      <w:r>
        <w:rPr>
          <w:rFonts w:hint="eastAsia"/>
          <w:color w:val="auto"/>
        </w:rPr>
        <w:t>内存在的环境风险主要包括：</w:t>
      </w:r>
      <w:r>
        <w:rPr>
          <w:rFonts w:hint="eastAsia"/>
          <w:color w:val="auto"/>
          <w:lang w:val="en-US" w:eastAsia="zh-CN"/>
        </w:rPr>
        <w:t>金属表面处理中心项目废气处理设施事故状态排放，有毒有害物质和危险化学品泄漏</w:t>
      </w:r>
      <w:r>
        <w:rPr>
          <w:color w:val="auto"/>
        </w:rPr>
        <w:t>、污水厂事故排放等。</w:t>
      </w:r>
    </w:p>
    <w:p>
      <w:pPr>
        <w:pStyle w:val="4"/>
        <w:rPr>
          <w:color w:val="auto"/>
        </w:rPr>
      </w:pPr>
      <w:r>
        <w:rPr>
          <w:rFonts w:hint="eastAsia"/>
          <w:color w:val="auto"/>
          <w:lang w:val="en-US" w:eastAsia="zh-CN"/>
        </w:rPr>
        <w:t>电子信息产业园</w:t>
      </w:r>
      <w:r>
        <w:rPr>
          <w:color w:val="auto"/>
        </w:rPr>
        <w:t>具有潜在的事故风险，应从建设、生产、储运等各个方面积极采取防护措施，预防事故的发生。为了防范事故和减少危害，需制定灾害事故应急预案。当出现事故时，要采取紧急的工程应急措施，如有必要，要采取社会应急措施，以控制事故和减少对环境造成的危害。</w:t>
      </w:r>
    </w:p>
    <w:p>
      <w:pPr>
        <w:rPr>
          <w:color w:val="auto"/>
        </w:rPr>
      </w:pPr>
      <w:r>
        <w:rPr>
          <w:color w:val="auto"/>
        </w:rPr>
        <w:br w:type="page"/>
      </w:r>
    </w:p>
    <w:p>
      <w:pPr>
        <w:pStyle w:val="2"/>
        <w:bidi w:val="0"/>
        <w:rPr>
          <w:color w:val="auto"/>
        </w:rPr>
      </w:pPr>
      <w:bookmarkStart w:id="19" w:name="_Toc10110"/>
      <w:r>
        <w:rPr>
          <w:rFonts w:hint="eastAsia"/>
          <w:color w:val="auto"/>
          <w:lang w:val="en-US" w:eastAsia="zh-CN"/>
        </w:rPr>
        <w:t>规划方案综合论证和优化调整建议</w:t>
      </w:r>
      <w:bookmarkEnd w:id="19"/>
    </w:p>
    <w:p>
      <w:pPr>
        <w:keepNext/>
        <w:keepLines/>
        <w:widowControl w:val="0"/>
        <w:numPr>
          <w:ilvl w:val="1"/>
          <w:numId w:val="1"/>
        </w:numPr>
        <w:bidi w:val="0"/>
        <w:spacing w:before="100" w:after="100" w:line="500" w:lineRule="exact"/>
        <w:jc w:val="left"/>
        <w:outlineLvl w:val="1"/>
        <w:rPr>
          <w:rFonts w:hint="default" w:ascii="Times New Roman" w:hAnsi="Times New Roman" w:eastAsia="宋体" w:cstheme="minorBidi"/>
          <w:b/>
          <w:kern w:val="2"/>
          <w:sz w:val="30"/>
          <w:szCs w:val="24"/>
          <w:lang w:val="en-US" w:eastAsia="zh-CN" w:bidi="ar-SA"/>
        </w:rPr>
      </w:pPr>
      <w:bookmarkStart w:id="20" w:name="_Toc15523"/>
      <w:r>
        <w:rPr>
          <w:rFonts w:hint="eastAsia" w:ascii="Times New Roman" w:hAnsi="Times New Roman" w:eastAsia="宋体" w:cstheme="minorBidi"/>
          <w:b/>
          <w:kern w:val="2"/>
          <w:sz w:val="30"/>
          <w:szCs w:val="24"/>
          <w:lang w:val="en-US" w:eastAsia="zh-CN" w:bidi="ar-SA"/>
        </w:rPr>
        <w:t>规划方案合理性论证</w:t>
      </w:r>
      <w:bookmarkEnd w:id="20"/>
    </w:p>
    <w:p>
      <w:pPr>
        <w:keepNext/>
        <w:keepLines/>
        <w:widowControl w:val="0"/>
        <w:numPr>
          <w:ilvl w:val="2"/>
          <w:numId w:val="1"/>
        </w:numPr>
        <w:bidi w:val="0"/>
        <w:spacing w:before="80" w:after="80" w:line="500" w:lineRule="exact"/>
        <w:jc w:val="left"/>
        <w:outlineLvl w:val="2"/>
        <w:rPr>
          <w:rFonts w:hint="eastAsia"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规划目标与发展定位合理性论证</w:t>
      </w:r>
    </w:p>
    <w:p>
      <w:pPr>
        <w:pStyle w:val="4"/>
        <w:rPr>
          <w:rFonts w:hint="eastAsia"/>
          <w:lang w:val="en-US" w:eastAsia="zh-CN"/>
        </w:rPr>
      </w:pPr>
      <w:r>
        <w:rPr>
          <w:rFonts w:hint="eastAsia"/>
          <w:lang w:val="en-US" w:eastAsia="zh-CN"/>
        </w:rPr>
        <w:t>电子信息产业园以推动电子信息产业高质量发展为主线，以产品创新和科技创新为重要抓手，依托北京大学上海微电子研究院合作共建的海安集成电路技术创新中心，围绕金属精密加工产业链、新型电子材料产业链加快产业导入，通过电子信息产业与其他领域深度融合拓宽发展空间，促进电子信息产业特色化、规模化、高端化、品牌化发展，打造长江三角洲区域产业转移示范区，形成具有区域竞争力的电子信息产业特色制造基地和创新基地。</w:t>
      </w:r>
    </w:p>
    <w:p>
      <w:pPr>
        <w:pStyle w:val="4"/>
        <w:bidi w:val="0"/>
        <w:rPr>
          <w:rFonts w:hint="eastAsia"/>
          <w:lang w:val="en-US" w:eastAsia="zh-CN"/>
        </w:rPr>
      </w:pPr>
      <w:r>
        <w:rPr>
          <w:rFonts w:hint="eastAsia"/>
          <w:lang w:val="en-US" w:eastAsia="zh-CN"/>
        </w:rPr>
        <w:t>从环保方面看，在土地资源紧缺，资源环境承载力有限的双重压力下，园区不断优化调整产业结构，降低单位工业增加值的污染物排放强度与能耗、水耗，并对重点行业进行环境综合整治。本轮规划基本符合国家、长江经济带、江苏省、南通市、海安市各级区域发展、生态环境保护和污染防治文件要求，基本符合江苏省、南通市“三线一单”的要求。</w:t>
      </w:r>
    </w:p>
    <w:p>
      <w:pPr>
        <w:pStyle w:val="4"/>
        <w:rPr>
          <w:rFonts w:hint="eastAsia"/>
          <w:lang w:val="en-US" w:eastAsia="zh-CN"/>
        </w:rPr>
      </w:pPr>
      <w:r>
        <w:rPr>
          <w:rFonts w:hint="eastAsia"/>
          <w:lang w:val="en-US" w:eastAsia="zh-CN"/>
        </w:rPr>
        <w:t>园区规划发展目标的确立充分考虑了区域资源环境条件，符合区域环境保护的需要。同时园区周边高新区和开发区的良好发展态势及区域优美的生态环境也可以为规划目标的实现提供良好的氛围。</w:t>
      </w:r>
    </w:p>
    <w:p>
      <w:pPr>
        <w:pStyle w:val="4"/>
        <w:rPr>
          <w:rFonts w:hint="eastAsia"/>
          <w:lang w:val="en-US" w:eastAsia="zh-CN"/>
        </w:rPr>
      </w:pPr>
      <w:r>
        <w:rPr>
          <w:rFonts w:hint="eastAsia"/>
          <w:lang w:val="en-US" w:eastAsia="zh-CN"/>
        </w:rPr>
        <w:t>总体评价认为，规划定位与总体目标的确立基本合理。</w:t>
      </w:r>
    </w:p>
    <w:p>
      <w:pPr>
        <w:keepNext/>
        <w:keepLines/>
        <w:widowControl w:val="0"/>
        <w:numPr>
          <w:ilvl w:val="2"/>
          <w:numId w:val="1"/>
        </w:numPr>
        <w:bidi w:val="0"/>
        <w:spacing w:before="80" w:after="80" w:line="500" w:lineRule="exact"/>
        <w:jc w:val="left"/>
        <w:outlineLvl w:val="2"/>
        <w:rPr>
          <w:rFonts w:hint="eastAsia"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规划园区布局、重大项目选址环境合理性论证</w:t>
      </w:r>
    </w:p>
    <w:p>
      <w:pPr>
        <w:keepNext/>
        <w:keepLines/>
        <w:widowControl w:val="0"/>
        <w:numPr>
          <w:ilvl w:val="3"/>
          <w:numId w:val="1"/>
        </w:numPr>
        <w:bidi w:val="0"/>
        <w:spacing w:before="60" w:after="60" w:line="500" w:lineRule="exact"/>
        <w:jc w:val="left"/>
        <w:outlineLvl w:val="3"/>
        <w:rPr>
          <w:rFonts w:hint="eastAsia" w:ascii="Times New Roman" w:hAnsi="Times New Roman" w:eastAsia="宋体" w:cstheme="minorBidi"/>
          <w:b/>
          <w:kern w:val="2"/>
          <w:sz w:val="24"/>
          <w:szCs w:val="24"/>
          <w:lang w:val="en-US" w:eastAsia="zh-CN" w:bidi="ar-SA"/>
        </w:rPr>
      </w:pPr>
      <w:r>
        <w:rPr>
          <w:rFonts w:hint="eastAsia" w:ascii="Times New Roman" w:hAnsi="Times New Roman" w:eastAsia="宋体" w:cstheme="minorBidi"/>
          <w:b/>
          <w:kern w:val="2"/>
          <w:sz w:val="24"/>
          <w:szCs w:val="24"/>
          <w:lang w:val="en-US" w:eastAsia="zh-CN" w:bidi="ar-SA"/>
        </w:rPr>
        <w:t>选址合理性论证</w:t>
      </w:r>
    </w:p>
    <w:p>
      <w:pPr>
        <w:pStyle w:val="4"/>
        <w:rPr>
          <w:rFonts w:hint="eastAsia" w:eastAsia="宋体" w:cs="Times New Roman"/>
          <w:kern w:val="0"/>
          <w:szCs w:val="20"/>
          <w:lang w:val="en-US" w:eastAsia="zh-CN"/>
        </w:rPr>
      </w:pPr>
      <w:r>
        <w:rPr>
          <w:rFonts w:hint="eastAsia"/>
          <w:lang w:val="en-US" w:eastAsia="zh-CN"/>
        </w:rPr>
        <w:t>电子信息产业园</w:t>
      </w:r>
      <w:r>
        <w:rPr>
          <w:rFonts w:hint="eastAsia"/>
        </w:rPr>
        <w:t>选址总体与《长江三角洲地区区域规划》、《江苏省主体功能区规划》、《南通市城市总体规划》（2011-2020年）等对该地区的定位、发展方向相一致</w:t>
      </w:r>
      <w:r>
        <w:rPr>
          <w:rFonts w:hint="eastAsia"/>
          <w:lang w:eastAsia="zh-CN"/>
        </w:rPr>
        <w:t>；</w:t>
      </w:r>
      <w:r>
        <w:rPr>
          <w:rFonts w:hint="eastAsia" w:eastAsia="宋体" w:cs="Times New Roman"/>
          <w:kern w:val="0"/>
          <w:szCs w:val="20"/>
        </w:rPr>
        <w:t>不占用</w:t>
      </w:r>
      <w:r>
        <w:rPr>
          <w:rFonts w:eastAsia="宋体" w:cs="Times New Roman"/>
          <w:kern w:val="0"/>
          <w:szCs w:val="20"/>
        </w:rPr>
        <w:t>《江苏省国家级生态保护红线规划》</w:t>
      </w:r>
      <w:r>
        <w:rPr>
          <w:rFonts w:hint="eastAsia" w:eastAsia="宋体"/>
          <w:lang w:val="en-US" w:eastAsia="zh-CN"/>
        </w:rPr>
        <w:t>及</w:t>
      </w:r>
      <w:r>
        <w:rPr>
          <w:rFonts w:hint="eastAsia" w:eastAsia="宋体" w:cs="Times New Roman"/>
          <w:kern w:val="0"/>
          <w:szCs w:val="20"/>
        </w:rPr>
        <w:t>《</w:t>
      </w:r>
      <w:r>
        <w:rPr>
          <w:rFonts w:eastAsia="宋体" w:cs="Times New Roman"/>
          <w:kern w:val="0"/>
          <w:szCs w:val="20"/>
          <w:lang w:val="zh-CN"/>
        </w:rPr>
        <w:t>江苏省生态空间管控区域规划</w:t>
      </w:r>
      <w:r>
        <w:rPr>
          <w:rFonts w:hint="eastAsia" w:eastAsia="宋体" w:cs="Times New Roman"/>
          <w:kern w:val="0"/>
          <w:szCs w:val="20"/>
        </w:rPr>
        <w:t>》规划的生态红线和生态空间管控区域</w:t>
      </w:r>
      <w:r>
        <w:rPr>
          <w:rFonts w:hint="eastAsia" w:eastAsia="宋体" w:cs="Times New Roman"/>
          <w:kern w:val="0"/>
          <w:szCs w:val="20"/>
          <w:lang w:eastAsia="zh-CN"/>
        </w:rPr>
        <w:t>，</w:t>
      </w:r>
      <w:r>
        <w:rPr>
          <w:rFonts w:hint="eastAsia" w:eastAsia="宋体" w:cs="Times New Roman"/>
          <w:kern w:val="0"/>
          <w:szCs w:val="20"/>
          <w:lang w:val="en-US" w:eastAsia="zh-CN"/>
        </w:rPr>
        <w:t>属于《江苏省三线一单》和市《南通市三线一单》的重点管控单元。</w:t>
      </w:r>
    </w:p>
    <w:p>
      <w:pPr>
        <w:pStyle w:val="4"/>
        <w:rPr>
          <w:rFonts w:hint="eastAsia" w:eastAsia="宋体" w:cs="Times New Roman"/>
          <w:kern w:val="0"/>
          <w:szCs w:val="20"/>
          <w:lang w:eastAsia="zh-CN"/>
        </w:rPr>
      </w:pPr>
      <w:r>
        <w:rPr>
          <w:rFonts w:hint="eastAsia"/>
          <w:lang w:val="en-US" w:eastAsia="zh-CN"/>
        </w:rPr>
        <w:t>电子信息产业园规划范围</w:t>
      </w:r>
      <w:r>
        <w:rPr>
          <w:rFonts w:hint="eastAsia" w:eastAsia="宋体" w:cs="Times New Roman"/>
          <w:kern w:val="0"/>
          <w:szCs w:val="20"/>
        </w:rPr>
        <w:t>内及周边分布有居民，离海安城区距离较近，区域的水环境、大气环境具有一定的敏感性；但主要位于工业片区主导风向的侧风向</w:t>
      </w:r>
      <w:r>
        <w:rPr>
          <w:rFonts w:hint="eastAsia" w:eastAsia="宋体" w:cs="Times New Roman"/>
          <w:kern w:val="0"/>
          <w:szCs w:val="20"/>
          <w:lang w:eastAsia="zh-CN"/>
        </w:rPr>
        <w:t>。</w:t>
      </w:r>
    </w:p>
    <w:p>
      <w:pPr>
        <w:pStyle w:val="4"/>
        <w:bidi w:val="0"/>
      </w:pPr>
      <w:r>
        <w:rPr>
          <w:rFonts w:hint="eastAsia"/>
        </w:rPr>
        <w:t>因此，从规划区选址的规划相符性和环境敏感性综合评价认为，在进一步优化区域开发格局、严格企业环境准入、在国家、流域、地方各类污染防治政策、规划等指导、要求下，开展大气、水环境综合整治、加强进区企业日常环境监管、建立有效风险防范与应急体系的前提下，</w:t>
      </w:r>
      <w:r>
        <w:rPr>
          <w:rFonts w:hint="eastAsia"/>
          <w:lang w:val="en-US" w:eastAsia="zh-CN"/>
        </w:rPr>
        <w:t>电子信息产业园</w:t>
      </w:r>
      <w:r>
        <w:rPr>
          <w:rFonts w:hint="eastAsia"/>
        </w:rPr>
        <w:t>规划选址从环保角度基本合理。</w:t>
      </w:r>
    </w:p>
    <w:p>
      <w:pPr>
        <w:keepNext/>
        <w:keepLines/>
        <w:widowControl w:val="0"/>
        <w:numPr>
          <w:ilvl w:val="3"/>
          <w:numId w:val="1"/>
        </w:numPr>
        <w:bidi w:val="0"/>
        <w:spacing w:before="60" w:after="60" w:line="500" w:lineRule="exact"/>
        <w:jc w:val="left"/>
        <w:outlineLvl w:val="3"/>
        <w:rPr>
          <w:rFonts w:hint="eastAsia" w:ascii="Times New Roman" w:hAnsi="Times New Roman" w:eastAsia="宋体" w:cstheme="minorBidi"/>
          <w:b/>
          <w:kern w:val="2"/>
          <w:sz w:val="24"/>
          <w:szCs w:val="24"/>
          <w:lang w:val="en-US" w:eastAsia="zh-CN" w:bidi="ar-SA"/>
        </w:rPr>
      </w:pPr>
      <w:r>
        <w:rPr>
          <w:rFonts w:hint="eastAsia" w:ascii="Times New Roman" w:hAnsi="Times New Roman" w:eastAsia="宋体" w:cstheme="minorBidi"/>
          <w:b/>
          <w:kern w:val="2"/>
          <w:sz w:val="24"/>
          <w:szCs w:val="24"/>
          <w:lang w:val="en-US" w:eastAsia="zh-CN" w:bidi="ar-SA"/>
        </w:rPr>
        <w:t>规划园区布局合理性论选址证</w:t>
      </w:r>
    </w:p>
    <w:p>
      <w:pPr>
        <w:pStyle w:val="4"/>
        <w:rPr>
          <w:rFonts w:hint="eastAsia"/>
          <w:color w:val="000000"/>
          <w:lang w:eastAsia="zh-CN"/>
        </w:rPr>
      </w:pPr>
      <w:r>
        <w:rPr>
          <w:rFonts w:hint="eastAsia"/>
          <w:lang w:val="en-US" w:eastAsia="zh-CN"/>
        </w:rPr>
        <w:t>电子信息产业园按照产业发展分为南北两个组团，北部组团以</w:t>
      </w:r>
      <w:r>
        <w:rPr>
          <w:rFonts w:hint="eastAsia"/>
          <w:color w:val="000000"/>
        </w:rPr>
        <w:t>以智慧信息产业集聚研发为主，提供高端孵化和实验创新平台的电子信息功能区</w:t>
      </w:r>
      <w:r>
        <w:rPr>
          <w:rFonts w:hint="eastAsia"/>
          <w:color w:val="000000"/>
          <w:lang w:eastAsia="zh-CN"/>
        </w:rPr>
        <w:t>，</w:t>
      </w:r>
      <w:r>
        <w:rPr>
          <w:rFonts w:hint="eastAsia"/>
          <w:color w:val="000000"/>
          <w:lang w:val="en-US" w:eastAsia="zh-CN"/>
        </w:rPr>
        <w:t>南部组团</w:t>
      </w:r>
      <w:r>
        <w:rPr>
          <w:rFonts w:hint="eastAsia"/>
          <w:color w:val="000000"/>
        </w:rPr>
        <w:t>以精密仪器金属、半导体为主的设计、加工、生产、制造为主的功能区</w:t>
      </w:r>
      <w:r>
        <w:rPr>
          <w:rFonts w:hint="eastAsia"/>
          <w:color w:val="000000"/>
          <w:lang w:eastAsia="zh-CN"/>
        </w:rPr>
        <w:t>。</w:t>
      </w:r>
    </w:p>
    <w:p>
      <w:pPr>
        <w:pStyle w:val="4"/>
        <w:bidi w:val="0"/>
        <w:rPr>
          <w:rFonts w:hint="eastAsia" w:cs="Times New Roman"/>
          <w:lang w:eastAsia="zh-CN"/>
        </w:rPr>
      </w:pPr>
      <w:r>
        <w:rPr>
          <w:rFonts w:hint="eastAsia"/>
        </w:rPr>
        <w:t>本次布局解决了</w:t>
      </w:r>
      <w:r>
        <w:rPr>
          <w:rFonts w:hint="eastAsia"/>
          <w:lang w:val="en-US" w:eastAsia="zh-CN"/>
        </w:rPr>
        <w:t>规划区</w:t>
      </w:r>
      <w:r>
        <w:rPr>
          <w:rFonts w:hint="eastAsia"/>
        </w:rPr>
        <w:t>现状部分工业用地零散分布、工居混杂明显、产业集聚性程度低等问题</w:t>
      </w:r>
      <w:r>
        <w:rPr>
          <w:rFonts w:hint="eastAsia"/>
          <w:lang w:eastAsia="zh-CN"/>
        </w:rPr>
        <w:t>，</w:t>
      </w:r>
      <w:r>
        <w:rPr>
          <w:rFonts w:hint="eastAsia"/>
        </w:rPr>
        <w:t>不仅提高土地利用效率和用地产出效益，有利于基础设施配套建设，更能够优化人居环境。另外</w:t>
      </w:r>
      <w:r>
        <w:rPr>
          <w:rFonts w:hint="eastAsia"/>
          <w:lang w:val="en-US" w:eastAsia="zh-CN"/>
        </w:rPr>
        <w:t>本次规划提出要求入驻企业与居民区之间建设不小于30米的防护绿地</w:t>
      </w:r>
      <w:r>
        <w:rPr>
          <w:rFonts w:hint="eastAsia"/>
        </w:rPr>
        <w:t>，以减缓产业发展对人居环境的影响。</w:t>
      </w:r>
      <w:r>
        <w:rPr>
          <w:rFonts w:hint="eastAsia"/>
          <w:lang w:val="en-US" w:eastAsia="zh-CN"/>
        </w:rPr>
        <w:t>高新区管委会也将对规划区内的分散村庄逐步拆迁，</w:t>
      </w:r>
      <w:r>
        <w:rPr>
          <w:rFonts w:hint="eastAsia" w:cs="Times New Roman"/>
        </w:rPr>
        <w:t>解决工业发展带来的工居矛盾</w:t>
      </w:r>
      <w:r>
        <w:rPr>
          <w:rFonts w:hint="eastAsia" w:cs="Times New Roman"/>
          <w:lang w:eastAsia="zh-CN"/>
        </w:rPr>
        <w:t>。</w:t>
      </w:r>
    </w:p>
    <w:p>
      <w:pPr>
        <w:pStyle w:val="4"/>
        <w:bidi w:val="0"/>
        <w:rPr>
          <w:rFonts w:hint="default" w:cs="Times New Roman"/>
          <w:lang w:val="en-US" w:eastAsia="zh-CN"/>
        </w:rPr>
      </w:pPr>
      <w:r>
        <w:rPr>
          <w:rFonts w:hint="eastAsia" w:cs="Times New Roman"/>
          <w:lang w:val="en-US" w:eastAsia="zh-CN"/>
        </w:rPr>
        <w:t>规划区西侧占用通榆河一级保护区，水环境比较敏感，在本轮规划开发建设中，必须加强对如海运河的保护，在落实本次规划提出的建议后，符合《江苏省通榆河水污染防治条例》。</w:t>
      </w:r>
    </w:p>
    <w:p>
      <w:pPr>
        <w:pStyle w:val="4"/>
        <w:rPr>
          <w:rFonts w:hint="default"/>
          <w:color w:val="000000"/>
          <w:lang w:val="en-US" w:eastAsia="zh-CN"/>
        </w:rPr>
      </w:pPr>
      <w:r>
        <w:rPr>
          <w:rFonts w:hint="eastAsia"/>
          <w:color w:val="000000"/>
          <w:lang w:val="en-US" w:eastAsia="zh-CN"/>
        </w:rPr>
        <w:t>综上所述，本次产业布局基本合理。</w:t>
      </w:r>
    </w:p>
    <w:p>
      <w:pPr>
        <w:keepNext/>
        <w:keepLines/>
        <w:widowControl w:val="0"/>
        <w:numPr>
          <w:ilvl w:val="2"/>
          <w:numId w:val="1"/>
        </w:numPr>
        <w:bidi w:val="0"/>
        <w:spacing w:before="80" w:after="80" w:line="500" w:lineRule="exact"/>
        <w:jc w:val="left"/>
        <w:outlineLvl w:val="2"/>
        <w:rPr>
          <w:rFonts w:hint="eastAsia"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园区规模、结构合理性论证</w:t>
      </w:r>
    </w:p>
    <w:p>
      <w:pPr>
        <w:keepNext/>
        <w:keepLines/>
        <w:widowControl w:val="0"/>
        <w:numPr>
          <w:ilvl w:val="3"/>
          <w:numId w:val="1"/>
        </w:numPr>
        <w:bidi w:val="0"/>
        <w:spacing w:before="60" w:after="60" w:line="500" w:lineRule="exact"/>
        <w:jc w:val="left"/>
        <w:outlineLvl w:val="3"/>
        <w:rPr>
          <w:rFonts w:ascii="Times New Roman" w:hAnsi="Times New Roman" w:eastAsia="宋体" w:cstheme="minorBidi"/>
          <w:b/>
          <w:kern w:val="2"/>
          <w:sz w:val="24"/>
          <w:szCs w:val="24"/>
          <w:lang w:val="en-US" w:eastAsia="zh-CN" w:bidi="ar-SA"/>
        </w:rPr>
      </w:pPr>
      <w:r>
        <w:rPr>
          <w:rFonts w:ascii="Times New Roman" w:hAnsi="Times New Roman" w:eastAsia="宋体" w:cstheme="minorBidi"/>
          <w:b/>
          <w:kern w:val="2"/>
          <w:sz w:val="24"/>
          <w:szCs w:val="24"/>
          <w:lang w:val="en-US" w:eastAsia="zh-CN" w:bidi="ar-SA"/>
        </w:rPr>
        <w:t>建设用地规模合理性</w:t>
      </w:r>
    </w:p>
    <w:p>
      <w:pPr>
        <w:pStyle w:val="4"/>
        <w:bidi w:val="0"/>
      </w:pPr>
      <w:r>
        <w:t>规划范围总用地面积</w:t>
      </w:r>
      <w:r>
        <w:rPr>
          <w:rFonts w:hint="eastAsia"/>
          <w:lang w:val="en-US" w:eastAsia="zh-CN"/>
        </w:rPr>
        <w:t>550.6</w:t>
      </w:r>
      <w:r>
        <w:rPr>
          <w:rFonts w:hint="eastAsia"/>
        </w:rPr>
        <w:t>公顷，规划远城市建设用地</w:t>
      </w:r>
      <w:r>
        <w:rPr>
          <w:rFonts w:hint="eastAsia"/>
          <w:lang w:val="en-US" w:eastAsia="zh-CN"/>
        </w:rPr>
        <w:t>509.4</w:t>
      </w:r>
      <w:r>
        <w:t>公顷，占规划总用地的</w:t>
      </w:r>
      <w:r>
        <w:rPr>
          <w:rFonts w:hint="eastAsia"/>
          <w:lang w:val="en-US" w:eastAsia="zh-CN"/>
        </w:rPr>
        <w:t>92.5</w:t>
      </w:r>
      <w:r>
        <w:rPr>
          <w:rFonts w:hint="eastAsia"/>
        </w:rPr>
        <w:t>%；</w:t>
      </w:r>
      <w:r>
        <w:t>非建设用地</w:t>
      </w:r>
      <w:r>
        <w:rPr>
          <w:rFonts w:hint="eastAsia"/>
        </w:rPr>
        <w:t>（水域）</w:t>
      </w:r>
      <w:r>
        <w:rPr>
          <w:rFonts w:hint="eastAsia"/>
          <w:lang w:val="en-US" w:eastAsia="zh-CN"/>
        </w:rPr>
        <w:t>41.2</w:t>
      </w:r>
      <w:r>
        <w:t>公顷</w:t>
      </w:r>
      <w:r>
        <w:rPr>
          <w:rFonts w:hint="eastAsia"/>
        </w:rPr>
        <w:t>，</w:t>
      </w:r>
      <w:r>
        <w:t>占规划总用地的</w:t>
      </w:r>
      <w:r>
        <w:rPr>
          <w:rFonts w:hint="eastAsia"/>
          <w:lang w:val="en-US" w:eastAsia="zh-CN"/>
        </w:rPr>
        <w:t>7.5</w:t>
      </w:r>
      <w:r>
        <w:rPr>
          <w:rFonts w:hint="eastAsia"/>
        </w:rPr>
        <w:t>%。</w:t>
      </w:r>
    </w:p>
    <w:p>
      <w:pPr>
        <w:pStyle w:val="4"/>
        <w:bidi w:val="0"/>
      </w:pPr>
      <w:r>
        <w:t>从发展角度看，规划工业用地相较现状有较大幅度提升。</w:t>
      </w:r>
      <w:r>
        <w:rPr>
          <w:rFonts w:hint="eastAsia"/>
          <w:lang w:val="en-US" w:eastAsia="zh-CN"/>
        </w:rPr>
        <w:t>由</w:t>
      </w:r>
      <w:r>
        <w:t>现状分析可知</w:t>
      </w:r>
      <w:r>
        <w:rPr>
          <w:rFonts w:hint="eastAsia"/>
        </w:rPr>
        <w:t>规划区</w:t>
      </w:r>
      <w:r>
        <w:t>目前单位工业用地工业增加值相对较低，土地利用效率有待进一步提高，规划</w:t>
      </w:r>
      <w:r>
        <w:rPr>
          <w:rFonts w:hint="eastAsia"/>
        </w:rPr>
        <w:t>相比现状对</w:t>
      </w:r>
      <w:r>
        <w:t>工业用地的规模调整</w:t>
      </w:r>
      <w:r>
        <w:rPr>
          <w:rFonts w:hint="eastAsia"/>
        </w:rPr>
        <w:t>、产业集聚发展</w:t>
      </w:r>
      <w:r>
        <w:t>，有益于进一步提高产业</w:t>
      </w:r>
      <w:r>
        <w:rPr>
          <w:rFonts w:hint="eastAsia"/>
        </w:rPr>
        <w:t>和人口的集聚性，推动开发区产城发展目标。</w:t>
      </w:r>
    </w:p>
    <w:p>
      <w:pPr>
        <w:pStyle w:val="4"/>
        <w:bidi w:val="0"/>
      </w:pPr>
      <w:r>
        <w:t>根据土地资源承载力分析结果，土地资源能够满足本次开发规模，同时规划提出</w:t>
      </w:r>
      <w:r>
        <w:rPr>
          <w:rFonts w:hint="eastAsia"/>
        </w:rPr>
        <w:t>提高土地使用效率、增强地均产出门槛的角度出发，加强土地利用的集约、节约，更加合理利用土地资源。本次规划部分建设用地占用基本农田，占地面积共为</w:t>
      </w:r>
      <w:r>
        <w:rPr>
          <w:rFonts w:hint="eastAsia"/>
          <w:lang w:val="en-US" w:eastAsia="zh-CN"/>
        </w:rPr>
        <w:t>98公顷</w:t>
      </w:r>
      <w:r>
        <w:t>。在</w:t>
      </w:r>
      <w:r>
        <w:rPr>
          <w:rFonts w:hint="eastAsia"/>
        </w:rPr>
        <w:t>本次</w:t>
      </w:r>
      <w:r>
        <w:t>规划</w:t>
      </w:r>
      <w:r>
        <w:rPr>
          <w:rFonts w:hint="eastAsia"/>
          <w:lang w:val="en-US" w:eastAsia="zh-CN"/>
        </w:rPr>
        <w:t>近期禁止占用基本农田，远期规划</w:t>
      </w:r>
      <w:r>
        <w:t>占用</w:t>
      </w:r>
      <w:r>
        <w:rPr>
          <w:rFonts w:hint="eastAsia"/>
          <w:lang w:val="en-US" w:eastAsia="zh-CN"/>
        </w:rPr>
        <w:t>耕地和</w:t>
      </w:r>
      <w:r>
        <w:rPr>
          <w:rFonts w:hint="eastAsia"/>
        </w:rPr>
        <w:t>基本农田</w:t>
      </w:r>
      <w:r>
        <w:t>，需严格执行《中华人民共和国土地管理法》</w:t>
      </w:r>
      <w:r>
        <w:rPr>
          <w:rFonts w:hint="eastAsia"/>
        </w:rPr>
        <w:t>、《基本农田保护条例》</w:t>
      </w:r>
      <w:r>
        <w:t>，</w:t>
      </w:r>
      <w:r>
        <w:rPr>
          <w:rFonts w:hint="eastAsia"/>
        </w:rPr>
        <w:t>单独向自然资源部门申请，制定耕地和基本农田占补平衡方案，获得相关部门批准后、基本农田调整后方可农用地转用。</w:t>
      </w:r>
      <w:r>
        <w:t>根据环境影响预测分析表明，其发展不会使区域环境功能明显降低，但</w:t>
      </w:r>
      <w:r>
        <w:rPr>
          <w:rFonts w:hint="eastAsia"/>
        </w:rPr>
        <w:t>规划区</w:t>
      </w:r>
      <w:r>
        <w:t>发展需坚持提高土地集约利用水平、节约用地、保护耕地的基本原则，进一步优化土地利用方式、提高用地产出。</w:t>
      </w:r>
    </w:p>
    <w:p>
      <w:pPr>
        <w:pStyle w:val="4"/>
        <w:bidi w:val="0"/>
      </w:pPr>
      <w:r>
        <w:rPr>
          <w:rFonts w:hint="eastAsia"/>
        </w:rPr>
        <w:t>在落实本次提出的</w:t>
      </w:r>
      <w:r>
        <w:t>优化调整建议</w:t>
      </w:r>
      <w:r>
        <w:rPr>
          <w:rFonts w:hint="eastAsia"/>
        </w:rPr>
        <w:t>后，</w:t>
      </w:r>
      <w:r>
        <w:t>本次规划建设用地规模总体合理。</w:t>
      </w:r>
    </w:p>
    <w:p>
      <w:pPr>
        <w:keepNext/>
        <w:keepLines/>
        <w:widowControl w:val="0"/>
        <w:numPr>
          <w:ilvl w:val="3"/>
          <w:numId w:val="1"/>
        </w:numPr>
        <w:bidi w:val="0"/>
        <w:spacing w:before="60" w:after="60" w:line="500" w:lineRule="exact"/>
        <w:jc w:val="left"/>
        <w:outlineLvl w:val="3"/>
        <w:rPr>
          <w:rFonts w:ascii="Times New Roman" w:hAnsi="Times New Roman" w:eastAsia="宋体" w:cstheme="minorBidi"/>
          <w:b/>
          <w:kern w:val="2"/>
          <w:sz w:val="24"/>
          <w:szCs w:val="24"/>
          <w:lang w:val="en-US" w:eastAsia="zh-CN" w:bidi="ar-SA"/>
        </w:rPr>
      </w:pPr>
      <w:r>
        <w:rPr>
          <w:rFonts w:ascii="Times New Roman" w:hAnsi="Times New Roman" w:eastAsia="宋体" w:cstheme="minorBidi"/>
          <w:b/>
          <w:kern w:val="2"/>
          <w:sz w:val="24"/>
          <w:szCs w:val="24"/>
          <w:lang w:val="en-US" w:eastAsia="zh-CN" w:bidi="ar-SA"/>
        </w:rPr>
        <w:t>产业规模</w:t>
      </w:r>
      <w:r>
        <w:rPr>
          <w:rFonts w:hint="eastAsia" w:ascii="Times New Roman" w:hAnsi="Times New Roman" w:eastAsia="宋体" w:cstheme="minorBidi"/>
          <w:b/>
          <w:kern w:val="2"/>
          <w:sz w:val="24"/>
          <w:szCs w:val="24"/>
          <w:lang w:val="en-US" w:eastAsia="zh-CN" w:bidi="ar-SA"/>
        </w:rPr>
        <w:t>、产业结构</w:t>
      </w:r>
      <w:r>
        <w:rPr>
          <w:rFonts w:ascii="Times New Roman" w:hAnsi="Times New Roman" w:eastAsia="宋体" w:cstheme="minorBidi"/>
          <w:b/>
          <w:kern w:val="2"/>
          <w:sz w:val="24"/>
          <w:szCs w:val="24"/>
          <w:lang w:val="en-US" w:eastAsia="zh-CN" w:bidi="ar-SA"/>
        </w:rPr>
        <w:t>合理性</w:t>
      </w:r>
    </w:p>
    <w:p>
      <w:pPr>
        <w:pStyle w:val="4"/>
        <w:bidi w:val="0"/>
      </w:pPr>
      <w:r>
        <w:t>在土地资源方面，根据土地资源承载力分析结果，从区域土地资源承载能力看，</w:t>
      </w:r>
      <w:r>
        <w:rPr>
          <w:rFonts w:hint="eastAsia"/>
        </w:rPr>
        <w:t>本次</w:t>
      </w:r>
      <w:r>
        <w:t>规划方案对土地资源供给带来了一定压力，通过挖掘存量、提升土地利用效率等，实现工业低效土地比例逐年下降，一定程度上将减缓区域土地资源对</w:t>
      </w:r>
      <w:r>
        <w:rPr>
          <w:rFonts w:hint="eastAsia"/>
        </w:rPr>
        <w:t>规划区</w:t>
      </w:r>
      <w:r>
        <w:t>发展的制约状态。</w:t>
      </w:r>
    </w:p>
    <w:p>
      <w:pPr>
        <w:pStyle w:val="4"/>
        <w:bidi w:val="0"/>
      </w:pPr>
      <w:r>
        <w:t>在水环境方面，根据水资源承载力分析结果，</w:t>
      </w:r>
      <w:r>
        <w:rPr>
          <w:rFonts w:hint="eastAsia"/>
          <w:lang w:val="en-US" w:eastAsia="zh-CN"/>
        </w:rPr>
        <w:t>2</w:t>
      </w:r>
      <w:r>
        <w:rPr>
          <w:rFonts w:hint="eastAsia"/>
        </w:rPr>
        <w:t>座污水厂在正常运行情况下，区域入河污染物总量将不同程度削减，不论是近期还是远期，各污水厂尾水排放不会降低纳污河流的水环境功能类别</w:t>
      </w:r>
      <w:r>
        <w:t>。</w:t>
      </w:r>
    </w:p>
    <w:p>
      <w:pPr>
        <w:pStyle w:val="4"/>
        <w:bidi w:val="0"/>
      </w:pPr>
      <w:r>
        <w:t>在环境空气方面，根据大气环境现状调查结果看，</w:t>
      </w:r>
      <w:r>
        <w:rPr>
          <w:rFonts w:hint="eastAsia"/>
          <w:lang w:val="en-US" w:eastAsia="zh-CN"/>
        </w:rPr>
        <w:t>本次规划产业排放的特征污染物均达标，常规污染物</w:t>
      </w:r>
      <w:r>
        <w:t>除</w:t>
      </w:r>
      <w:r>
        <w:rPr>
          <w:rFonts w:hint="eastAsia"/>
        </w:rPr>
        <w:t>PM</w:t>
      </w:r>
      <w:r>
        <w:rPr>
          <w:vertAlign w:val="subscript"/>
        </w:rPr>
        <w:t>2.5</w:t>
      </w:r>
      <w:r>
        <w:t>出现不同程度超标，其余因子均达到相应标准要求。根据</w:t>
      </w:r>
      <w:r>
        <w:rPr>
          <w:rFonts w:hint="eastAsia"/>
        </w:rPr>
        <w:t>本次</w:t>
      </w:r>
      <w:r>
        <w:t>大气预测结果，</w:t>
      </w:r>
      <w:r>
        <w:rPr>
          <w:rFonts w:hint="eastAsia"/>
        </w:rPr>
        <w:t>考虑</w:t>
      </w:r>
      <w:r>
        <w:rPr>
          <w:rFonts w:hint="eastAsia"/>
          <w:lang w:val="en-US" w:eastAsia="zh-CN"/>
        </w:rPr>
        <w:t>区域内</w:t>
      </w:r>
      <w:r>
        <w:rPr>
          <w:rFonts w:hint="eastAsia"/>
        </w:rPr>
        <w:t>削减源，本次评价范围二类区规划近期和远期各污染物的预测浓度值均满足二级标准要求，PM</w:t>
      </w:r>
      <w:r>
        <w:rPr>
          <w:vertAlign w:val="subscript"/>
        </w:rPr>
        <w:t>2.5</w:t>
      </w:r>
      <w:r>
        <w:rPr>
          <w:rFonts w:hint="eastAsia"/>
        </w:rPr>
        <w:t>对区内影响有所减小，且</w:t>
      </w:r>
      <w:r>
        <w:t>区域</w:t>
      </w:r>
      <w:r>
        <w:rPr>
          <w:rFonts w:hint="eastAsia"/>
        </w:rPr>
        <w:t>能够满足环境质量改善的要求</w:t>
      </w:r>
      <w:r>
        <w:t>。</w:t>
      </w:r>
      <w:r>
        <w:rPr>
          <w:rFonts w:hint="eastAsia"/>
        </w:rPr>
        <w:t>同时本次评价要求加强区内</w:t>
      </w:r>
      <w:r>
        <w:rPr>
          <w:rFonts w:hint="eastAsia"/>
          <w:lang w:val="en-US" w:eastAsia="zh-CN"/>
        </w:rPr>
        <w:t>建材企业综合整治</w:t>
      </w:r>
      <w:r>
        <w:rPr>
          <w:rFonts w:hint="eastAsia"/>
        </w:rPr>
        <w:t>，</w:t>
      </w:r>
      <w:r>
        <w:rPr>
          <w:rFonts w:hint="eastAsia"/>
          <w:lang w:val="en-US" w:eastAsia="zh-CN"/>
        </w:rPr>
        <w:t>进一步降低颗粒物排放量，</w:t>
      </w:r>
      <w:r>
        <w:rPr>
          <w:rFonts w:hint="eastAsia"/>
        </w:rPr>
        <w:t>以保证区域内废气污染物削减，减少因产业发展、项目入驻对大气环境造成的不良影响。</w:t>
      </w:r>
    </w:p>
    <w:p>
      <w:pPr>
        <w:pStyle w:val="4"/>
        <w:bidi w:val="0"/>
      </w:pPr>
      <w:r>
        <w:t>总量控制角度看，</w:t>
      </w:r>
      <w:r>
        <w:rPr>
          <w:rFonts w:hint="eastAsia"/>
        </w:rPr>
        <w:t>规划区</w:t>
      </w:r>
      <w:r>
        <w:t>产业发展及对人口的集聚作用导致开发区废水、废气、固废等污染物排放增大，规划拟采用对</w:t>
      </w:r>
      <w:r>
        <w:rPr>
          <w:rFonts w:hint="eastAsia"/>
        </w:rPr>
        <w:t>产业区</w:t>
      </w:r>
      <w:r>
        <w:t>生产废水和生活污水集中处理、提升污染控制措施水平和清洁生产能力等方面，降低规划对环境和资源的不良影响。根据大气、地表水的预测结果，在落实</w:t>
      </w:r>
      <w:r>
        <w:rPr>
          <w:rFonts w:hint="eastAsia"/>
        </w:rPr>
        <w:t>区内及</w:t>
      </w:r>
      <w:r>
        <w:rPr>
          <w:rFonts w:hint="eastAsia"/>
          <w:lang w:val="en-US" w:eastAsia="zh-CN"/>
        </w:rPr>
        <w:t>海安市</w:t>
      </w:r>
      <w:r>
        <w:t>区域减排措施的基础上，规划实施后污染物排放总量不突破所在区域环境容量。</w:t>
      </w:r>
    </w:p>
    <w:p>
      <w:pPr>
        <w:pStyle w:val="4"/>
        <w:bidi w:val="0"/>
      </w:pPr>
      <w:r>
        <w:t>因此，在提升污染控制和环境管理</w:t>
      </w:r>
      <w:r>
        <w:rPr>
          <w:rFonts w:hint="eastAsia"/>
        </w:rPr>
        <w:t>水平</w:t>
      </w:r>
      <w:r>
        <w:t>，各项目落实污染物总量控制方案和</w:t>
      </w:r>
      <w:r>
        <w:rPr>
          <w:rFonts w:hint="eastAsia"/>
        </w:rPr>
        <w:t>基本农田保护的</w:t>
      </w:r>
      <w:r>
        <w:t>前提下，本次规划产业规模</w:t>
      </w:r>
      <w:r>
        <w:rPr>
          <w:rFonts w:hint="eastAsia"/>
          <w:lang w:eastAsia="zh-CN"/>
        </w:rPr>
        <w:t>、</w:t>
      </w:r>
      <w:r>
        <w:rPr>
          <w:rFonts w:hint="eastAsia"/>
          <w:lang w:val="en-US" w:eastAsia="zh-CN"/>
        </w:rPr>
        <w:t>产业结构</w:t>
      </w:r>
      <w:r>
        <w:t>基本合理。</w:t>
      </w:r>
    </w:p>
    <w:p>
      <w:pPr>
        <w:keepNext/>
        <w:keepLines/>
        <w:widowControl w:val="0"/>
        <w:numPr>
          <w:ilvl w:val="3"/>
          <w:numId w:val="1"/>
        </w:numPr>
        <w:bidi w:val="0"/>
        <w:spacing w:before="60" w:after="60" w:line="500" w:lineRule="exact"/>
        <w:jc w:val="left"/>
        <w:outlineLvl w:val="3"/>
        <w:rPr>
          <w:rFonts w:hint="eastAsia" w:ascii="Times New Roman" w:hAnsi="Times New Roman" w:eastAsia="宋体" w:cstheme="minorBidi"/>
          <w:b/>
          <w:kern w:val="2"/>
          <w:sz w:val="24"/>
          <w:szCs w:val="24"/>
          <w:lang w:val="en-US" w:eastAsia="zh-CN" w:bidi="ar-SA"/>
        </w:rPr>
      </w:pPr>
      <w:r>
        <w:rPr>
          <w:rFonts w:hint="eastAsia" w:ascii="Times New Roman" w:hAnsi="Times New Roman" w:eastAsia="宋体" w:cstheme="minorBidi"/>
          <w:b/>
          <w:kern w:val="2"/>
          <w:sz w:val="24"/>
          <w:szCs w:val="24"/>
          <w:lang w:val="en-US" w:eastAsia="zh-CN" w:bidi="ar-SA"/>
        </w:rPr>
        <w:t>能源结构合理性论证</w:t>
      </w:r>
    </w:p>
    <w:p>
      <w:pPr>
        <w:pStyle w:val="4"/>
        <w:rPr>
          <w:rFonts w:hint="default"/>
          <w:lang w:val="en-US" w:eastAsia="zh-CN"/>
        </w:rPr>
      </w:pPr>
      <w:r>
        <w:rPr>
          <w:rFonts w:hint="eastAsia"/>
          <w:lang w:val="en-US" w:eastAsia="zh-CN"/>
        </w:rPr>
        <w:t>电子信息产业园现状无集中供热，能源主要消耗电力和天然气，规划建立以电、天然气、热电联产为主要特征的清洁能源供应系统，不断提高太阳能、生物质能等可再生能源占比，优化能源结构。同时现有建材等重点碳排放企业进行提标改造，减少碳排放。</w:t>
      </w:r>
    </w:p>
    <w:p>
      <w:pPr>
        <w:pStyle w:val="4"/>
        <w:rPr>
          <w:rFonts w:hint="default"/>
          <w:lang w:val="en-US" w:eastAsia="zh-CN"/>
        </w:rPr>
      </w:pPr>
      <w:r>
        <w:rPr>
          <w:rFonts w:hint="default"/>
          <w:lang w:val="en-US" w:eastAsia="zh-CN"/>
        </w:rPr>
        <w:t>大气环境预测结果表明，在环境政策及区域污染控制措施逐步落实情况下，SO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、氯化氢、硫酸雾、VOCs、非甲烷总烃、二甲苯、</w:t>
      </w:r>
      <w:r>
        <w:rPr>
          <w:rFonts w:hint="eastAsia"/>
          <w:lang w:val="en-US" w:eastAsia="zh-CN"/>
        </w:rPr>
        <w:t>氟化物、</w:t>
      </w:r>
      <w:r>
        <w:rPr>
          <w:rFonts w:hint="default"/>
          <w:lang w:val="en-US" w:eastAsia="zh-CN"/>
        </w:rPr>
        <w:t>氨、</w:t>
      </w:r>
      <w:r>
        <w:rPr>
          <w:rFonts w:hint="eastAsia"/>
          <w:lang w:val="en-US" w:eastAsia="zh-CN"/>
        </w:rPr>
        <w:t>氰化物、铬酸雾</w:t>
      </w:r>
      <w:r>
        <w:rPr>
          <w:rFonts w:hint="default"/>
          <w:lang w:val="en-US" w:eastAsia="zh-CN"/>
        </w:rPr>
        <w:t>均能够达标；PM</w:t>
      </w:r>
      <w:r>
        <w:rPr>
          <w:rFonts w:hint="default"/>
          <w:vertAlign w:val="subscript"/>
          <w:lang w:val="en-US" w:eastAsia="zh-CN"/>
        </w:rPr>
        <w:t>2.5</w:t>
      </w:r>
      <w:r>
        <w:rPr>
          <w:rFonts w:hint="default"/>
          <w:lang w:val="en-US" w:eastAsia="zh-CN"/>
        </w:rPr>
        <w:t>年平均质量浓度变化率k&lt;-20%，满足环境质量改善目标。</w:t>
      </w:r>
    </w:p>
    <w:p>
      <w:pPr>
        <w:pStyle w:val="4"/>
        <w:rPr>
          <w:rFonts w:hint="default"/>
          <w:lang w:val="en-US" w:eastAsia="zh-CN"/>
        </w:rPr>
      </w:pPr>
      <w:r>
        <w:rPr>
          <w:rFonts w:hint="eastAsia"/>
          <w:lang w:val="en-US" w:eastAsia="zh-CN"/>
        </w:rPr>
        <w:t>因此，本次规划能源结构基本合理。</w:t>
      </w:r>
    </w:p>
    <w:p>
      <w:pPr>
        <w:keepNext/>
        <w:keepLines/>
        <w:widowControl w:val="0"/>
        <w:numPr>
          <w:ilvl w:val="2"/>
          <w:numId w:val="1"/>
        </w:numPr>
        <w:bidi w:val="0"/>
        <w:spacing w:before="80" w:after="80" w:line="500" w:lineRule="exact"/>
        <w:jc w:val="left"/>
        <w:outlineLvl w:val="2"/>
        <w:rPr>
          <w:rFonts w:hint="default"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环保基础设施基础设施合理性论证</w:t>
      </w:r>
    </w:p>
    <w:p>
      <w:pPr>
        <w:pStyle w:val="4"/>
        <w:rPr>
          <w:rFonts w:hint="eastAsia"/>
          <w:lang w:val="en-US" w:eastAsia="zh-CN"/>
        </w:rPr>
      </w:pPr>
      <w:r>
        <w:rPr>
          <w:rFonts w:hint="eastAsia"/>
          <w:lang w:val="en-US" w:eastAsia="zh-CN"/>
        </w:rPr>
        <w:t>1、排水工程</w:t>
      </w:r>
    </w:p>
    <w:p>
      <w:pPr>
        <w:pStyle w:val="4"/>
        <w:rPr>
          <w:rFonts w:hint="default"/>
          <w:lang w:val="en-US" w:eastAsia="zh-CN"/>
        </w:rPr>
      </w:pPr>
      <w:r>
        <w:rPr>
          <w:rFonts w:hint="eastAsia"/>
          <w:lang w:val="en-US" w:eastAsia="zh-CN"/>
        </w:rPr>
        <w:t>电子信息产业园规划区域内现状未接管，规划进入鹰泰水务有限公司处理，鹰泰水务有限公司现状处理规模为2万m</w:t>
      </w:r>
      <w:r>
        <w:rPr>
          <w:rFonts w:hint="eastAsia"/>
          <w:vertAlign w:val="superscript"/>
          <w:lang w:val="en-US" w:eastAsia="zh-CN"/>
        </w:rPr>
        <w:t>3</w:t>
      </w:r>
      <w:r>
        <w:rPr>
          <w:rFonts w:hint="eastAsia"/>
          <w:lang w:val="en-US" w:eastAsia="zh-CN"/>
        </w:rPr>
        <w:t>/d，本次规划鹰泰水务扩建二期工程，规模为2万m</w:t>
      </w:r>
      <w:r>
        <w:rPr>
          <w:rFonts w:hint="eastAsia"/>
          <w:vertAlign w:val="superscript"/>
          <w:lang w:val="en-US" w:eastAsia="zh-CN"/>
        </w:rPr>
        <w:t>3</w:t>
      </w:r>
      <w:r>
        <w:rPr>
          <w:rFonts w:hint="eastAsia"/>
          <w:lang w:val="en-US" w:eastAsia="zh-CN"/>
        </w:rPr>
        <w:t>/d，其中35%中水回用。本次规划将在现状的基础上进一步提高建设规模及中水回用率要求。金属表面处理项目废水排入润泽水务有限公司，润泽水务有限公司已建成，未投运，能够满足表面处理中心废水处理需求。</w:t>
      </w:r>
    </w:p>
    <w:p>
      <w:pPr>
        <w:pStyle w:val="4"/>
        <w:rPr>
          <w:rFonts w:hint="eastAsia"/>
          <w:lang w:val="en-US" w:eastAsia="zh-CN"/>
        </w:rPr>
      </w:pPr>
      <w:r>
        <w:rPr>
          <w:rFonts w:hint="eastAsia"/>
          <w:lang w:val="en-US" w:eastAsia="zh-CN"/>
        </w:rPr>
        <w:t>2、集中供热</w:t>
      </w:r>
    </w:p>
    <w:p>
      <w:pPr>
        <w:pStyle w:val="4"/>
        <w:rPr>
          <w:rFonts w:hint="eastAsia"/>
          <w:lang w:val="en-US" w:eastAsia="zh-CN"/>
        </w:rPr>
      </w:pPr>
      <w:r>
        <w:rPr>
          <w:rFonts w:hint="eastAsia"/>
          <w:lang w:val="en-US" w:eastAsia="zh-CN"/>
        </w:rPr>
        <w:t>电子信息产业园规划由华新热电集中供热，华新热电供热规模为280t/h，能够满足园区供热需求。</w:t>
      </w:r>
    </w:p>
    <w:p>
      <w:pPr>
        <w:keepNext/>
        <w:keepLines/>
        <w:widowControl w:val="0"/>
        <w:numPr>
          <w:ilvl w:val="1"/>
          <w:numId w:val="1"/>
        </w:numPr>
        <w:bidi w:val="0"/>
        <w:spacing w:before="100" w:after="100" w:line="500" w:lineRule="exact"/>
        <w:jc w:val="left"/>
        <w:outlineLvl w:val="1"/>
        <w:rPr>
          <w:rFonts w:hint="default" w:ascii="Times New Roman" w:hAnsi="Times New Roman" w:eastAsia="宋体" w:cstheme="minorBidi"/>
          <w:b/>
          <w:kern w:val="2"/>
          <w:sz w:val="30"/>
          <w:szCs w:val="24"/>
          <w:lang w:val="en-US" w:eastAsia="zh-CN" w:bidi="ar-SA"/>
        </w:rPr>
      </w:pPr>
      <w:bookmarkStart w:id="21" w:name="_Toc11587"/>
      <w:r>
        <w:rPr>
          <w:rFonts w:hint="eastAsia" w:ascii="Times New Roman" w:hAnsi="Times New Roman" w:eastAsia="宋体" w:cstheme="minorBidi"/>
          <w:b/>
          <w:kern w:val="2"/>
          <w:sz w:val="30"/>
          <w:szCs w:val="24"/>
          <w:lang w:val="en-US" w:eastAsia="zh-CN" w:bidi="ar-SA"/>
        </w:rPr>
        <w:t>规划优化调整建议</w:t>
      </w:r>
      <w:bookmarkEnd w:id="21"/>
    </w:p>
    <w:p>
      <w:pPr>
        <w:keepNext/>
        <w:keepLines/>
        <w:widowControl w:val="0"/>
        <w:numPr>
          <w:ilvl w:val="2"/>
          <w:numId w:val="1"/>
        </w:numPr>
        <w:bidi w:val="0"/>
        <w:spacing w:before="80" w:after="80" w:line="500" w:lineRule="exact"/>
        <w:jc w:val="left"/>
        <w:outlineLvl w:val="2"/>
        <w:rPr>
          <w:rFonts w:hint="default"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开发时序优化建议</w:t>
      </w:r>
    </w:p>
    <w:p>
      <w:pPr>
        <w:pStyle w:val="4"/>
        <w:bidi w:val="0"/>
      </w:pPr>
      <w:r>
        <w:rPr>
          <w:rFonts w:hint="eastAsia"/>
          <w:lang w:val="en-US" w:eastAsia="zh-CN"/>
        </w:rPr>
        <w:t>规划区内西北角涉及基本农田约98公顷，建议控制开发时序，近期禁止占用基本农田，</w:t>
      </w:r>
      <w:r>
        <w:rPr>
          <w:rFonts w:hint="eastAsia"/>
        </w:rPr>
        <w:t>远期</w:t>
      </w:r>
      <w:r>
        <w:rPr>
          <w:rFonts w:hint="eastAsia"/>
          <w:lang w:val="en-US" w:eastAsia="zh-CN"/>
        </w:rPr>
        <w:t>占用需符合海安</w:t>
      </w:r>
      <w:r>
        <w:rPr>
          <w:rFonts w:hint="eastAsia"/>
        </w:rPr>
        <w:t>国土空间规划，基本农田未经有关部门批准调整前，不得开发建设。</w:t>
      </w:r>
    </w:p>
    <w:p>
      <w:pPr>
        <w:keepNext/>
        <w:keepLines/>
        <w:widowControl w:val="0"/>
        <w:numPr>
          <w:ilvl w:val="2"/>
          <w:numId w:val="1"/>
        </w:numPr>
        <w:bidi w:val="0"/>
        <w:spacing w:before="80" w:after="80" w:line="500" w:lineRule="exact"/>
        <w:jc w:val="left"/>
        <w:outlineLvl w:val="2"/>
        <w:rPr>
          <w:rFonts w:hint="eastAsia"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规划布局、选址优化调整建议</w:t>
      </w:r>
    </w:p>
    <w:p>
      <w:pPr>
        <w:pStyle w:val="4"/>
        <w:rPr>
          <w:rFonts w:hint="default"/>
          <w:lang w:val="en-US" w:eastAsia="zh-CN"/>
        </w:rPr>
      </w:pPr>
      <w:r>
        <w:rPr>
          <w:rFonts w:hint="eastAsia"/>
          <w:lang w:val="en-US" w:eastAsia="zh-CN"/>
        </w:rPr>
        <w:t>规划区内西侧约2.6平方公里位于通榆河一级保护区内，应严格落实《江苏省通榆河水污染防治条例》的要求，建议引进对水环境影响小的项目，同时在如海运河和工业用地之间设置50米宽的绿化隔离带，另外需严格执行项目环评的环境保护距离需求。</w:t>
      </w:r>
    </w:p>
    <w:p>
      <w:pPr>
        <w:keepNext/>
        <w:keepLines/>
        <w:widowControl w:val="0"/>
        <w:numPr>
          <w:ilvl w:val="2"/>
          <w:numId w:val="1"/>
        </w:numPr>
        <w:bidi w:val="0"/>
        <w:spacing w:before="80" w:after="80" w:line="500" w:lineRule="exact"/>
        <w:jc w:val="left"/>
        <w:outlineLvl w:val="2"/>
        <w:rPr>
          <w:rFonts w:hint="eastAsia" w:ascii="Times New Roman" w:hAnsi="Times New Roman" w:eastAsia="宋体" w:cstheme="minorBidi"/>
          <w:b/>
          <w:kern w:val="2"/>
          <w:sz w:val="28"/>
          <w:szCs w:val="24"/>
          <w:lang w:val="en-US" w:eastAsia="zh-CN" w:bidi="ar-SA"/>
        </w:rPr>
      </w:pPr>
      <w:r>
        <w:rPr>
          <w:rFonts w:hint="eastAsia" w:ascii="Times New Roman" w:hAnsi="Times New Roman" w:eastAsia="宋体" w:cstheme="minorBidi"/>
          <w:b/>
          <w:kern w:val="2"/>
          <w:sz w:val="28"/>
          <w:szCs w:val="24"/>
          <w:lang w:val="en-US" w:eastAsia="zh-CN" w:bidi="ar-SA"/>
        </w:rPr>
        <w:t>产业规模、结构优化调整建议</w:t>
      </w:r>
    </w:p>
    <w:p>
      <w:pPr>
        <w:pStyle w:val="4"/>
        <w:bidi w:val="0"/>
      </w:pPr>
      <w:r>
        <w:rPr>
          <w:rFonts w:hint="eastAsia"/>
        </w:rPr>
        <w:t>建议限制区内不符合产业定企业的生产规模，除环保设施工程外禁止改扩建，并适时搬迁。</w:t>
      </w:r>
    </w:p>
    <w:p>
      <w:pPr>
        <w:pStyle w:val="4"/>
        <w:bidi w:val="0"/>
      </w:pPr>
      <w:r>
        <w:rPr>
          <w:rFonts w:hint="eastAsia"/>
        </w:rPr>
        <w:t>企业进驻时，要严格按要求审查，不符合准入要求的企业不得引进。需要加热的炉、窑等有额外需要热源的入区企业必须使用天然气、电等清洁能源。企业必须采取有效的环保措施，确保污染物达标排放。同时后续入驻企业应及时落实环评及“三同时”验收等环保工作，</w:t>
      </w:r>
      <w:r>
        <w:rPr>
          <w:rFonts w:hint="eastAsia"/>
          <w:lang w:val="en-US" w:eastAsia="zh-CN"/>
        </w:rPr>
        <w:t>高新区</w:t>
      </w:r>
      <w:r>
        <w:rPr>
          <w:rFonts w:hint="eastAsia"/>
        </w:rPr>
        <w:t>管委会督促尚未开展环评及“三同时”验收的企业项目尽快补办和落实环保相关手续。</w:t>
      </w:r>
    </w:p>
    <w:p>
      <w:pPr>
        <w:rPr>
          <w:color w:val="auto"/>
        </w:rPr>
      </w:pPr>
      <w:r>
        <w:rPr>
          <w:color w:val="auto"/>
        </w:rPr>
        <w:br w:type="page"/>
      </w:r>
    </w:p>
    <w:p>
      <w:pPr>
        <w:pStyle w:val="2"/>
        <w:bidi w:val="0"/>
        <w:rPr>
          <w:rFonts w:hint="default"/>
          <w:color w:val="auto"/>
          <w:lang w:val="en-US" w:eastAsia="zh-CN"/>
        </w:rPr>
      </w:pPr>
      <w:bookmarkStart w:id="22" w:name="_Toc16231"/>
      <w:r>
        <w:rPr>
          <w:rFonts w:hint="eastAsia"/>
          <w:color w:val="auto"/>
        </w:rPr>
        <w:t>环境影响减缓措施</w:t>
      </w:r>
      <w:r>
        <w:rPr>
          <w:rFonts w:hint="eastAsia"/>
          <w:color w:val="auto"/>
          <w:lang w:val="en-US" w:eastAsia="zh-CN"/>
        </w:rPr>
        <w:t>及生态环境准入要求</w:t>
      </w:r>
      <w:bookmarkEnd w:id="22"/>
    </w:p>
    <w:p>
      <w:pPr>
        <w:pStyle w:val="3"/>
        <w:bidi w:val="0"/>
        <w:rPr>
          <w:rFonts w:hint="default"/>
          <w:color w:val="auto"/>
          <w:lang w:val="en-US" w:eastAsia="zh-CN"/>
        </w:rPr>
      </w:pPr>
      <w:bookmarkStart w:id="23" w:name="_Toc16485"/>
      <w:r>
        <w:rPr>
          <w:rFonts w:hint="eastAsia"/>
          <w:color w:val="auto"/>
          <w:lang w:val="en-US" w:eastAsia="zh-CN"/>
        </w:rPr>
        <w:t>环境影响减缓措施</w:t>
      </w:r>
      <w:bookmarkEnd w:id="23"/>
    </w:p>
    <w:p>
      <w:pPr>
        <w:pStyle w:val="4"/>
        <w:rPr>
          <w:color w:val="auto"/>
        </w:rPr>
      </w:pPr>
      <w:r>
        <w:rPr>
          <w:rFonts w:hint="eastAsia"/>
          <w:color w:val="auto"/>
          <w:lang w:val="en-US" w:eastAsia="zh-CN"/>
        </w:rPr>
        <w:t>1、</w:t>
      </w:r>
      <w:r>
        <w:rPr>
          <w:color w:val="auto"/>
        </w:rPr>
        <w:t>大气环境影响减缓措施</w:t>
      </w:r>
    </w:p>
    <w:p>
      <w:pPr>
        <w:pStyle w:val="4"/>
        <w:rPr>
          <w:color w:val="auto"/>
        </w:rPr>
      </w:pPr>
      <w:r>
        <w:rPr>
          <w:color w:val="auto"/>
        </w:rPr>
        <w:t>结合</w:t>
      </w:r>
      <w:r>
        <w:rPr>
          <w:rFonts w:hint="eastAsia"/>
          <w:color w:val="auto"/>
          <w:lang w:eastAsia="zh-CN"/>
        </w:rPr>
        <w:t>《</w:t>
      </w:r>
      <w:r>
        <w:rPr>
          <w:rFonts w:hint="eastAsia"/>
          <w:color w:val="auto"/>
          <w:lang w:val="en-US" w:eastAsia="zh-CN"/>
        </w:rPr>
        <w:t>南通市十四五生态环境环保规划</w:t>
      </w:r>
      <w:r>
        <w:rPr>
          <w:rFonts w:hint="eastAsia"/>
          <w:color w:val="auto"/>
          <w:lang w:eastAsia="zh-CN"/>
        </w:rPr>
        <w:t>》</w:t>
      </w:r>
      <w:r>
        <w:rPr>
          <w:color w:val="auto"/>
        </w:rPr>
        <w:t>、</w:t>
      </w:r>
      <w:r>
        <w:rPr>
          <w:rFonts w:hint="eastAsia"/>
          <w:color w:val="auto"/>
        </w:rPr>
        <w:t>《重点行业挥发性有机物综合治理方案》、《南通市2021年深入打好污染防治攻坚战工作计划》、《南通市大气环境质量限期达标规划》</w:t>
      </w:r>
      <w:r>
        <w:rPr>
          <w:color w:val="auto"/>
        </w:rPr>
        <w:t>等相关要求，开展大气污染防治工作。改善能源结构；提高产业准入门槛；强化工业废气治理，开展挥发性有机物行业摸底调查和挥发性有机物污染综合防治工作；加强城市扬尘整治，加大机动车尾气污染防治和餐饮业油烟污染控制。</w:t>
      </w:r>
    </w:p>
    <w:p>
      <w:pPr>
        <w:pStyle w:val="4"/>
        <w:rPr>
          <w:color w:val="auto"/>
        </w:rPr>
      </w:pPr>
      <w:r>
        <w:rPr>
          <w:rFonts w:hint="eastAsia"/>
          <w:color w:val="auto"/>
          <w:lang w:val="en-US" w:eastAsia="zh-CN"/>
        </w:rPr>
        <w:t>2、</w:t>
      </w:r>
      <w:r>
        <w:rPr>
          <w:color w:val="auto"/>
        </w:rPr>
        <w:t>地表水环境影响减缓措施</w:t>
      </w:r>
    </w:p>
    <w:p>
      <w:pPr>
        <w:pStyle w:val="4"/>
        <w:rPr>
          <w:color w:val="auto"/>
        </w:rPr>
      </w:pPr>
      <w:r>
        <w:rPr>
          <w:color w:val="auto"/>
        </w:rPr>
        <w:t>加强项目管理，实行源头控制，优先引进废水零排放和排水量少的项目，其次引进污染较轻，且易处理的排水项目，严格控制排水量大、污染严重的项目；强化区域水环境综合整治，加强与上游地区的沟通，确保上游来水水质稳定达标；提高废水接管率及中水回用率；优化废水收集、处理、排放系统，实行雨、污分流的排水体制，严格控制污水不下河，污水经收集后输送至污水处理厂进行处理，入</w:t>
      </w:r>
      <w:r>
        <w:rPr>
          <w:rFonts w:hint="eastAsia"/>
          <w:color w:val="auto"/>
        </w:rPr>
        <w:t>区</w:t>
      </w:r>
      <w:r>
        <w:rPr>
          <w:color w:val="auto"/>
        </w:rPr>
        <w:t>企业采取多种措施提高水的重复利用率，加强中水回用；做好各企业废水的预处理，确保各类废水得到有效收集和处理，严防工业污水混入雨水管网，严禁将高浓度废水稀释排放；全力保障区域水环境生态安全。建立水环境监控体系、实现废水排放的长效监控。</w:t>
      </w:r>
    </w:p>
    <w:p>
      <w:pPr>
        <w:pStyle w:val="4"/>
        <w:rPr>
          <w:color w:val="auto"/>
        </w:rPr>
      </w:pPr>
      <w:r>
        <w:rPr>
          <w:rFonts w:hint="eastAsia"/>
          <w:color w:val="auto"/>
          <w:lang w:val="en-US" w:eastAsia="zh-CN"/>
        </w:rPr>
        <w:t>3、</w:t>
      </w:r>
      <w:r>
        <w:rPr>
          <w:color w:val="auto"/>
        </w:rPr>
        <w:t>声环境影响减缓措施</w:t>
      </w:r>
    </w:p>
    <w:p>
      <w:pPr>
        <w:pStyle w:val="4"/>
        <w:rPr>
          <w:color w:val="auto"/>
        </w:rPr>
      </w:pPr>
      <w:r>
        <w:rPr>
          <w:color w:val="auto"/>
        </w:rPr>
        <w:t>在噪声敏感建筑物集中区域，禁止新建排放噪声的工业企业，改建、扩建工业企业的，应当采取有效措施防止工业噪声污染。</w:t>
      </w:r>
      <w:r>
        <w:rPr>
          <w:rFonts w:hint="eastAsia"/>
          <w:color w:val="auto"/>
        </w:rPr>
        <w:t>排放工业噪声的</w:t>
      </w:r>
      <w:r>
        <w:rPr>
          <w:rFonts w:hint="eastAsia"/>
          <w:color w:val="auto"/>
          <w:lang w:val="en-US" w:eastAsia="zh-CN"/>
        </w:rPr>
        <w:t>企业，</w:t>
      </w:r>
      <w:r>
        <w:rPr>
          <w:rFonts w:hint="eastAsia"/>
          <w:color w:val="auto"/>
        </w:rPr>
        <w:t>应当采取有效措施，减少振动、降低噪声，依法取得排污许可证或者填报排污登记表</w:t>
      </w:r>
      <w:r>
        <w:rPr>
          <w:rFonts w:hint="eastAsia"/>
          <w:color w:val="auto"/>
          <w:lang w:eastAsia="zh-CN"/>
        </w:rPr>
        <w:t>。</w:t>
      </w:r>
      <w:r>
        <w:rPr>
          <w:rFonts w:hint="eastAsia"/>
          <w:color w:val="auto"/>
        </w:rPr>
        <w:t>不得无排污许可证排放工业噪声，并应当按照排污许可证的要求进行噪声污染防治</w:t>
      </w:r>
      <w:r>
        <w:rPr>
          <w:rFonts w:hint="eastAsia"/>
          <w:color w:val="auto"/>
          <w:lang w:eastAsia="zh-CN"/>
        </w:rPr>
        <w:t>。</w:t>
      </w:r>
      <w:r>
        <w:rPr>
          <w:color w:val="auto"/>
        </w:rPr>
        <w:t>噪声重点排污单位应当按照国家规定，安装、使用、维护噪声自动监测设备，与生态环境主管部门的监控设备联网</w:t>
      </w:r>
      <w:r>
        <w:rPr>
          <w:rFonts w:hint="eastAsia"/>
          <w:color w:val="auto"/>
          <w:lang w:eastAsia="zh-CN"/>
        </w:rPr>
        <w:t>。</w:t>
      </w:r>
      <w:r>
        <w:rPr>
          <w:color w:val="auto"/>
        </w:rPr>
        <w:t>噪声敏感建筑物集中区域施工作业，建设单位应当按照国家规定，设置噪声自动监测系统，与监督管理部门联网</w:t>
      </w:r>
      <w:r>
        <w:rPr>
          <w:rFonts w:hint="eastAsia"/>
          <w:color w:val="auto"/>
          <w:lang w:eastAsia="zh-CN"/>
        </w:rPr>
        <w:t>。</w:t>
      </w:r>
      <w:r>
        <w:rPr>
          <w:rFonts w:hint="eastAsia"/>
          <w:color w:val="auto"/>
        </w:rPr>
        <w:t>在噪声敏感建筑物集中区域，禁止夜间进行产生噪声的建筑施工作业</w:t>
      </w:r>
      <w:r>
        <w:rPr>
          <w:rFonts w:hint="eastAsia"/>
          <w:color w:val="auto"/>
          <w:lang w:val="en-US" w:eastAsia="zh-CN"/>
        </w:rPr>
        <w:t>。</w:t>
      </w:r>
      <w:r>
        <w:rPr>
          <w:rFonts w:hint="eastAsia"/>
          <w:color w:val="auto"/>
        </w:rPr>
        <w:t>因特殊需要必须连续施工作业的，应当取得</w:t>
      </w:r>
      <w:r>
        <w:rPr>
          <w:rFonts w:hint="eastAsia"/>
          <w:color w:val="auto"/>
          <w:lang w:val="en-US" w:eastAsia="zh-CN"/>
        </w:rPr>
        <w:t>相关</w:t>
      </w:r>
      <w:r>
        <w:rPr>
          <w:rFonts w:hint="eastAsia"/>
          <w:color w:val="auto"/>
        </w:rPr>
        <w:t>部门的证明，并在施工现场显著位置公示或者以其他方式公告附近居民。</w:t>
      </w:r>
      <w:r>
        <w:rPr>
          <w:color w:val="auto"/>
        </w:rPr>
        <w:t>加强交通噪声防治和管理，规范机动车辆喇叭、警报器等使用，严格控制运输作业噪声影响，加快道路路网建设和两侧绿化带建设；严格控制社会噪声污染。</w:t>
      </w:r>
    </w:p>
    <w:p>
      <w:pPr>
        <w:pStyle w:val="4"/>
        <w:rPr>
          <w:color w:val="auto"/>
        </w:rPr>
      </w:pPr>
      <w:r>
        <w:rPr>
          <w:rFonts w:hint="eastAsia"/>
          <w:color w:val="auto"/>
          <w:lang w:val="en-US" w:eastAsia="zh-CN"/>
        </w:rPr>
        <w:t>4、</w:t>
      </w:r>
      <w:r>
        <w:rPr>
          <w:color w:val="auto"/>
        </w:rPr>
        <w:t>固体废物环境影响减缓措施</w:t>
      </w:r>
    </w:p>
    <w:p>
      <w:pPr>
        <w:pStyle w:val="4"/>
        <w:rPr>
          <w:color w:val="auto"/>
        </w:rPr>
      </w:pPr>
      <w:r>
        <w:rPr>
          <w:color w:val="auto"/>
        </w:rPr>
        <w:t>确定产生危险废物的企业应进行申报登记，并落实危险废物处置协议，对危险废物实施全过程管理。危险废物在厂内暂存应按照《危险废物贮存污染控制标准》（GB 18597-2001）及其修改单的要求，转移和处置应按照江苏省人大颁发的《江苏省固体废物污染环境防治条例》、江苏省生态环境厅颁发的《危险废物转移联单管理办法》、</w:t>
      </w:r>
      <w:r>
        <w:rPr>
          <w:rFonts w:hint="eastAsia"/>
          <w:color w:val="auto"/>
        </w:rPr>
        <w:t>《省生态环境厅关于进一步加强危险废物污染防治工作的实施意见》（苏环办[</w:t>
      </w:r>
      <w:r>
        <w:rPr>
          <w:color w:val="auto"/>
        </w:rPr>
        <w:t>2019]327</w:t>
      </w:r>
      <w:r>
        <w:rPr>
          <w:rFonts w:hint="eastAsia"/>
          <w:color w:val="auto"/>
        </w:rPr>
        <w:t>号文）</w:t>
      </w:r>
      <w:r>
        <w:rPr>
          <w:color w:val="auto"/>
        </w:rPr>
        <w:t>等有关规定执行，委托有危废处理资质的单位无害化处理处置。</w:t>
      </w:r>
    </w:p>
    <w:p>
      <w:pPr>
        <w:pStyle w:val="4"/>
        <w:rPr>
          <w:color w:val="auto"/>
        </w:rPr>
      </w:pPr>
      <w:r>
        <w:rPr>
          <w:rFonts w:hint="eastAsia"/>
          <w:color w:val="auto"/>
          <w:lang w:val="en-US" w:eastAsia="zh-CN"/>
        </w:rPr>
        <w:t>5、</w:t>
      </w:r>
      <w:r>
        <w:rPr>
          <w:color w:val="auto"/>
        </w:rPr>
        <w:t>地下水环境影响减缓措施</w:t>
      </w:r>
    </w:p>
    <w:p>
      <w:pPr>
        <w:pStyle w:val="4"/>
        <w:rPr>
          <w:color w:val="auto"/>
        </w:rPr>
      </w:pPr>
      <w:r>
        <w:rPr>
          <w:color w:val="auto"/>
        </w:rPr>
        <w:t>加强重点工业企业地下水环境监管。定期评估有关工业企业及周边地下水环境安全隐患，定期检查地下水污染区域内重点工业企业的污染治理状况。重点企业需设置防渗应急池、比对观测井等防漏和检漏设施。采用科学合理的防护措施，尽量减少建设施工对地下水的影响。控制工业危险废物对地下水的影响。加强危险废物堆放场地治理，防止对地下水的污染。</w:t>
      </w:r>
    </w:p>
    <w:p>
      <w:pPr>
        <w:pStyle w:val="4"/>
        <w:rPr>
          <w:color w:val="auto"/>
        </w:rPr>
      </w:pPr>
      <w:r>
        <w:rPr>
          <w:rFonts w:hint="eastAsia"/>
          <w:color w:val="auto"/>
          <w:lang w:val="en-US" w:eastAsia="zh-CN"/>
        </w:rPr>
        <w:t>6、</w:t>
      </w:r>
      <w:r>
        <w:rPr>
          <w:color w:val="auto"/>
        </w:rPr>
        <w:t>土壤环境影响减缓措施</w:t>
      </w:r>
    </w:p>
    <w:p>
      <w:pPr>
        <w:pStyle w:val="4"/>
        <w:rPr>
          <w:color w:val="auto"/>
        </w:rPr>
      </w:pPr>
      <w:r>
        <w:rPr>
          <w:color w:val="auto"/>
        </w:rPr>
        <w:t>严格保护</w:t>
      </w:r>
      <w:r>
        <w:rPr>
          <w:rFonts w:hint="eastAsia"/>
          <w:color w:val="auto"/>
          <w:lang w:val="en-US" w:eastAsia="zh-CN"/>
        </w:rPr>
        <w:t>农用地</w:t>
      </w:r>
      <w:r>
        <w:rPr>
          <w:color w:val="auto"/>
        </w:rPr>
        <w:t>，要求规划建设用地占用</w:t>
      </w:r>
      <w:r>
        <w:rPr>
          <w:rFonts w:hint="eastAsia"/>
          <w:color w:val="auto"/>
          <w:lang w:val="en-US" w:eastAsia="zh-CN"/>
        </w:rPr>
        <w:t>农用地和基本农田</w:t>
      </w:r>
      <w:r>
        <w:rPr>
          <w:color w:val="auto"/>
        </w:rPr>
        <w:t>的区域需符合</w:t>
      </w:r>
      <w:r>
        <w:rPr>
          <w:rFonts w:hint="eastAsia"/>
          <w:color w:val="auto"/>
          <w:lang w:val="en-US" w:eastAsia="zh-CN"/>
        </w:rPr>
        <w:t>以</w:t>
      </w:r>
      <w:r>
        <w:rPr>
          <w:rFonts w:hint="eastAsia"/>
          <w:color w:val="auto"/>
        </w:rPr>
        <w:t>海安市</w:t>
      </w:r>
      <w:r>
        <w:rPr>
          <w:color w:val="auto"/>
        </w:rPr>
        <w:t>国土空间规划为前提进行开发建设。</w:t>
      </w:r>
    </w:p>
    <w:p>
      <w:pPr>
        <w:pStyle w:val="4"/>
        <w:rPr>
          <w:color w:val="auto"/>
        </w:rPr>
      </w:pPr>
      <w:r>
        <w:rPr>
          <w:color w:val="auto"/>
        </w:rPr>
        <w:t>建立土壤环境质量信息数据库，加强土壤环境监管能力建设，着力推进土壤环境监测标准化建设，配套完善土壤环境监测人才、设备及检测仪器，加强对重点场地使用功能置换全过程监测和跟踪监测。加强土壤环境保护队伍建设，把土壤环境质量监测纳入环境监测预警体系建设中，制定土壤污染事故应急处理处置预案；完善重点区域场地功能置换登记制度建设，明确污染场地风险评估责任主体与技术要求，加强对重点土地功能置换过程中的环境风险防范能力建设，防止风险评估后产生的二次污染。</w:t>
      </w:r>
    </w:p>
    <w:p>
      <w:pPr>
        <w:pStyle w:val="4"/>
        <w:rPr>
          <w:color w:val="auto"/>
        </w:rPr>
      </w:pPr>
      <w:r>
        <w:rPr>
          <w:rFonts w:hint="eastAsia"/>
          <w:color w:val="auto"/>
          <w:lang w:val="en-US" w:eastAsia="zh-CN"/>
        </w:rPr>
        <w:t>6、</w:t>
      </w:r>
      <w:r>
        <w:rPr>
          <w:rFonts w:hint="eastAsia"/>
          <w:color w:val="auto"/>
        </w:rPr>
        <w:t>生态</w:t>
      </w:r>
      <w:r>
        <w:rPr>
          <w:color w:val="auto"/>
        </w:rPr>
        <w:t>环境影响减缓措施</w:t>
      </w:r>
    </w:p>
    <w:p>
      <w:pPr>
        <w:pStyle w:val="4"/>
        <w:rPr>
          <w:color w:val="auto"/>
        </w:rPr>
      </w:pPr>
      <w:r>
        <w:rPr>
          <w:rFonts w:hint="eastAsia"/>
          <w:color w:val="auto"/>
          <w:lang w:val="en-US" w:eastAsia="zh-CN"/>
        </w:rPr>
        <w:t>保护农林用地</w:t>
      </w:r>
      <w:r>
        <w:rPr>
          <w:color w:val="auto"/>
        </w:rPr>
        <w:t>，各类非农建设尽量少占或不占耕地，尤其是优质耕地，确需占用耕地的，应补充与被占耕地数量相等、质量相当的耕地，切实做到新增建设用地占用耕地“占一补一”</w:t>
      </w:r>
      <w:r>
        <w:rPr>
          <w:rFonts w:hint="eastAsia"/>
          <w:color w:val="auto"/>
          <w:lang w:eastAsia="zh-CN"/>
        </w:rPr>
        <w:t>，</w:t>
      </w:r>
      <w:r>
        <w:rPr>
          <w:rFonts w:hint="eastAsia"/>
          <w:color w:val="auto"/>
          <w:lang w:val="en-US" w:eastAsia="zh-CN"/>
        </w:rPr>
        <w:t>按照《基本农田保护条例》要求，严格保护基本农田</w:t>
      </w:r>
      <w:r>
        <w:rPr>
          <w:color w:val="auto"/>
        </w:rPr>
        <w:t>。严格实施绿地生态系统、生态廊道及生态节点规划；</w:t>
      </w:r>
      <w:r>
        <w:rPr>
          <w:rFonts w:hint="eastAsia"/>
          <w:color w:val="auto"/>
        </w:rPr>
        <w:t>落实各级生态保护红线和生态空间管控区域管控要求，严格执行绿化隔离带要求，</w:t>
      </w:r>
      <w:r>
        <w:rPr>
          <w:color w:val="auto"/>
        </w:rPr>
        <w:t>保证人居环境和生态功能不受影响；企业废气必须达标排放，减少对周围植被的影响；工业废水全部接管至污水处理厂处理，固废全部安全处置，不得随意倾倒。</w:t>
      </w:r>
    </w:p>
    <w:p>
      <w:pPr>
        <w:pStyle w:val="3"/>
        <w:rPr>
          <w:color w:val="auto"/>
        </w:rPr>
      </w:pPr>
      <w:bookmarkStart w:id="24" w:name="_Toc11484"/>
      <w:r>
        <w:rPr>
          <w:rFonts w:hint="eastAsia"/>
          <w:color w:val="auto"/>
        </w:rPr>
        <w:t>生态环境准入要求</w:t>
      </w:r>
      <w:bookmarkEnd w:id="24"/>
    </w:p>
    <w:p>
      <w:pPr>
        <w:pStyle w:val="5"/>
        <w:rPr>
          <w:color w:val="auto"/>
        </w:rPr>
      </w:pPr>
      <w:r>
        <w:rPr>
          <w:rFonts w:hint="eastAsia"/>
          <w:color w:val="auto"/>
        </w:rPr>
        <w:t>生态空间清单</w:t>
      </w:r>
    </w:p>
    <w:p>
      <w:pPr>
        <w:pStyle w:val="4"/>
        <w:rPr>
          <w:rFonts w:hint="eastAsia"/>
          <w:color w:val="auto"/>
        </w:rPr>
      </w:pPr>
      <w:r>
        <w:rPr>
          <w:color w:val="auto"/>
        </w:rPr>
        <w:t>根据《省政府办公厅关于印发江苏省生态空间管控区域监督管理办法的通知》</w:t>
      </w:r>
      <w:r>
        <w:rPr>
          <w:rFonts w:hint="eastAsia"/>
          <w:color w:val="auto"/>
          <w:lang w:eastAsia="zh-CN"/>
        </w:rPr>
        <w:t>、</w:t>
      </w:r>
      <w:r>
        <w:rPr>
          <w:color w:val="auto"/>
        </w:rPr>
        <w:t>《省政府关于印发江苏省生态空间管控区域规划的通知》、《市政府办公室关于印发</w:t>
      </w:r>
      <w:r>
        <w:rPr>
          <w:rFonts w:hint="eastAsia"/>
          <w:color w:val="auto"/>
        </w:rPr>
        <w:t>南通市“三线一单”生态环境分区管控实施方案的通知》、</w:t>
      </w:r>
      <w:r>
        <w:rPr>
          <w:color w:val="auto"/>
        </w:rPr>
        <w:t>《江苏省国家级生态保护红线规划》，结合规划河流、绿地，</w:t>
      </w:r>
      <w:r>
        <w:rPr>
          <w:rFonts w:hint="eastAsia"/>
          <w:color w:val="auto"/>
        </w:rPr>
        <w:t>提出镇区空间管制清单见表</w:t>
      </w:r>
      <w:r>
        <w:rPr>
          <w:rFonts w:hint="eastAsia"/>
          <w:color w:val="auto"/>
          <w:lang w:val="en-US" w:eastAsia="zh-CN"/>
        </w:rPr>
        <w:t>6.2</w:t>
      </w:r>
      <w:r>
        <w:rPr>
          <w:color w:val="auto"/>
        </w:rPr>
        <w:t>-1</w:t>
      </w:r>
      <w:r>
        <w:rPr>
          <w:rFonts w:hint="eastAsia"/>
          <w:color w:val="auto"/>
        </w:rPr>
        <w:t>。</w:t>
      </w:r>
    </w:p>
    <w:p>
      <w:pPr>
        <w:pStyle w:val="12"/>
        <w:bidi w:val="0"/>
        <w:rPr>
          <w:rFonts w:hint="eastAsia"/>
          <w:color w:val="auto"/>
        </w:rPr>
      </w:pPr>
      <w:r>
        <w:rPr>
          <w:rFonts w:hint="eastAsia"/>
          <w:color w:val="auto"/>
        </w:rPr>
        <w:t>表</w:t>
      </w:r>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 xml:space="preserve">-1  </w:t>
      </w:r>
      <w:r>
        <w:rPr>
          <w:rFonts w:hint="eastAsia"/>
          <w:color w:val="auto"/>
          <w:lang w:val="en-US" w:eastAsia="zh-CN"/>
        </w:rPr>
        <w:t>规划区</w:t>
      </w:r>
      <w:r>
        <w:rPr>
          <w:rFonts w:hint="eastAsia"/>
          <w:color w:val="auto"/>
        </w:rPr>
        <w:t>生态空间管制清单</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78"/>
        <w:gridCol w:w="760"/>
        <w:gridCol w:w="1055"/>
        <w:gridCol w:w="815"/>
        <w:gridCol w:w="948"/>
        <w:gridCol w:w="2931"/>
        <w:gridCol w:w="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0" w:type="auto"/>
            <w:gridSpan w:val="2"/>
            <w:shd w:val="clear" w:color="auto" w:fill="auto"/>
            <w:vAlign w:val="center"/>
          </w:tcPr>
          <w:p>
            <w:pPr>
              <w:pStyle w:val="22"/>
            </w:pPr>
            <w:r>
              <w:t>类别</w:t>
            </w:r>
          </w:p>
        </w:tc>
        <w:tc>
          <w:tcPr>
            <w:tcW w:w="611" w:type="dxa"/>
            <w:shd w:val="clear" w:color="auto" w:fill="auto"/>
            <w:vAlign w:val="center"/>
          </w:tcPr>
          <w:p>
            <w:pPr>
              <w:pStyle w:val="22"/>
            </w:pPr>
            <w:r>
              <w:t>序号</w:t>
            </w:r>
          </w:p>
        </w:tc>
        <w:tc>
          <w:tcPr>
            <w:tcW w:w="833" w:type="dxa"/>
            <w:shd w:val="clear" w:color="auto" w:fill="auto"/>
            <w:vAlign w:val="center"/>
          </w:tcPr>
          <w:p>
            <w:pPr>
              <w:pStyle w:val="22"/>
            </w:pPr>
            <w:r>
              <w:t>所含空间单元</w:t>
            </w:r>
          </w:p>
        </w:tc>
        <w:tc>
          <w:tcPr>
            <w:tcW w:w="1068" w:type="dxa"/>
            <w:shd w:val="clear" w:color="auto" w:fill="auto"/>
            <w:vAlign w:val="center"/>
          </w:tcPr>
          <w:p>
            <w:pPr>
              <w:pStyle w:val="22"/>
            </w:pPr>
            <w:r>
              <w:rPr>
                <w:rFonts w:hint="eastAsia"/>
                <w:lang w:val="en-US" w:eastAsia="zh-CN"/>
              </w:rPr>
              <w:t>占用</w:t>
            </w:r>
            <w:r>
              <w:t>面积（km</w:t>
            </w:r>
            <w:r>
              <w:rPr>
                <w:vertAlign w:val="superscript"/>
              </w:rPr>
              <w:t>2</w:t>
            </w:r>
            <w:r>
              <w:t>）</w:t>
            </w:r>
          </w:p>
        </w:tc>
        <w:tc>
          <w:tcPr>
            <w:tcW w:w="854" w:type="dxa"/>
            <w:shd w:val="clear" w:color="auto" w:fill="auto"/>
            <w:vAlign w:val="center"/>
          </w:tcPr>
          <w:p>
            <w:pPr>
              <w:pStyle w:val="22"/>
            </w:pPr>
            <w:r>
              <w:t>现状</w:t>
            </w:r>
          </w:p>
          <w:p>
            <w:pPr>
              <w:pStyle w:val="22"/>
            </w:pPr>
            <w:r>
              <w:t>用地类型</w:t>
            </w:r>
          </w:p>
        </w:tc>
        <w:tc>
          <w:tcPr>
            <w:tcW w:w="1016" w:type="dxa"/>
            <w:shd w:val="clear" w:color="auto" w:fill="auto"/>
            <w:vAlign w:val="center"/>
          </w:tcPr>
          <w:p>
            <w:pPr>
              <w:pStyle w:val="22"/>
            </w:pPr>
            <w:r>
              <w:t>四至范围</w:t>
            </w:r>
          </w:p>
        </w:tc>
        <w:tc>
          <w:tcPr>
            <w:tcW w:w="3385" w:type="dxa"/>
            <w:shd w:val="clear" w:color="auto" w:fill="auto"/>
            <w:vAlign w:val="center"/>
          </w:tcPr>
          <w:p>
            <w:pPr>
              <w:pStyle w:val="22"/>
            </w:pPr>
            <w:r>
              <w:t>管控要求</w:t>
            </w:r>
          </w:p>
        </w:tc>
        <w:tc>
          <w:tcPr>
            <w:tcW w:w="622" w:type="dxa"/>
            <w:shd w:val="clear" w:color="auto" w:fill="auto"/>
            <w:vAlign w:val="center"/>
          </w:tcPr>
          <w:p>
            <w:pPr>
              <w:pStyle w:val="22"/>
            </w:pPr>
            <w:r>
              <w:t>位置关系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Style w:val="21"/>
            </w:pPr>
            <w:r>
              <w:t>生态空间</w:t>
            </w:r>
          </w:p>
        </w:tc>
        <w:tc>
          <w:tcPr>
            <w:tcW w:w="0" w:type="auto"/>
            <w:vMerge w:val="restart"/>
            <w:shd w:val="clear" w:color="auto" w:fill="auto"/>
            <w:vAlign w:val="center"/>
          </w:tcPr>
          <w:p>
            <w:pPr>
              <w:pStyle w:val="21"/>
            </w:pPr>
            <w:r>
              <w:t>禁止建设区</w:t>
            </w:r>
          </w:p>
        </w:tc>
        <w:tc>
          <w:tcPr>
            <w:tcW w:w="611" w:type="dxa"/>
            <w:shd w:val="clear" w:color="auto" w:fill="auto"/>
            <w:vAlign w:val="center"/>
          </w:tcPr>
          <w:p>
            <w:pPr>
              <w:pStyle w:val="21"/>
            </w:pPr>
            <w:r>
              <w:t>1</w:t>
            </w:r>
          </w:p>
        </w:tc>
        <w:tc>
          <w:tcPr>
            <w:tcW w:w="833" w:type="dxa"/>
            <w:shd w:val="clear" w:color="auto" w:fill="auto"/>
            <w:vAlign w:val="center"/>
          </w:tcPr>
          <w:p>
            <w:pPr>
              <w:pStyle w:val="21"/>
            </w:pPr>
            <w:r>
              <w:t>基本农田</w:t>
            </w:r>
          </w:p>
        </w:tc>
        <w:tc>
          <w:tcPr>
            <w:tcW w:w="1068" w:type="dxa"/>
            <w:shd w:val="clear" w:color="auto" w:fill="auto"/>
            <w:vAlign w:val="center"/>
          </w:tcPr>
          <w:p>
            <w:pPr>
              <w:pStyle w:val="21"/>
              <w:rPr>
                <w:rFonts w:hint="default" w:eastAsiaTheme="minorEastAsia"/>
                <w:color w:val="0000FF"/>
                <w:lang w:val="en-US" w:eastAsia="zh-CN"/>
              </w:rPr>
            </w:pPr>
            <w:r>
              <w:rPr>
                <w:rFonts w:hint="eastAsia"/>
                <w:color w:val="0000FF"/>
                <w:lang w:val="en-US" w:eastAsia="zh-CN"/>
              </w:rPr>
              <w:t>0.98</w:t>
            </w:r>
          </w:p>
        </w:tc>
        <w:tc>
          <w:tcPr>
            <w:tcW w:w="854" w:type="dxa"/>
            <w:shd w:val="clear" w:color="auto" w:fill="auto"/>
            <w:vAlign w:val="center"/>
          </w:tcPr>
          <w:p>
            <w:pPr>
              <w:pStyle w:val="21"/>
            </w:pPr>
            <w:r>
              <w:t>农田</w:t>
            </w:r>
          </w:p>
        </w:tc>
        <w:tc>
          <w:tcPr>
            <w:tcW w:w="1016" w:type="dxa"/>
            <w:shd w:val="clear" w:color="auto" w:fill="auto"/>
            <w:vAlign w:val="center"/>
          </w:tcPr>
          <w:p>
            <w:pPr>
              <w:pStyle w:val="21"/>
            </w:pPr>
            <w:r>
              <w:t>区内</w:t>
            </w:r>
          </w:p>
        </w:tc>
        <w:tc>
          <w:tcPr>
            <w:tcW w:w="3385" w:type="dxa"/>
            <w:shd w:val="clear" w:color="auto" w:fill="auto"/>
            <w:vAlign w:val="center"/>
          </w:tcPr>
          <w:p>
            <w:pPr>
              <w:pStyle w:val="21"/>
              <w:rPr>
                <w:rFonts w:hint="eastAsia"/>
                <w:lang w:val="en-US" w:eastAsia="zh-CN"/>
              </w:rPr>
            </w:pPr>
            <w:r>
              <w:rPr>
                <w:rFonts w:hint="eastAsia"/>
                <w:lang w:val="en-US" w:eastAsia="zh-CN"/>
              </w:rPr>
              <w:t>1、近期禁止占用基本农田</w:t>
            </w:r>
          </w:p>
          <w:p>
            <w:pPr>
              <w:pStyle w:val="21"/>
            </w:pPr>
            <w:r>
              <w:rPr>
                <w:rFonts w:hint="eastAsia"/>
                <w:lang w:val="en-US" w:eastAsia="zh-CN"/>
              </w:rPr>
              <w:t>2</w:t>
            </w:r>
            <w:r>
              <w:t>本次规划发展过程中需严格控制占用永久基本农田，如需占用农地和基本农田，需严格执行《中华人民共和国土地管理法》和《基本农田保护条例》，单独向自然资源部门申请，制定耕地和基本农田占补平衡方案，获得相关部门批准后、基本农田调整后方可农用地转用。</w:t>
            </w:r>
          </w:p>
        </w:tc>
        <w:tc>
          <w:tcPr>
            <w:tcW w:w="622" w:type="dxa"/>
            <w:shd w:val="clear" w:color="auto" w:fill="auto"/>
            <w:vAlign w:val="center"/>
          </w:tcPr>
          <w:p>
            <w:pPr>
              <w:pStyle w:val="21"/>
              <w:rPr>
                <w:rFonts w:hint="eastAsia" w:eastAsiaTheme="minorEastAsia"/>
                <w:lang w:eastAsia="zh-CN"/>
              </w:rPr>
            </w:pPr>
            <w:r>
              <w:t>规划内</w:t>
            </w:r>
            <w:r>
              <w:rPr>
                <w:rFonts w:hint="eastAsia"/>
                <w:lang w:val="en-US" w:eastAsia="zh-CN"/>
              </w:rPr>
              <w:t>西北角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1"/>
            </w:pPr>
          </w:p>
        </w:tc>
        <w:tc>
          <w:tcPr>
            <w:tcW w:w="0" w:type="auto"/>
            <w:vMerge w:val="continue"/>
            <w:shd w:val="clear" w:color="auto" w:fill="auto"/>
            <w:vAlign w:val="center"/>
          </w:tcPr>
          <w:p>
            <w:pPr>
              <w:pStyle w:val="21"/>
            </w:pPr>
          </w:p>
        </w:tc>
        <w:tc>
          <w:tcPr>
            <w:tcW w:w="611" w:type="dxa"/>
            <w:shd w:val="clear" w:color="auto" w:fill="auto"/>
            <w:vAlign w:val="center"/>
          </w:tcPr>
          <w:p>
            <w:pPr>
              <w:pStyle w:val="21"/>
            </w:pPr>
            <w:r>
              <w:t>面积小计</w:t>
            </w:r>
          </w:p>
        </w:tc>
        <w:tc>
          <w:tcPr>
            <w:tcW w:w="833" w:type="dxa"/>
            <w:shd w:val="clear" w:color="auto" w:fill="auto"/>
            <w:vAlign w:val="center"/>
          </w:tcPr>
          <w:p>
            <w:pPr>
              <w:pStyle w:val="21"/>
            </w:pPr>
            <w:r>
              <w:t>/</w:t>
            </w:r>
          </w:p>
        </w:tc>
        <w:tc>
          <w:tcPr>
            <w:tcW w:w="1068" w:type="dxa"/>
            <w:shd w:val="clear" w:color="auto" w:fill="auto"/>
            <w:vAlign w:val="center"/>
          </w:tcPr>
          <w:p>
            <w:pPr>
              <w:pStyle w:val="21"/>
              <w:rPr>
                <w:rFonts w:hint="default" w:eastAsiaTheme="minorEastAsia"/>
                <w:color w:val="0000FF"/>
                <w:lang w:val="en-US" w:eastAsia="zh-CN"/>
              </w:rPr>
            </w:pPr>
            <w:r>
              <w:rPr>
                <w:rFonts w:hint="eastAsia"/>
                <w:color w:val="0000FF"/>
                <w:lang w:val="en-US" w:eastAsia="zh-CN"/>
              </w:rPr>
              <w:t>0.98</w:t>
            </w:r>
          </w:p>
        </w:tc>
        <w:tc>
          <w:tcPr>
            <w:tcW w:w="854" w:type="dxa"/>
            <w:shd w:val="clear" w:color="auto" w:fill="auto"/>
            <w:vAlign w:val="center"/>
          </w:tcPr>
          <w:p>
            <w:pPr>
              <w:pStyle w:val="21"/>
            </w:pPr>
            <w:r>
              <w:t>/</w:t>
            </w:r>
          </w:p>
        </w:tc>
        <w:tc>
          <w:tcPr>
            <w:tcW w:w="1016" w:type="dxa"/>
            <w:shd w:val="clear" w:color="auto" w:fill="auto"/>
            <w:vAlign w:val="center"/>
          </w:tcPr>
          <w:p>
            <w:pPr>
              <w:pStyle w:val="21"/>
            </w:pPr>
            <w:r>
              <w:t>/</w:t>
            </w:r>
          </w:p>
        </w:tc>
        <w:tc>
          <w:tcPr>
            <w:tcW w:w="3385" w:type="dxa"/>
            <w:shd w:val="clear" w:color="auto" w:fill="auto"/>
            <w:vAlign w:val="center"/>
          </w:tcPr>
          <w:p>
            <w:pPr>
              <w:pStyle w:val="21"/>
            </w:pPr>
            <w:r>
              <w:t>/</w:t>
            </w:r>
          </w:p>
        </w:tc>
        <w:tc>
          <w:tcPr>
            <w:tcW w:w="622" w:type="dxa"/>
            <w:shd w:val="clear" w:color="auto" w:fill="auto"/>
            <w:vAlign w:val="center"/>
          </w:tcPr>
          <w:p>
            <w:pPr>
              <w:pStyle w:val="21"/>
            </w:pP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1"/>
            </w:pPr>
          </w:p>
        </w:tc>
        <w:tc>
          <w:tcPr>
            <w:tcW w:w="0" w:type="auto"/>
            <w:vMerge w:val="restart"/>
            <w:shd w:val="clear" w:color="auto" w:fill="auto"/>
            <w:vAlign w:val="center"/>
          </w:tcPr>
          <w:p>
            <w:pPr>
              <w:pStyle w:val="21"/>
            </w:pPr>
            <w:r>
              <w:t>限制建设区</w:t>
            </w:r>
          </w:p>
        </w:tc>
        <w:tc>
          <w:tcPr>
            <w:tcW w:w="611" w:type="dxa"/>
            <w:shd w:val="clear" w:color="auto" w:fill="auto"/>
            <w:vAlign w:val="center"/>
          </w:tcPr>
          <w:p>
            <w:pPr>
              <w:pStyle w:val="21"/>
            </w:pPr>
            <w:r>
              <w:t>1</w:t>
            </w:r>
          </w:p>
        </w:tc>
        <w:tc>
          <w:tcPr>
            <w:tcW w:w="833" w:type="dxa"/>
            <w:shd w:val="clear" w:color="auto" w:fill="auto"/>
            <w:vAlign w:val="center"/>
          </w:tcPr>
          <w:p>
            <w:pPr>
              <w:pStyle w:val="21"/>
              <w:jc w:val="center"/>
            </w:pPr>
            <w:r>
              <w:rPr>
                <w:rFonts w:hint="eastAsia"/>
              </w:rPr>
              <w:t>通榆河一级保护区</w:t>
            </w:r>
          </w:p>
        </w:tc>
        <w:tc>
          <w:tcPr>
            <w:tcW w:w="1068" w:type="dxa"/>
            <w:shd w:val="clear" w:color="auto" w:fill="auto"/>
            <w:vAlign w:val="center"/>
          </w:tcPr>
          <w:p>
            <w:pPr>
              <w:pStyle w:val="21"/>
              <w:jc w:val="center"/>
              <w:rPr>
                <w:rFonts w:hint="default" w:eastAsiaTheme="minorEastAsia"/>
                <w:color w:val="auto"/>
                <w:lang w:val="en-US" w:eastAsia="zh-CN"/>
              </w:rPr>
            </w:pPr>
            <w:r>
              <w:rPr>
                <w:rFonts w:hint="eastAsia"/>
                <w:color w:val="auto"/>
                <w:lang w:val="en-US" w:eastAsia="zh-CN"/>
              </w:rPr>
              <w:t>2.6</w:t>
            </w:r>
          </w:p>
        </w:tc>
        <w:tc>
          <w:tcPr>
            <w:tcW w:w="854" w:type="dxa"/>
            <w:shd w:val="clear" w:color="auto" w:fill="auto"/>
            <w:vAlign w:val="center"/>
          </w:tcPr>
          <w:p>
            <w:pPr>
              <w:pStyle w:val="21"/>
              <w:jc w:val="center"/>
            </w:pPr>
            <w:r>
              <w:t>水域、工业用地</w:t>
            </w:r>
          </w:p>
        </w:tc>
        <w:tc>
          <w:tcPr>
            <w:tcW w:w="1016" w:type="dxa"/>
            <w:shd w:val="clear" w:color="auto" w:fill="auto"/>
            <w:vAlign w:val="center"/>
          </w:tcPr>
          <w:p>
            <w:pPr>
              <w:pStyle w:val="21"/>
              <w:jc w:val="center"/>
            </w:pPr>
            <w:r>
              <w:rPr>
                <w:rFonts w:hint="eastAsia"/>
              </w:rPr>
              <w:t>如海运河西</w:t>
            </w:r>
            <w:r>
              <w:t>岸1000米</w:t>
            </w:r>
            <w:r>
              <w:rPr>
                <w:rFonts w:hint="eastAsia"/>
              </w:rPr>
              <w:t>范围内</w:t>
            </w:r>
          </w:p>
        </w:tc>
        <w:tc>
          <w:tcPr>
            <w:tcW w:w="3385" w:type="dxa"/>
            <w:shd w:val="clear" w:color="auto" w:fill="auto"/>
            <w:vAlign w:val="center"/>
          </w:tcPr>
          <w:p>
            <w:pPr>
              <w:pStyle w:val="21"/>
              <w:jc w:val="center"/>
            </w:pPr>
            <w:r>
              <w:t>严格执行《江苏省通榆河水污染防治条例》等有关规定和《省政府办公厅关于印发江苏省生态空间管控区域监督管理办法的通知》的管控要求，任何单位和个人不得擅自占用。</w:t>
            </w:r>
          </w:p>
        </w:tc>
        <w:tc>
          <w:tcPr>
            <w:tcW w:w="622" w:type="dxa"/>
            <w:shd w:val="clear" w:color="auto" w:fill="auto"/>
            <w:vAlign w:val="center"/>
          </w:tcPr>
          <w:p>
            <w:pPr>
              <w:pStyle w:val="21"/>
            </w:pPr>
            <w:r>
              <w:rPr>
                <w:rFonts w:hint="eastAsia"/>
              </w:rPr>
              <w:t>东侧边界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0" w:type="auto"/>
            <w:vMerge w:val="continue"/>
            <w:shd w:val="clear" w:color="auto" w:fill="auto"/>
            <w:vAlign w:val="center"/>
          </w:tcPr>
          <w:p>
            <w:pPr>
              <w:pStyle w:val="21"/>
            </w:pPr>
          </w:p>
        </w:tc>
        <w:tc>
          <w:tcPr>
            <w:tcW w:w="0" w:type="auto"/>
            <w:vMerge w:val="continue"/>
            <w:shd w:val="clear" w:color="auto" w:fill="auto"/>
            <w:vAlign w:val="center"/>
          </w:tcPr>
          <w:p>
            <w:pPr>
              <w:pStyle w:val="21"/>
            </w:pPr>
          </w:p>
        </w:tc>
        <w:tc>
          <w:tcPr>
            <w:tcW w:w="611" w:type="dxa"/>
            <w:shd w:val="clear" w:color="auto" w:fill="auto"/>
            <w:vAlign w:val="center"/>
          </w:tcPr>
          <w:p>
            <w:pPr>
              <w:pStyle w:val="21"/>
            </w:pPr>
            <w:r>
              <w:t>2</w:t>
            </w:r>
          </w:p>
        </w:tc>
        <w:tc>
          <w:tcPr>
            <w:tcW w:w="833" w:type="dxa"/>
            <w:shd w:val="clear" w:color="auto" w:fill="auto"/>
            <w:vAlign w:val="center"/>
          </w:tcPr>
          <w:p>
            <w:pPr>
              <w:pStyle w:val="21"/>
            </w:pPr>
            <w:r>
              <w:t>农林用地*</w:t>
            </w:r>
          </w:p>
        </w:tc>
        <w:tc>
          <w:tcPr>
            <w:tcW w:w="1068" w:type="dxa"/>
            <w:shd w:val="clear" w:color="auto" w:fill="auto"/>
            <w:vAlign w:val="center"/>
          </w:tcPr>
          <w:p>
            <w:pPr>
              <w:pStyle w:val="21"/>
              <w:rPr>
                <w:rFonts w:hint="default" w:eastAsiaTheme="minorEastAsia"/>
                <w:color w:val="auto"/>
                <w:lang w:val="en-US" w:eastAsia="zh-CN"/>
              </w:rPr>
            </w:pPr>
            <w:r>
              <w:rPr>
                <w:rFonts w:hint="eastAsia"/>
                <w:color w:val="auto"/>
                <w:lang w:val="en-US" w:eastAsia="zh-CN"/>
              </w:rPr>
              <w:t>1.97</w:t>
            </w:r>
          </w:p>
        </w:tc>
        <w:tc>
          <w:tcPr>
            <w:tcW w:w="854" w:type="dxa"/>
            <w:shd w:val="clear" w:color="auto" w:fill="auto"/>
            <w:vAlign w:val="center"/>
          </w:tcPr>
          <w:p>
            <w:pPr>
              <w:pStyle w:val="21"/>
            </w:pPr>
            <w:r>
              <w:t>农田、林地</w:t>
            </w:r>
          </w:p>
        </w:tc>
        <w:tc>
          <w:tcPr>
            <w:tcW w:w="1016" w:type="dxa"/>
            <w:shd w:val="clear" w:color="auto" w:fill="auto"/>
            <w:vAlign w:val="center"/>
          </w:tcPr>
          <w:p>
            <w:pPr>
              <w:pStyle w:val="21"/>
            </w:pPr>
            <w:r>
              <w:t>区内</w:t>
            </w:r>
          </w:p>
        </w:tc>
        <w:tc>
          <w:tcPr>
            <w:tcW w:w="3385" w:type="dxa"/>
            <w:shd w:val="clear" w:color="auto" w:fill="auto"/>
            <w:vAlign w:val="center"/>
          </w:tcPr>
          <w:p>
            <w:pPr>
              <w:pStyle w:val="21"/>
            </w:pPr>
            <w:r>
              <w:t>限制损害其生态服务功能的各类开发建设活动</w:t>
            </w:r>
          </w:p>
        </w:tc>
        <w:tc>
          <w:tcPr>
            <w:tcW w:w="622" w:type="dxa"/>
            <w:shd w:val="clear" w:color="auto" w:fill="auto"/>
            <w:vAlign w:val="center"/>
          </w:tcPr>
          <w:p>
            <w:pPr>
              <w:pStyle w:val="21"/>
            </w:pP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1"/>
            </w:pPr>
          </w:p>
        </w:tc>
        <w:tc>
          <w:tcPr>
            <w:tcW w:w="0" w:type="auto"/>
            <w:vMerge w:val="continue"/>
            <w:shd w:val="clear" w:color="auto" w:fill="auto"/>
            <w:vAlign w:val="center"/>
          </w:tcPr>
          <w:p>
            <w:pPr>
              <w:pStyle w:val="21"/>
            </w:pPr>
          </w:p>
        </w:tc>
        <w:tc>
          <w:tcPr>
            <w:tcW w:w="611" w:type="dxa"/>
            <w:shd w:val="clear" w:color="auto" w:fill="auto"/>
            <w:vAlign w:val="center"/>
          </w:tcPr>
          <w:p>
            <w:pPr>
              <w:pStyle w:val="21"/>
            </w:pPr>
            <w:r>
              <w:t>3</w:t>
            </w:r>
          </w:p>
        </w:tc>
        <w:tc>
          <w:tcPr>
            <w:tcW w:w="833" w:type="dxa"/>
            <w:shd w:val="clear" w:color="auto" w:fill="auto"/>
            <w:vAlign w:val="center"/>
          </w:tcPr>
          <w:p>
            <w:pPr>
              <w:pStyle w:val="21"/>
            </w:pPr>
            <w:r>
              <w:t>水域</w:t>
            </w:r>
          </w:p>
        </w:tc>
        <w:tc>
          <w:tcPr>
            <w:tcW w:w="1068" w:type="dxa"/>
            <w:shd w:val="clear" w:color="auto" w:fill="auto"/>
            <w:vAlign w:val="center"/>
          </w:tcPr>
          <w:p>
            <w:pPr>
              <w:pStyle w:val="21"/>
              <w:rPr>
                <w:rFonts w:hint="default" w:eastAsiaTheme="minorEastAsia"/>
                <w:color w:val="auto"/>
                <w:lang w:val="en-US" w:eastAsia="zh-CN"/>
              </w:rPr>
            </w:pPr>
            <w:r>
              <w:rPr>
                <w:rFonts w:hint="eastAsia"/>
                <w:color w:val="auto"/>
                <w:lang w:val="en-US" w:eastAsia="zh-CN"/>
              </w:rPr>
              <w:t>0.57</w:t>
            </w:r>
          </w:p>
        </w:tc>
        <w:tc>
          <w:tcPr>
            <w:tcW w:w="854" w:type="dxa"/>
            <w:shd w:val="clear" w:color="auto" w:fill="auto"/>
            <w:vAlign w:val="center"/>
          </w:tcPr>
          <w:p>
            <w:pPr>
              <w:pStyle w:val="21"/>
            </w:pPr>
            <w:r>
              <w:t>水域</w:t>
            </w:r>
          </w:p>
        </w:tc>
        <w:tc>
          <w:tcPr>
            <w:tcW w:w="1016" w:type="dxa"/>
            <w:shd w:val="clear" w:color="auto" w:fill="auto"/>
            <w:vAlign w:val="center"/>
          </w:tcPr>
          <w:p>
            <w:pPr>
              <w:pStyle w:val="21"/>
            </w:pPr>
            <w:r>
              <w:t>区内</w:t>
            </w:r>
          </w:p>
        </w:tc>
        <w:tc>
          <w:tcPr>
            <w:tcW w:w="3385" w:type="dxa"/>
            <w:shd w:val="clear" w:color="auto" w:fill="auto"/>
            <w:vAlign w:val="center"/>
          </w:tcPr>
          <w:p>
            <w:pPr>
              <w:pStyle w:val="21"/>
            </w:pPr>
            <w:r>
              <w:t>限制损害其生态服务功能的各类开发建设活动</w:t>
            </w:r>
          </w:p>
        </w:tc>
        <w:tc>
          <w:tcPr>
            <w:tcW w:w="622" w:type="dxa"/>
            <w:shd w:val="clear" w:color="auto" w:fill="auto"/>
            <w:vAlign w:val="center"/>
          </w:tcPr>
          <w:p>
            <w:pPr>
              <w:pStyle w:val="21"/>
            </w:pP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1"/>
            </w:pPr>
          </w:p>
        </w:tc>
        <w:tc>
          <w:tcPr>
            <w:tcW w:w="0" w:type="auto"/>
            <w:vMerge w:val="continue"/>
            <w:shd w:val="clear" w:color="auto" w:fill="auto"/>
            <w:vAlign w:val="center"/>
          </w:tcPr>
          <w:p>
            <w:pPr>
              <w:pStyle w:val="21"/>
            </w:pPr>
          </w:p>
        </w:tc>
        <w:tc>
          <w:tcPr>
            <w:tcW w:w="611" w:type="dxa"/>
            <w:shd w:val="clear" w:color="auto" w:fill="auto"/>
            <w:vAlign w:val="center"/>
          </w:tcPr>
          <w:p>
            <w:pPr>
              <w:pStyle w:val="21"/>
            </w:pPr>
            <w:r>
              <w:t>面积小计</w:t>
            </w:r>
          </w:p>
        </w:tc>
        <w:tc>
          <w:tcPr>
            <w:tcW w:w="833" w:type="dxa"/>
            <w:shd w:val="clear" w:color="auto" w:fill="auto"/>
            <w:vAlign w:val="center"/>
          </w:tcPr>
          <w:p>
            <w:pPr>
              <w:pStyle w:val="21"/>
            </w:pPr>
            <w:r>
              <w:t>/</w:t>
            </w:r>
          </w:p>
        </w:tc>
        <w:tc>
          <w:tcPr>
            <w:tcW w:w="1068" w:type="dxa"/>
            <w:shd w:val="clear" w:color="auto" w:fill="auto"/>
            <w:vAlign w:val="center"/>
          </w:tcPr>
          <w:p>
            <w:pPr>
              <w:pStyle w:val="21"/>
              <w:rPr>
                <w:rFonts w:hint="default" w:eastAsiaTheme="minorEastAsia"/>
                <w:color w:val="auto"/>
                <w:lang w:val="en-US" w:eastAsia="zh-CN"/>
              </w:rPr>
            </w:pPr>
            <w:r>
              <w:rPr>
                <w:rFonts w:hint="eastAsia"/>
                <w:color w:val="auto"/>
                <w:lang w:val="en-US" w:eastAsia="zh-CN"/>
              </w:rPr>
              <w:t>6.12</w:t>
            </w:r>
          </w:p>
        </w:tc>
        <w:tc>
          <w:tcPr>
            <w:tcW w:w="854" w:type="dxa"/>
            <w:shd w:val="clear" w:color="auto" w:fill="auto"/>
            <w:vAlign w:val="center"/>
          </w:tcPr>
          <w:p>
            <w:pPr>
              <w:pStyle w:val="21"/>
            </w:pPr>
            <w:r>
              <w:t>/</w:t>
            </w:r>
          </w:p>
        </w:tc>
        <w:tc>
          <w:tcPr>
            <w:tcW w:w="1016" w:type="dxa"/>
            <w:shd w:val="clear" w:color="auto" w:fill="auto"/>
            <w:vAlign w:val="center"/>
          </w:tcPr>
          <w:p>
            <w:pPr>
              <w:pStyle w:val="21"/>
            </w:pPr>
            <w:r>
              <w:t>/</w:t>
            </w:r>
          </w:p>
        </w:tc>
        <w:tc>
          <w:tcPr>
            <w:tcW w:w="3385" w:type="dxa"/>
            <w:shd w:val="clear" w:color="auto" w:fill="auto"/>
            <w:vAlign w:val="center"/>
          </w:tcPr>
          <w:p>
            <w:pPr>
              <w:pStyle w:val="21"/>
            </w:pPr>
            <w:r>
              <w:t>/</w:t>
            </w:r>
          </w:p>
        </w:tc>
        <w:tc>
          <w:tcPr>
            <w:tcW w:w="622" w:type="dxa"/>
            <w:shd w:val="clear" w:color="auto" w:fill="auto"/>
            <w:vAlign w:val="center"/>
          </w:tcPr>
          <w:p>
            <w:pPr>
              <w:pStyle w:val="21"/>
            </w:pP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1"/>
            </w:pPr>
          </w:p>
        </w:tc>
        <w:tc>
          <w:tcPr>
            <w:tcW w:w="1037" w:type="dxa"/>
            <w:gridSpan w:val="2"/>
            <w:shd w:val="clear" w:color="auto" w:fill="auto"/>
            <w:vAlign w:val="center"/>
          </w:tcPr>
          <w:p>
            <w:pPr>
              <w:pStyle w:val="21"/>
            </w:pPr>
            <w:r>
              <w:t>生态空间面积合计</w:t>
            </w:r>
          </w:p>
        </w:tc>
        <w:tc>
          <w:tcPr>
            <w:tcW w:w="833" w:type="dxa"/>
            <w:shd w:val="clear" w:color="auto" w:fill="auto"/>
            <w:vAlign w:val="center"/>
          </w:tcPr>
          <w:p>
            <w:pPr>
              <w:pStyle w:val="21"/>
            </w:pPr>
            <w:r>
              <w:t>/</w:t>
            </w:r>
          </w:p>
        </w:tc>
        <w:tc>
          <w:tcPr>
            <w:tcW w:w="1068" w:type="dxa"/>
            <w:shd w:val="clear" w:color="auto" w:fill="auto"/>
            <w:vAlign w:val="center"/>
          </w:tcPr>
          <w:p>
            <w:pPr>
              <w:pStyle w:val="21"/>
              <w:rPr>
                <w:color w:val="0000FF"/>
              </w:rPr>
            </w:pPr>
          </w:p>
        </w:tc>
        <w:tc>
          <w:tcPr>
            <w:tcW w:w="854" w:type="dxa"/>
            <w:shd w:val="clear" w:color="auto" w:fill="auto"/>
            <w:vAlign w:val="center"/>
          </w:tcPr>
          <w:p>
            <w:pPr>
              <w:pStyle w:val="21"/>
            </w:pPr>
            <w:r>
              <w:t>/</w:t>
            </w:r>
          </w:p>
        </w:tc>
        <w:tc>
          <w:tcPr>
            <w:tcW w:w="1016" w:type="dxa"/>
            <w:shd w:val="clear" w:color="auto" w:fill="auto"/>
            <w:vAlign w:val="center"/>
          </w:tcPr>
          <w:p>
            <w:pPr>
              <w:pStyle w:val="21"/>
            </w:pPr>
            <w:r>
              <w:t>/</w:t>
            </w:r>
          </w:p>
        </w:tc>
        <w:tc>
          <w:tcPr>
            <w:tcW w:w="3385" w:type="dxa"/>
            <w:shd w:val="clear" w:color="auto" w:fill="auto"/>
            <w:vAlign w:val="center"/>
          </w:tcPr>
          <w:p>
            <w:pPr>
              <w:pStyle w:val="21"/>
            </w:pPr>
            <w:r>
              <w:t>/</w:t>
            </w:r>
          </w:p>
        </w:tc>
        <w:tc>
          <w:tcPr>
            <w:tcW w:w="622" w:type="dxa"/>
            <w:shd w:val="clear" w:color="auto" w:fill="auto"/>
            <w:vAlign w:val="center"/>
          </w:tcPr>
          <w:p>
            <w:pPr>
              <w:pStyle w:val="21"/>
            </w:pPr>
            <w:r>
              <w:t>/</w:t>
            </w:r>
          </w:p>
        </w:tc>
      </w:tr>
    </w:tbl>
    <w:p>
      <w:pPr>
        <w:pStyle w:val="4"/>
        <w:rPr>
          <w:rFonts w:hint="eastAsia"/>
          <w:color w:val="auto"/>
        </w:rPr>
      </w:pPr>
    </w:p>
    <w:p>
      <w:pPr>
        <w:pStyle w:val="5"/>
        <w:rPr>
          <w:color w:val="auto"/>
        </w:rPr>
      </w:pPr>
      <w:r>
        <w:rPr>
          <w:rFonts w:hint="eastAsia"/>
          <w:color w:val="auto"/>
        </w:rPr>
        <w:t>环境质量底线</w:t>
      </w:r>
    </w:p>
    <w:p>
      <w:pPr>
        <w:pStyle w:val="4"/>
        <w:rPr>
          <w:rFonts w:hint="eastAsia"/>
          <w:color w:val="auto"/>
        </w:rPr>
      </w:pPr>
      <w:r>
        <w:rPr>
          <w:rFonts w:hint="eastAsia"/>
          <w:color w:val="auto"/>
        </w:rPr>
        <w:t>本次</w:t>
      </w:r>
      <w:bookmarkStart w:id="25" w:name="_Toc15753066"/>
      <w:bookmarkEnd w:id="25"/>
      <w:bookmarkStart w:id="26" w:name="_Toc15753068"/>
      <w:bookmarkEnd w:id="26"/>
      <w:bookmarkStart w:id="27" w:name="_Toc15753067"/>
      <w:bookmarkEnd w:id="27"/>
      <w:r>
        <w:rPr>
          <w:rFonts w:hint="eastAsia"/>
          <w:color w:val="auto"/>
        </w:rPr>
        <w:t>评价依据区域的环境功能区划，提出本次规划区的入区项目环境功能分区准入要求，作为区域环境容量管控的依据和环境质量的底线，具体见表</w:t>
      </w:r>
      <w:r>
        <w:rPr>
          <w:rFonts w:hint="eastAsia"/>
          <w:color w:val="auto"/>
          <w:lang w:val="en-US" w:eastAsia="zh-CN"/>
        </w:rPr>
        <w:t>6.2-2</w:t>
      </w:r>
      <w:r>
        <w:rPr>
          <w:rFonts w:hint="eastAsia"/>
          <w:color w:val="auto"/>
        </w:rPr>
        <w:t>和</w:t>
      </w:r>
      <w:r>
        <w:rPr>
          <w:rFonts w:hint="eastAsia"/>
          <w:color w:val="auto"/>
          <w:lang w:val="en-US" w:eastAsia="zh-CN"/>
        </w:rPr>
        <w:t>6</w:t>
      </w:r>
      <w:r>
        <w:rPr>
          <w:rFonts w:hint="eastAsia"/>
          <w:color w:val="auto"/>
        </w:rPr>
        <w:t>.2-</w:t>
      </w:r>
      <w:r>
        <w:rPr>
          <w:rFonts w:hint="eastAsia"/>
          <w:color w:val="auto"/>
          <w:lang w:val="en-US" w:eastAsia="zh-CN"/>
        </w:rPr>
        <w:t>4</w:t>
      </w:r>
      <w:r>
        <w:rPr>
          <w:color w:val="auto"/>
        </w:rPr>
        <w:t>。</w:t>
      </w:r>
      <w:r>
        <w:rPr>
          <w:rFonts w:hint="eastAsia"/>
          <w:color w:val="auto"/>
        </w:rPr>
        <w:t>此外，</w:t>
      </w:r>
      <w:r>
        <w:rPr>
          <w:color w:val="auto"/>
        </w:rPr>
        <w:t>根据大气环境容量和水环境容量分析、污染物总量预测结果并考虑大气污染防治行动计划、水环境综合整治方案等要求，本次评价提出了规划区域主要大气污染物、水污染物的总量控制限值，见表</w:t>
      </w:r>
      <w:r>
        <w:rPr>
          <w:rFonts w:hint="eastAsia"/>
          <w:color w:val="auto"/>
          <w:lang w:val="en-US" w:eastAsia="zh-CN"/>
        </w:rPr>
        <w:t>6</w:t>
      </w:r>
      <w:r>
        <w:rPr>
          <w:rFonts w:hint="eastAsia"/>
          <w:color w:val="auto"/>
        </w:rPr>
        <w:t>.2</w:t>
      </w:r>
      <w:r>
        <w:rPr>
          <w:color w:val="auto"/>
        </w:rPr>
        <w:t>-</w:t>
      </w:r>
      <w:r>
        <w:rPr>
          <w:rFonts w:hint="eastAsia"/>
          <w:color w:val="auto"/>
          <w:lang w:val="en-US" w:eastAsia="zh-CN"/>
        </w:rPr>
        <w:t>3</w:t>
      </w:r>
      <w:r>
        <w:rPr>
          <w:rFonts w:hint="eastAsia"/>
          <w:color w:val="auto"/>
        </w:rPr>
        <w:t>和表</w:t>
      </w:r>
      <w:r>
        <w:rPr>
          <w:rFonts w:hint="eastAsia"/>
          <w:color w:val="auto"/>
          <w:lang w:val="en-US" w:eastAsia="zh-CN"/>
        </w:rPr>
        <w:t>6</w:t>
      </w:r>
      <w:r>
        <w:rPr>
          <w:rFonts w:hint="eastAsia"/>
          <w:color w:val="auto"/>
        </w:rPr>
        <w:t>.2-</w:t>
      </w:r>
      <w:r>
        <w:rPr>
          <w:rFonts w:hint="eastAsia"/>
          <w:color w:val="auto"/>
          <w:lang w:val="en-US" w:eastAsia="zh-CN"/>
        </w:rPr>
        <w:t>5</w:t>
      </w:r>
      <w:r>
        <w:rPr>
          <w:rFonts w:hint="eastAsia"/>
          <w:color w:val="auto"/>
        </w:rPr>
        <w:t>。</w:t>
      </w:r>
    </w:p>
    <w:p>
      <w:pPr>
        <w:pStyle w:val="12"/>
        <w:spacing w:before="120" w:after="72"/>
        <w:rPr>
          <w:color w:val="auto"/>
        </w:rPr>
      </w:pPr>
      <w:r>
        <w:rPr>
          <w:color w:val="auto"/>
        </w:rPr>
        <w:t>表</w:t>
      </w:r>
      <w:r>
        <w:rPr>
          <w:rFonts w:hint="eastAsia"/>
          <w:color w:val="auto"/>
          <w:lang w:val="en-US" w:eastAsia="zh-CN"/>
        </w:rPr>
        <w:t>6.2</w:t>
      </w:r>
      <w:r>
        <w:rPr>
          <w:color w:val="auto"/>
        </w:rPr>
        <w:t>-</w:t>
      </w:r>
      <w:r>
        <w:rPr>
          <w:rFonts w:hint="eastAsia"/>
          <w:color w:val="auto"/>
          <w:lang w:val="en-US" w:eastAsia="zh-CN"/>
        </w:rPr>
        <w:t>2</w:t>
      </w:r>
      <w:r>
        <w:rPr>
          <w:color w:val="auto"/>
        </w:rPr>
        <w:t xml:space="preserve">  大气环境质量底线清单</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849"/>
        <w:gridCol w:w="580"/>
        <w:gridCol w:w="201"/>
        <w:gridCol w:w="443"/>
        <w:gridCol w:w="252"/>
        <w:gridCol w:w="521"/>
        <w:gridCol w:w="54"/>
        <w:gridCol w:w="466"/>
        <w:gridCol w:w="338"/>
        <w:gridCol w:w="706"/>
        <w:gridCol w:w="89"/>
        <w:gridCol w:w="784"/>
        <w:gridCol w:w="170"/>
        <w:gridCol w:w="94"/>
        <w:gridCol w:w="346"/>
        <w:gridCol w:w="605"/>
        <w:gridCol w:w="8"/>
        <w:gridCol w:w="648"/>
        <w:gridCol w:w="835"/>
        <w:gridCol w:w="533"/>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5000" w:type="pct"/>
            <w:gridSpan w:val="20"/>
            <w:shd w:val="clear" w:color="auto" w:fill="auto"/>
            <w:vAlign w:val="center"/>
          </w:tcPr>
          <w:p>
            <w:pPr>
              <w:pStyle w:val="22"/>
            </w:pPr>
            <w:r>
              <w:t>大气环境质量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项目</w:t>
            </w:r>
          </w:p>
        </w:tc>
        <w:tc>
          <w:tcPr>
            <w:tcW w:w="458" w:type="pct"/>
            <w:gridSpan w:val="2"/>
            <w:shd w:val="clear" w:color="auto" w:fill="auto"/>
            <w:vAlign w:val="center"/>
          </w:tcPr>
          <w:p>
            <w:pPr>
              <w:pStyle w:val="21"/>
            </w:pPr>
            <w:r>
              <w:t>SO</w:t>
            </w:r>
            <w:r>
              <w:rPr>
                <w:vertAlign w:val="subscript"/>
              </w:rPr>
              <w:t>2</w:t>
            </w:r>
          </w:p>
        </w:tc>
        <w:tc>
          <w:tcPr>
            <w:tcW w:w="407" w:type="pct"/>
            <w:gridSpan w:val="2"/>
            <w:shd w:val="clear" w:color="auto" w:fill="auto"/>
            <w:vAlign w:val="center"/>
          </w:tcPr>
          <w:p>
            <w:pPr>
              <w:pStyle w:val="21"/>
            </w:pPr>
            <w:r>
              <w:t>NO</w:t>
            </w:r>
            <w:r>
              <w:rPr>
                <w:vertAlign w:val="subscript"/>
              </w:rPr>
              <w:t>2</w:t>
            </w:r>
          </w:p>
        </w:tc>
        <w:tc>
          <w:tcPr>
            <w:tcW w:w="611" w:type="pct"/>
            <w:gridSpan w:val="3"/>
            <w:shd w:val="clear" w:color="auto" w:fill="auto"/>
            <w:vAlign w:val="center"/>
          </w:tcPr>
          <w:p>
            <w:pPr>
              <w:pStyle w:val="21"/>
            </w:pPr>
            <w:r>
              <w:t>PM</w:t>
            </w:r>
            <w:r>
              <w:rPr>
                <w:vertAlign w:val="subscript"/>
              </w:rPr>
              <w:t>10</w:t>
            </w:r>
          </w:p>
        </w:tc>
        <w:tc>
          <w:tcPr>
            <w:tcW w:w="611" w:type="pct"/>
            <w:gridSpan w:val="2"/>
            <w:shd w:val="clear" w:color="auto" w:fill="auto"/>
            <w:vAlign w:val="center"/>
          </w:tcPr>
          <w:p>
            <w:pPr>
              <w:pStyle w:val="21"/>
            </w:pPr>
            <w:r>
              <w:t>CO</w:t>
            </w:r>
          </w:p>
        </w:tc>
        <w:tc>
          <w:tcPr>
            <w:tcW w:w="611" w:type="pct"/>
            <w:gridSpan w:val="3"/>
            <w:vAlign w:val="center"/>
          </w:tcPr>
          <w:p>
            <w:pPr>
              <w:pStyle w:val="21"/>
            </w:pPr>
            <w:r>
              <w:t>O</w:t>
            </w:r>
            <w:r>
              <w:rPr>
                <w:vertAlign w:val="subscript"/>
              </w:rPr>
              <w:t>3</w:t>
            </w:r>
          </w:p>
        </w:tc>
        <w:tc>
          <w:tcPr>
            <w:tcW w:w="617" w:type="pct"/>
            <w:gridSpan w:val="4"/>
            <w:shd w:val="clear" w:color="auto" w:fill="auto"/>
            <w:vAlign w:val="center"/>
          </w:tcPr>
          <w:p>
            <w:pPr>
              <w:pStyle w:val="21"/>
            </w:pPr>
            <w:r>
              <w:t>氟化物</w:t>
            </w:r>
          </w:p>
        </w:tc>
        <w:tc>
          <w:tcPr>
            <w:tcW w:w="380" w:type="pct"/>
            <w:vAlign w:val="center"/>
          </w:tcPr>
          <w:p>
            <w:pPr>
              <w:pStyle w:val="21"/>
              <w:rPr>
                <w:rFonts w:hint="eastAsia" w:eastAsiaTheme="minorEastAsia"/>
                <w:lang w:eastAsia="zh-CN"/>
              </w:rPr>
            </w:pPr>
            <w:r>
              <w:rPr>
                <w:rFonts w:hint="eastAsia"/>
                <w:lang w:val="en-US" w:eastAsia="zh-CN"/>
              </w:rPr>
              <w:t>NO</w:t>
            </w:r>
          </w:p>
        </w:tc>
        <w:tc>
          <w:tcPr>
            <w:tcW w:w="490" w:type="pct"/>
            <w:vAlign w:val="center"/>
          </w:tcPr>
          <w:p>
            <w:pPr>
              <w:pStyle w:val="21"/>
            </w:pPr>
            <w:r>
              <w:t>PM</w:t>
            </w:r>
            <w:r>
              <w:rPr>
                <w:vertAlign w:val="subscript"/>
              </w:rPr>
              <w:t>2.5</w:t>
            </w:r>
          </w:p>
        </w:tc>
        <w:tc>
          <w:tcPr>
            <w:tcW w:w="312" w:type="pct"/>
            <w:vMerge w:val="restart"/>
            <w:vAlign w:val="center"/>
          </w:tcPr>
          <w:p>
            <w:pPr>
              <w:pStyle w:val="21"/>
            </w:pPr>
            <w: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现状</w:t>
            </w:r>
          </w:p>
        </w:tc>
        <w:tc>
          <w:tcPr>
            <w:tcW w:w="458" w:type="pct"/>
            <w:gridSpan w:val="2"/>
            <w:shd w:val="clear" w:color="auto" w:fill="auto"/>
            <w:vAlign w:val="center"/>
          </w:tcPr>
          <w:p>
            <w:pPr>
              <w:pStyle w:val="21"/>
            </w:pPr>
            <w:r>
              <w:t>达标</w:t>
            </w:r>
          </w:p>
        </w:tc>
        <w:tc>
          <w:tcPr>
            <w:tcW w:w="407" w:type="pct"/>
            <w:gridSpan w:val="2"/>
            <w:shd w:val="clear" w:color="auto" w:fill="auto"/>
            <w:vAlign w:val="center"/>
          </w:tcPr>
          <w:p>
            <w:pPr>
              <w:pStyle w:val="21"/>
            </w:pPr>
            <w:r>
              <w:t>达标</w:t>
            </w:r>
          </w:p>
        </w:tc>
        <w:tc>
          <w:tcPr>
            <w:tcW w:w="611" w:type="pct"/>
            <w:gridSpan w:val="3"/>
            <w:shd w:val="clear" w:color="auto" w:fill="auto"/>
            <w:vAlign w:val="center"/>
          </w:tcPr>
          <w:p>
            <w:pPr>
              <w:pStyle w:val="21"/>
            </w:pPr>
            <w:r>
              <w:t>达标</w:t>
            </w:r>
          </w:p>
        </w:tc>
        <w:tc>
          <w:tcPr>
            <w:tcW w:w="611" w:type="pct"/>
            <w:gridSpan w:val="2"/>
            <w:shd w:val="clear" w:color="auto" w:fill="auto"/>
            <w:vAlign w:val="center"/>
          </w:tcPr>
          <w:p>
            <w:pPr>
              <w:pStyle w:val="21"/>
            </w:pPr>
            <w:r>
              <w:t>达标</w:t>
            </w:r>
          </w:p>
        </w:tc>
        <w:tc>
          <w:tcPr>
            <w:tcW w:w="611" w:type="pct"/>
            <w:gridSpan w:val="3"/>
            <w:vAlign w:val="center"/>
          </w:tcPr>
          <w:p>
            <w:pPr>
              <w:pStyle w:val="21"/>
            </w:pPr>
            <w:r>
              <w:t>达标</w:t>
            </w:r>
          </w:p>
        </w:tc>
        <w:tc>
          <w:tcPr>
            <w:tcW w:w="617" w:type="pct"/>
            <w:gridSpan w:val="4"/>
            <w:shd w:val="clear" w:color="auto" w:fill="auto"/>
            <w:vAlign w:val="center"/>
          </w:tcPr>
          <w:p>
            <w:pPr>
              <w:pStyle w:val="21"/>
            </w:pPr>
            <w:r>
              <w:t>达标</w:t>
            </w:r>
          </w:p>
        </w:tc>
        <w:tc>
          <w:tcPr>
            <w:tcW w:w="380" w:type="pct"/>
            <w:vAlign w:val="center"/>
          </w:tcPr>
          <w:p>
            <w:pPr>
              <w:pStyle w:val="21"/>
            </w:pPr>
            <w:r>
              <w:t>达标</w:t>
            </w:r>
          </w:p>
        </w:tc>
        <w:tc>
          <w:tcPr>
            <w:tcW w:w="490" w:type="pct"/>
            <w:vAlign w:val="center"/>
          </w:tcPr>
          <w:p>
            <w:pPr>
              <w:pStyle w:val="21"/>
            </w:pPr>
            <w:r>
              <w:t>不稳定达标</w:t>
            </w:r>
          </w:p>
        </w:tc>
        <w:tc>
          <w:tcPr>
            <w:tcW w:w="312" w:type="pct"/>
            <w:vMerge w:val="continue"/>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2025年目标</w:t>
            </w:r>
          </w:p>
        </w:tc>
        <w:tc>
          <w:tcPr>
            <w:tcW w:w="4188" w:type="pct"/>
            <w:gridSpan w:val="18"/>
            <w:tcBorders>
              <w:bottom w:val="single" w:color="auto" w:sz="4" w:space="0"/>
            </w:tcBorders>
            <w:shd w:val="clear" w:color="auto" w:fill="auto"/>
            <w:vAlign w:val="center"/>
          </w:tcPr>
          <w:p>
            <w:pPr>
              <w:pStyle w:val="21"/>
            </w:pPr>
            <w:r>
              <w:t>达到《环境空气质量标准》二级标准</w:t>
            </w:r>
          </w:p>
        </w:tc>
        <w:tc>
          <w:tcPr>
            <w:tcW w:w="312" w:type="pct"/>
            <w:vMerge w:val="continue"/>
            <w:shd w:val="clear" w:color="auto" w:fill="auto"/>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203</w:t>
            </w:r>
            <w:r>
              <w:rPr>
                <w:rFonts w:hint="eastAsia"/>
                <w:lang w:val="en-US" w:eastAsia="zh-CN"/>
              </w:rPr>
              <w:t>0</w:t>
            </w:r>
            <w:r>
              <w:t>年目标</w:t>
            </w:r>
          </w:p>
        </w:tc>
        <w:tc>
          <w:tcPr>
            <w:tcW w:w="4188" w:type="pct"/>
            <w:gridSpan w:val="18"/>
            <w:vAlign w:val="center"/>
          </w:tcPr>
          <w:p>
            <w:pPr>
              <w:pStyle w:val="21"/>
            </w:pPr>
            <w:r>
              <w:rPr>
                <w:rFonts w:hint="eastAsia"/>
              </w:rPr>
              <w:t>达到</w:t>
            </w:r>
            <w:r>
              <w:t>《环境空气质量标准》二级标准</w:t>
            </w:r>
          </w:p>
        </w:tc>
        <w:tc>
          <w:tcPr>
            <w:tcW w:w="312" w:type="pct"/>
            <w:vMerge w:val="continue"/>
            <w:shd w:val="clear" w:color="auto" w:fill="auto"/>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项目</w:t>
            </w:r>
          </w:p>
        </w:tc>
        <w:tc>
          <w:tcPr>
            <w:tcW w:w="340" w:type="pct"/>
            <w:shd w:val="clear" w:color="auto" w:fill="auto"/>
            <w:vAlign w:val="center"/>
          </w:tcPr>
          <w:p>
            <w:pPr>
              <w:pStyle w:val="21"/>
            </w:pPr>
            <w:r>
              <w:t>氯化氢</w:t>
            </w:r>
          </w:p>
        </w:tc>
        <w:tc>
          <w:tcPr>
            <w:tcW w:w="377"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甲苯</w:t>
            </w:r>
          </w:p>
        </w:tc>
        <w:tc>
          <w:tcPr>
            <w:tcW w:w="485" w:type="pct"/>
            <w:gridSpan w:val="3"/>
            <w:shd w:val="clear" w:color="auto" w:fill="auto"/>
            <w:vAlign w:val="center"/>
          </w:tcPr>
          <w:p>
            <w:pPr>
              <w:pStyle w:val="21"/>
              <w:rPr>
                <w:rFonts w:ascii="Times New Roman" w:hAnsi="Times New Roman" w:eastAsiaTheme="minorEastAsia" w:cstheme="minorBidi"/>
                <w:kern w:val="2"/>
                <w:sz w:val="21"/>
                <w:szCs w:val="24"/>
                <w:lang w:val="en-US" w:eastAsia="zh-CN" w:bidi="ar-SA"/>
              </w:rPr>
            </w:pPr>
            <w:r>
              <w:t>二甲苯</w:t>
            </w:r>
          </w:p>
        </w:tc>
        <w:tc>
          <w:tcPr>
            <w:tcW w:w="471"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硫酸雾</w:t>
            </w:r>
          </w:p>
        </w:tc>
        <w:tc>
          <w:tcPr>
            <w:tcW w:w="465"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NH</w:t>
            </w:r>
            <w:r>
              <w:rPr>
                <w:vertAlign w:val="subscript"/>
              </w:rPr>
              <w:t>3</w:t>
            </w:r>
          </w:p>
        </w:tc>
        <w:tc>
          <w:tcPr>
            <w:tcW w:w="460" w:type="pct"/>
            <w:vAlign w:val="center"/>
          </w:tcPr>
          <w:p>
            <w:pPr>
              <w:pStyle w:val="21"/>
              <w:rPr>
                <w:rFonts w:ascii="Times New Roman" w:hAnsi="Times New Roman" w:eastAsiaTheme="minorEastAsia" w:cstheme="minorBidi"/>
                <w:kern w:val="2"/>
                <w:sz w:val="21"/>
                <w:szCs w:val="24"/>
                <w:lang w:val="en-US" w:eastAsia="zh-CN" w:bidi="ar-SA"/>
              </w:rPr>
            </w:pPr>
            <w:r>
              <w:t>H</w:t>
            </w:r>
            <w:r>
              <w:rPr>
                <w:vertAlign w:val="subscript"/>
              </w:rPr>
              <w:t>2</w:t>
            </w:r>
            <w:r>
              <w:t>S</w:t>
            </w:r>
          </w:p>
        </w:tc>
        <w:tc>
          <w:tcPr>
            <w:tcW w:w="357" w:type="pct"/>
            <w:gridSpan w:val="3"/>
            <w:vAlign w:val="center"/>
          </w:tcPr>
          <w:p>
            <w:pPr>
              <w:pStyle w:val="21"/>
              <w:rPr>
                <w:rFonts w:ascii="Times New Roman" w:hAnsi="Times New Roman" w:eastAsiaTheme="minorEastAsia" w:cstheme="minorBidi"/>
                <w:kern w:val="2"/>
                <w:sz w:val="21"/>
                <w:szCs w:val="24"/>
                <w:lang w:val="en-US" w:eastAsia="zh-CN" w:bidi="ar-SA"/>
              </w:rPr>
            </w:pPr>
          </w:p>
        </w:tc>
        <w:tc>
          <w:tcPr>
            <w:tcW w:w="354" w:type="pct"/>
            <w:vAlign w:val="center"/>
          </w:tcPr>
          <w:p>
            <w:pPr>
              <w:pStyle w:val="21"/>
              <w:rPr>
                <w:rFonts w:ascii="Times New Roman" w:hAnsi="Times New Roman" w:eastAsiaTheme="minorEastAsia" w:cstheme="minorBidi"/>
                <w:kern w:val="2"/>
                <w:sz w:val="21"/>
                <w:szCs w:val="24"/>
                <w:lang w:val="en-US" w:eastAsia="zh-CN" w:bidi="ar-SA"/>
              </w:rPr>
            </w:pPr>
          </w:p>
        </w:tc>
        <w:tc>
          <w:tcPr>
            <w:tcW w:w="384" w:type="pct"/>
            <w:gridSpan w:val="2"/>
            <w:vAlign w:val="center"/>
          </w:tcPr>
          <w:p>
            <w:pPr>
              <w:pStyle w:val="21"/>
              <w:rPr>
                <w:rFonts w:hint="eastAsia" w:ascii="Times New Roman" w:hAnsi="Times New Roman" w:eastAsiaTheme="minorEastAsia" w:cstheme="minorBidi"/>
                <w:kern w:val="2"/>
                <w:sz w:val="21"/>
                <w:szCs w:val="24"/>
                <w:lang w:val="en-US" w:eastAsia="zh-CN" w:bidi="ar-SA"/>
              </w:rPr>
            </w:pPr>
          </w:p>
        </w:tc>
        <w:tc>
          <w:tcPr>
            <w:tcW w:w="490" w:type="pct"/>
            <w:vAlign w:val="center"/>
          </w:tcPr>
          <w:p>
            <w:pPr>
              <w:pStyle w:val="21"/>
            </w:pPr>
          </w:p>
        </w:tc>
        <w:tc>
          <w:tcPr>
            <w:tcW w:w="312" w:type="pct"/>
            <w:vMerge w:val="restart"/>
            <w:vAlign w:val="center"/>
          </w:tcPr>
          <w:p>
            <w:pPr>
              <w:pStyle w:val="21"/>
            </w:pPr>
            <w: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53" w:hRule="atLeast"/>
          <w:jc w:val="center"/>
        </w:trPr>
        <w:tc>
          <w:tcPr>
            <w:tcW w:w="498" w:type="pct"/>
            <w:shd w:val="clear" w:color="auto" w:fill="auto"/>
            <w:vAlign w:val="center"/>
          </w:tcPr>
          <w:p>
            <w:pPr>
              <w:pStyle w:val="21"/>
            </w:pPr>
            <w:bookmarkStart w:id="28" w:name="_Hlk535590873"/>
            <w:bookmarkStart w:id="29" w:name="_Hlk535590863"/>
            <w:r>
              <w:t>现状</w:t>
            </w:r>
          </w:p>
        </w:tc>
        <w:tc>
          <w:tcPr>
            <w:tcW w:w="340" w:type="pct"/>
            <w:shd w:val="clear" w:color="auto" w:fill="auto"/>
            <w:vAlign w:val="center"/>
          </w:tcPr>
          <w:p>
            <w:pPr>
              <w:pStyle w:val="21"/>
            </w:pPr>
            <w:r>
              <w:t>达标</w:t>
            </w:r>
          </w:p>
        </w:tc>
        <w:tc>
          <w:tcPr>
            <w:tcW w:w="377"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达标</w:t>
            </w:r>
          </w:p>
        </w:tc>
        <w:tc>
          <w:tcPr>
            <w:tcW w:w="485" w:type="pct"/>
            <w:gridSpan w:val="3"/>
            <w:shd w:val="clear" w:color="auto" w:fill="auto"/>
            <w:vAlign w:val="center"/>
          </w:tcPr>
          <w:p>
            <w:pPr>
              <w:pStyle w:val="21"/>
              <w:rPr>
                <w:rFonts w:ascii="Times New Roman" w:hAnsi="Times New Roman" w:eastAsiaTheme="minorEastAsia" w:cstheme="minorBidi"/>
                <w:kern w:val="2"/>
                <w:sz w:val="21"/>
                <w:szCs w:val="24"/>
                <w:lang w:val="en-US" w:eastAsia="zh-CN" w:bidi="ar-SA"/>
              </w:rPr>
            </w:pPr>
            <w:r>
              <w:t>达标</w:t>
            </w:r>
          </w:p>
        </w:tc>
        <w:tc>
          <w:tcPr>
            <w:tcW w:w="471"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达标</w:t>
            </w:r>
          </w:p>
        </w:tc>
        <w:tc>
          <w:tcPr>
            <w:tcW w:w="465" w:type="pct"/>
            <w:gridSpan w:val="2"/>
            <w:shd w:val="clear" w:color="auto" w:fill="auto"/>
            <w:vAlign w:val="center"/>
          </w:tcPr>
          <w:p>
            <w:pPr>
              <w:pStyle w:val="21"/>
              <w:rPr>
                <w:rFonts w:ascii="Times New Roman" w:hAnsi="Times New Roman" w:eastAsiaTheme="minorEastAsia" w:cstheme="minorBidi"/>
                <w:kern w:val="2"/>
                <w:sz w:val="21"/>
                <w:szCs w:val="24"/>
                <w:lang w:val="en-US" w:eastAsia="zh-CN" w:bidi="ar-SA"/>
              </w:rPr>
            </w:pPr>
            <w:r>
              <w:t>达标</w:t>
            </w:r>
          </w:p>
        </w:tc>
        <w:tc>
          <w:tcPr>
            <w:tcW w:w="460" w:type="pct"/>
            <w:vAlign w:val="center"/>
          </w:tcPr>
          <w:p>
            <w:pPr>
              <w:pStyle w:val="21"/>
              <w:rPr>
                <w:rFonts w:ascii="Times New Roman" w:hAnsi="Times New Roman" w:eastAsiaTheme="minorEastAsia" w:cstheme="minorBidi"/>
                <w:kern w:val="2"/>
                <w:sz w:val="21"/>
                <w:szCs w:val="24"/>
                <w:lang w:val="en-US" w:eastAsia="zh-CN" w:bidi="ar-SA"/>
              </w:rPr>
            </w:pPr>
            <w:r>
              <w:t>达标</w:t>
            </w:r>
          </w:p>
        </w:tc>
        <w:tc>
          <w:tcPr>
            <w:tcW w:w="357" w:type="pct"/>
            <w:gridSpan w:val="3"/>
            <w:vAlign w:val="center"/>
          </w:tcPr>
          <w:p>
            <w:pPr>
              <w:pStyle w:val="21"/>
              <w:rPr>
                <w:rFonts w:ascii="Times New Roman" w:hAnsi="Times New Roman" w:eastAsiaTheme="minorEastAsia" w:cstheme="minorBidi"/>
                <w:kern w:val="2"/>
                <w:sz w:val="21"/>
                <w:szCs w:val="24"/>
                <w:lang w:val="en-US" w:eastAsia="zh-CN" w:bidi="ar-SA"/>
              </w:rPr>
            </w:pPr>
          </w:p>
        </w:tc>
        <w:tc>
          <w:tcPr>
            <w:tcW w:w="354" w:type="pct"/>
            <w:vAlign w:val="center"/>
          </w:tcPr>
          <w:p>
            <w:pPr>
              <w:pStyle w:val="21"/>
              <w:rPr>
                <w:rFonts w:ascii="Times New Roman" w:hAnsi="Times New Roman" w:eastAsiaTheme="minorEastAsia" w:cstheme="minorBidi"/>
                <w:kern w:val="2"/>
                <w:sz w:val="21"/>
                <w:szCs w:val="24"/>
                <w:lang w:val="en-US" w:eastAsia="zh-CN" w:bidi="ar-SA"/>
              </w:rPr>
            </w:pPr>
          </w:p>
        </w:tc>
        <w:tc>
          <w:tcPr>
            <w:tcW w:w="384" w:type="pct"/>
            <w:gridSpan w:val="2"/>
            <w:vAlign w:val="center"/>
          </w:tcPr>
          <w:p>
            <w:pPr>
              <w:pStyle w:val="21"/>
              <w:rPr>
                <w:rFonts w:ascii="Times New Roman" w:hAnsi="Times New Roman" w:eastAsiaTheme="minorEastAsia" w:cstheme="minorBidi"/>
                <w:kern w:val="2"/>
                <w:sz w:val="21"/>
                <w:szCs w:val="24"/>
                <w:lang w:val="en-US" w:eastAsia="zh-CN" w:bidi="ar-SA"/>
              </w:rPr>
            </w:pPr>
          </w:p>
        </w:tc>
        <w:tc>
          <w:tcPr>
            <w:tcW w:w="490" w:type="pct"/>
            <w:vAlign w:val="center"/>
          </w:tcPr>
          <w:p>
            <w:pPr>
              <w:pStyle w:val="21"/>
            </w:pPr>
          </w:p>
        </w:tc>
        <w:tc>
          <w:tcPr>
            <w:tcW w:w="312" w:type="pct"/>
            <w:vMerge w:val="continue"/>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2025年目标</w:t>
            </w:r>
          </w:p>
        </w:tc>
        <w:tc>
          <w:tcPr>
            <w:tcW w:w="4188" w:type="pct"/>
            <w:gridSpan w:val="18"/>
            <w:vMerge w:val="restart"/>
            <w:vAlign w:val="center"/>
          </w:tcPr>
          <w:p>
            <w:pPr>
              <w:pStyle w:val="21"/>
            </w:pPr>
            <w:r>
              <w:t>《环境影响评价技术导则 大气环境》（HJ2.2-2018）</w:t>
            </w:r>
            <w:bookmarkEnd w:id="28"/>
            <w:r>
              <w:t>附录D其他污染物</w:t>
            </w:r>
            <w:bookmarkStart w:id="30" w:name="_Hlk533408334"/>
            <w:r>
              <w:t>空气质量浓度参考限值</w:t>
            </w:r>
          </w:p>
        </w:tc>
        <w:tc>
          <w:tcPr>
            <w:tcW w:w="312" w:type="pct"/>
            <w:vMerge w:val="continue"/>
            <w:shd w:val="clear" w:color="auto" w:fill="auto"/>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2</w:t>
            </w:r>
            <w:bookmarkEnd w:id="30"/>
            <w:r>
              <w:t>03</w:t>
            </w:r>
            <w:bookmarkEnd w:id="29"/>
            <w:r>
              <w:rPr>
                <w:rFonts w:hint="eastAsia"/>
                <w:lang w:val="en-US" w:eastAsia="zh-CN"/>
              </w:rPr>
              <w:t>0</w:t>
            </w:r>
            <w:r>
              <w:t>年目标</w:t>
            </w:r>
          </w:p>
        </w:tc>
        <w:tc>
          <w:tcPr>
            <w:tcW w:w="4188" w:type="pct"/>
            <w:gridSpan w:val="18"/>
            <w:vMerge w:val="continue"/>
            <w:vAlign w:val="center"/>
          </w:tcPr>
          <w:p>
            <w:pPr>
              <w:pStyle w:val="21"/>
            </w:pPr>
          </w:p>
        </w:tc>
        <w:tc>
          <w:tcPr>
            <w:tcW w:w="312" w:type="pct"/>
            <w:vMerge w:val="continue"/>
            <w:shd w:val="clear" w:color="auto" w:fill="auto"/>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项目</w:t>
            </w:r>
          </w:p>
        </w:tc>
        <w:tc>
          <w:tcPr>
            <w:tcW w:w="1172" w:type="pct"/>
            <w:gridSpan w:val="5"/>
            <w:shd w:val="clear" w:color="auto" w:fill="auto"/>
            <w:vAlign w:val="center"/>
          </w:tcPr>
          <w:p>
            <w:pPr>
              <w:pStyle w:val="21"/>
              <w:rPr>
                <w:rFonts w:ascii="Times New Roman" w:hAnsi="Times New Roman" w:eastAsiaTheme="minorEastAsia" w:cstheme="minorBidi"/>
                <w:kern w:val="2"/>
                <w:sz w:val="21"/>
                <w:szCs w:val="24"/>
                <w:lang w:val="en-US" w:eastAsia="zh-CN" w:bidi="ar-SA"/>
              </w:rPr>
            </w:pPr>
            <w:r>
              <w:t>非甲烷总烃</w:t>
            </w:r>
          </w:p>
        </w:tc>
        <w:tc>
          <w:tcPr>
            <w:tcW w:w="1583" w:type="pct"/>
            <w:gridSpan w:val="8"/>
            <w:shd w:val="clear" w:color="auto" w:fill="auto"/>
            <w:vAlign w:val="center"/>
          </w:tcPr>
          <w:p>
            <w:pPr>
              <w:pStyle w:val="21"/>
              <w:rPr>
                <w:rFonts w:hint="eastAsia" w:eastAsiaTheme="minorEastAsia"/>
                <w:lang w:val="en-US" w:eastAsia="zh-CN"/>
              </w:rPr>
            </w:pPr>
            <w:r>
              <w:rPr>
                <w:rFonts w:hint="eastAsia"/>
                <w:lang w:val="en-US" w:eastAsia="zh-CN"/>
              </w:rPr>
              <w:t>氰化氢</w:t>
            </w:r>
          </w:p>
        </w:tc>
        <w:tc>
          <w:tcPr>
            <w:tcW w:w="1432" w:type="pct"/>
            <w:gridSpan w:val="5"/>
            <w:shd w:val="clear" w:color="auto" w:fill="auto"/>
            <w:vAlign w:val="center"/>
          </w:tcPr>
          <w:p>
            <w:pPr>
              <w:pStyle w:val="21"/>
              <w:rPr>
                <w:rFonts w:hint="default" w:eastAsiaTheme="minorEastAsia"/>
                <w:lang w:val="en-US" w:eastAsia="zh-CN"/>
              </w:rPr>
            </w:pPr>
            <w:r>
              <w:rPr>
                <w:rFonts w:hint="eastAsia"/>
                <w:lang w:val="en-US" w:eastAsia="zh-CN"/>
              </w:rPr>
              <w:t>铬酸雾</w:t>
            </w:r>
          </w:p>
        </w:tc>
        <w:tc>
          <w:tcPr>
            <w:tcW w:w="312" w:type="pct"/>
            <w:vMerge w:val="restart"/>
            <w:vAlign w:val="center"/>
          </w:tcPr>
          <w:p>
            <w:pPr>
              <w:pStyle w:val="21"/>
            </w:pPr>
            <w: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bookmarkStart w:id="31" w:name="_Hlk535591043"/>
            <w:r>
              <w:t>现状</w:t>
            </w:r>
          </w:p>
        </w:tc>
        <w:tc>
          <w:tcPr>
            <w:tcW w:w="1172" w:type="pct"/>
            <w:gridSpan w:val="5"/>
            <w:shd w:val="clear" w:color="auto" w:fill="auto"/>
            <w:vAlign w:val="center"/>
          </w:tcPr>
          <w:p>
            <w:pPr>
              <w:pStyle w:val="21"/>
              <w:rPr>
                <w:rFonts w:ascii="Times New Roman" w:hAnsi="Times New Roman" w:eastAsiaTheme="minorEastAsia" w:cstheme="minorBidi"/>
                <w:kern w:val="2"/>
                <w:sz w:val="21"/>
                <w:szCs w:val="24"/>
                <w:lang w:val="en-US" w:eastAsia="zh-CN" w:bidi="ar-SA"/>
              </w:rPr>
            </w:pPr>
            <w:r>
              <w:t>达标</w:t>
            </w:r>
          </w:p>
        </w:tc>
        <w:tc>
          <w:tcPr>
            <w:tcW w:w="1583" w:type="pct"/>
            <w:gridSpan w:val="8"/>
            <w:shd w:val="clear" w:color="auto" w:fill="auto"/>
            <w:vAlign w:val="center"/>
          </w:tcPr>
          <w:p>
            <w:pPr>
              <w:pStyle w:val="21"/>
              <w:rPr>
                <w:rFonts w:hint="eastAsia" w:eastAsiaTheme="minorEastAsia"/>
                <w:lang w:val="en-US" w:eastAsia="zh-CN"/>
              </w:rPr>
            </w:pPr>
            <w:r>
              <w:t>达标</w:t>
            </w:r>
          </w:p>
        </w:tc>
        <w:tc>
          <w:tcPr>
            <w:tcW w:w="1432" w:type="pct"/>
            <w:gridSpan w:val="5"/>
            <w:shd w:val="clear" w:color="auto" w:fill="auto"/>
            <w:vAlign w:val="center"/>
          </w:tcPr>
          <w:p>
            <w:pPr>
              <w:pStyle w:val="21"/>
              <w:rPr>
                <w:rFonts w:hint="eastAsia" w:eastAsiaTheme="minorEastAsia"/>
                <w:lang w:val="en-US" w:eastAsia="zh-CN"/>
              </w:rPr>
            </w:pPr>
            <w:r>
              <w:t>达标</w:t>
            </w:r>
          </w:p>
        </w:tc>
        <w:tc>
          <w:tcPr>
            <w:tcW w:w="312" w:type="pct"/>
            <w:vMerge w:val="continue"/>
            <w:vAlign w:val="center"/>
          </w:tcPr>
          <w:p>
            <w:pPr>
              <w:pStyle w:val="21"/>
            </w:pPr>
          </w:p>
        </w:tc>
      </w:tr>
      <w:bookmarkEnd w:id="31"/>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1"/>
            </w:pPr>
            <w:r>
              <w:t>2025年目标</w:t>
            </w:r>
          </w:p>
        </w:tc>
        <w:tc>
          <w:tcPr>
            <w:tcW w:w="1172" w:type="pct"/>
            <w:gridSpan w:val="5"/>
            <w:vMerge w:val="restart"/>
            <w:shd w:val="clear" w:color="auto" w:fill="auto"/>
            <w:vAlign w:val="center"/>
          </w:tcPr>
          <w:p>
            <w:pPr>
              <w:pStyle w:val="21"/>
              <w:rPr>
                <w:rFonts w:ascii="Times New Roman" w:hAnsi="Times New Roman" w:eastAsiaTheme="minorEastAsia" w:cstheme="minorBidi"/>
                <w:kern w:val="2"/>
                <w:sz w:val="21"/>
                <w:szCs w:val="24"/>
                <w:lang w:val="en-US" w:eastAsia="zh-CN" w:bidi="ar-SA"/>
              </w:rPr>
            </w:pPr>
            <w:r>
              <w:t>大气污染物排放标准详解</w:t>
            </w:r>
          </w:p>
        </w:tc>
        <w:tc>
          <w:tcPr>
            <w:tcW w:w="1583" w:type="pct"/>
            <w:gridSpan w:val="8"/>
            <w:vMerge w:val="restart"/>
            <w:shd w:val="clear" w:color="auto" w:fill="auto"/>
            <w:vAlign w:val="center"/>
          </w:tcPr>
          <w:p>
            <w:pPr>
              <w:pStyle w:val="21"/>
              <w:rPr>
                <w:rFonts w:hint="eastAsia" w:eastAsiaTheme="minorEastAsia"/>
                <w:lang w:val="en-US" w:eastAsia="zh-CN"/>
              </w:rPr>
            </w:pPr>
            <w:bookmarkStart w:id="32" w:name="OLE_LINK34"/>
            <w:bookmarkStart w:id="33" w:name="_Hlk533408351"/>
            <w:bookmarkStart w:id="34" w:name="OLE_LINK36"/>
            <w:bookmarkStart w:id="35" w:name="OLE_LINK35"/>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前苏联居住区大气中有害物质的最大允许浓度</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CH245-71</w:t>
            </w:r>
            <w:r>
              <w:rPr>
                <w:rFonts w:hint="eastAsia" w:ascii="Times New Roman" w:hAnsi="Times New Roman" w:cs="Times New Roman"/>
                <w:color w:val="000000" w:themeColor="text1"/>
                <w:szCs w:val="21"/>
                <w:lang w:eastAsia="zh-CN"/>
                <w14:textFill>
                  <w14:solidFill>
                    <w14:schemeClr w14:val="tx1"/>
                  </w14:solidFill>
                </w14:textFill>
              </w:rPr>
              <w:t>）</w:t>
            </w:r>
          </w:p>
          <w:bookmarkEnd w:id="32"/>
          <w:bookmarkEnd w:id="33"/>
          <w:bookmarkEnd w:id="34"/>
          <w:bookmarkEnd w:id="35"/>
        </w:tc>
        <w:tc>
          <w:tcPr>
            <w:tcW w:w="1432" w:type="pct"/>
            <w:gridSpan w:val="5"/>
            <w:vMerge w:val="restart"/>
            <w:shd w:val="clear" w:color="auto" w:fill="auto"/>
            <w:vAlign w:val="center"/>
          </w:tcPr>
          <w:p>
            <w:pPr>
              <w:pStyle w:val="21"/>
              <w:rPr>
                <w:rFonts w:hint="eastAsia" w:eastAsiaTheme="minorEastAsia"/>
                <w:lang w:val="en-US" w:eastAsia="zh-CN"/>
              </w:rPr>
            </w:pP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工业企业设计卫生标准</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TJ36-79</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中居住区大气中有害物质最高容许浓度</w:t>
            </w:r>
          </w:p>
        </w:tc>
        <w:tc>
          <w:tcPr>
            <w:tcW w:w="312" w:type="pct"/>
            <w:vMerge w:val="continue"/>
            <w:vAlign w:val="center"/>
          </w:tcPr>
          <w:p>
            <w:pPr>
              <w:pStyle w:val="21"/>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r>
              <w:rPr>
                <w:rStyle w:val="27"/>
              </w:rPr>
              <w:t>203</w:t>
            </w:r>
            <w:r>
              <w:rPr>
                <w:rStyle w:val="27"/>
                <w:rFonts w:hint="eastAsia"/>
                <w:lang w:val="en-US" w:eastAsia="zh-CN"/>
              </w:rPr>
              <w:t>0</w:t>
            </w:r>
            <w:r>
              <w:rPr>
                <w:rStyle w:val="27"/>
              </w:rPr>
              <w:t>年目</w:t>
            </w:r>
            <w:r>
              <w:t>标</w:t>
            </w:r>
          </w:p>
        </w:tc>
        <w:tc>
          <w:tcPr>
            <w:tcW w:w="1172" w:type="pct"/>
            <w:gridSpan w:val="5"/>
            <w:vMerge w:val="continue"/>
            <w:shd w:val="clear" w:color="auto" w:fill="auto"/>
            <w:vAlign w:val="center"/>
          </w:tcPr>
          <w:p/>
        </w:tc>
        <w:tc>
          <w:tcPr>
            <w:tcW w:w="1583" w:type="pct"/>
            <w:gridSpan w:val="8"/>
            <w:vMerge w:val="continue"/>
            <w:shd w:val="clear" w:color="auto" w:fill="auto"/>
            <w:vAlign w:val="center"/>
          </w:tcPr>
          <w:p/>
        </w:tc>
        <w:tc>
          <w:tcPr>
            <w:tcW w:w="1432" w:type="pct"/>
            <w:gridSpan w:val="5"/>
            <w:vMerge w:val="continue"/>
            <w:shd w:val="clear" w:color="auto" w:fill="auto"/>
            <w:vAlign w:val="center"/>
          </w:tcPr>
          <w:p/>
        </w:tc>
        <w:tc>
          <w:tcPr>
            <w:tcW w:w="312" w:type="pct"/>
            <w:vMerge w:val="continue"/>
            <w:vAlign w:val="center"/>
          </w:tcPr>
          <w:p/>
        </w:tc>
      </w:tr>
    </w:tbl>
    <w:p>
      <w:pPr>
        <w:pStyle w:val="4"/>
        <w:rPr>
          <w:color w:val="auto"/>
        </w:rPr>
      </w:pPr>
    </w:p>
    <w:p>
      <w:pPr>
        <w:pStyle w:val="12"/>
        <w:spacing w:before="120" w:after="72"/>
        <w:rPr>
          <w:color w:val="auto"/>
        </w:rPr>
      </w:pPr>
      <w:r>
        <w:rPr>
          <w:color w:val="auto"/>
        </w:rPr>
        <w:t>表</w:t>
      </w:r>
      <w:r>
        <w:rPr>
          <w:rFonts w:hint="eastAsia"/>
          <w:color w:val="auto"/>
          <w:lang w:val="en-US" w:eastAsia="zh-CN"/>
        </w:rPr>
        <w:t>6</w:t>
      </w:r>
      <w:r>
        <w:rPr>
          <w:color w:val="auto"/>
        </w:rPr>
        <w:t>.2-</w:t>
      </w:r>
      <w:r>
        <w:rPr>
          <w:rFonts w:hint="eastAsia"/>
          <w:color w:val="auto"/>
          <w:lang w:val="en-US" w:eastAsia="zh-CN"/>
        </w:rPr>
        <w:t>3</w:t>
      </w:r>
      <w:r>
        <w:rPr>
          <w:color w:val="auto"/>
        </w:rPr>
        <w:t xml:space="preserve">  大气污染物排放总量管控限值（单位：t/a）</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3611"/>
        <w:gridCol w:w="2788"/>
        <w:gridCol w:w="2125"/>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blHeader/>
          <w:jc w:val="center"/>
        </w:trPr>
        <w:tc>
          <w:tcPr>
            <w:tcW w:w="2118" w:type="pct"/>
            <w:vMerge w:val="restart"/>
            <w:tcBorders>
              <w:tl2br w:val="nil"/>
              <w:tr2bl w:val="nil"/>
            </w:tcBorders>
            <w:vAlign w:val="center"/>
          </w:tcPr>
          <w:p>
            <w:pPr>
              <w:pStyle w:val="22"/>
              <w:rPr>
                <w:rFonts w:hint="eastAsia" w:eastAsiaTheme="minorEastAsia"/>
                <w:lang w:val="en-US" w:eastAsia="zh-CN"/>
              </w:rPr>
            </w:pPr>
            <w:r>
              <w:rPr>
                <w:rFonts w:hint="eastAsia"/>
                <w:lang w:val="en-US" w:eastAsia="zh-CN"/>
              </w:rPr>
              <w:t>污染物</w:t>
            </w:r>
          </w:p>
        </w:tc>
        <w:tc>
          <w:tcPr>
            <w:tcW w:w="2881" w:type="pct"/>
            <w:gridSpan w:val="2"/>
            <w:tcBorders>
              <w:tl2br w:val="nil"/>
              <w:tr2bl w:val="nil"/>
            </w:tcBorders>
            <w:vAlign w:val="center"/>
          </w:tcPr>
          <w:p>
            <w:pPr>
              <w:pStyle w:val="22"/>
              <w:rPr>
                <w:rFonts w:hint="default" w:eastAsiaTheme="minorEastAsia"/>
                <w:lang w:val="en-US" w:eastAsia="zh-CN"/>
              </w:rPr>
            </w:pPr>
            <w:r>
              <w:rPr>
                <w:rFonts w:hint="eastAsia"/>
                <w:lang w:val="en-US" w:eastAsia="zh-CN"/>
              </w:rPr>
              <w:t>总量控制限值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blHeader/>
          <w:jc w:val="center"/>
        </w:trPr>
        <w:tc>
          <w:tcPr>
            <w:tcW w:w="2118" w:type="pct"/>
            <w:vMerge w:val="continue"/>
            <w:tcBorders>
              <w:tl2br w:val="nil"/>
              <w:tr2bl w:val="nil"/>
            </w:tcBorders>
            <w:vAlign w:val="center"/>
          </w:tcPr>
          <w:p>
            <w:pPr>
              <w:pStyle w:val="22"/>
            </w:pPr>
          </w:p>
        </w:tc>
        <w:tc>
          <w:tcPr>
            <w:tcW w:w="1635" w:type="pct"/>
            <w:tcBorders>
              <w:tl2br w:val="nil"/>
              <w:tr2bl w:val="nil"/>
            </w:tcBorders>
            <w:vAlign w:val="center"/>
          </w:tcPr>
          <w:p>
            <w:pPr>
              <w:pStyle w:val="22"/>
            </w:pPr>
            <w:r>
              <w:t>规划近期</w:t>
            </w:r>
          </w:p>
        </w:tc>
        <w:tc>
          <w:tcPr>
            <w:tcW w:w="1246" w:type="pct"/>
            <w:tcBorders>
              <w:tl2br w:val="nil"/>
              <w:tr2bl w:val="nil"/>
            </w:tcBorders>
            <w:vAlign w:val="center"/>
          </w:tcPr>
          <w:p>
            <w:pPr>
              <w:pStyle w:val="22"/>
            </w:pPr>
            <w:r>
              <w:t>规划远期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hint="eastAsia" w:eastAsiaTheme="minorEastAsia"/>
                <w:lang w:val="en-US" w:eastAsia="zh-CN"/>
              </w:rPr>
            </w:pPr>
            <w:r>
              <w:rPr>
                <w:rFonts w:hint="eastAsia"/>
                <w:lang w:val="en-US" w:eastAsia="zh-CN"/>
              </w:rPr>
              <w:t>颗粒物</w:t>
            </w:r>
          </w:p>
        </w:tc>
        <w:tc>
          <w:tcPr>
            <w:tcW w:w="3021" w:type="dxa"/>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 xml:space="preserve">13.41 </w:t>
            </w:r>
          </w:p>
        </w:tc>
        <w:tc>
          <w:tcPr>
            <w:tcW w:w="2302" w:type="dxa"/>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 xml:space="preserve">21.78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hint="eastAsia"/>
                <w:lang w:val="en-US" w:eastAsia="zh-CN"/>
              </w:rPr>
            </w:pPr>
            <w:r>
              <w:t>SO</w:t>
            </w:r>
            <w:r>
              <w:rPr>
                <w:vertAlign w:val="subscript"/>
              </w:rPr>
              <w:t>2</w:t>
            </w:r>
          </w:p>
        </w:tc>
        <w:tc>
          <w:tcPr>
            <w:tcW w:w="30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230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16.53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pPr>
            <w:r>
              <w:t>氮氧化物</w:t>
            </w:r>
          </w:p>
        </w:tc>
        <w:tc>
          <w:tcPr>
            <w:tcW w:w="302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6.51 </w:t>
            </w:r>
          </w:p>
        </w:tc>
        <w:tc>
          <w:tcPr>
            <w:tcW w:w="230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12.08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pPr>
            <w:r>
              <w:t>VOCs（以非甲烷总烃计）</w:t>
            </w:r>
          </w:p>
        </w:tc>
        <w:tc>
          <w:tcPr>
            <w:tcW w:w="3021" w:type="dxa"/>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 xml:space="preserve">11.21 </w:t>
            </w:r>
          </w:p>
        </w:tc>
        <w:tc>
          <w:tcPr>
            <w:tcW w:w="2302" w:type="dxa"/>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 xml:space="preserve">16.96 </w:t>
            </w:r>
          </w:p>
        </w:tc>
      </w:tr>
    </w:tbl>
    <w:p>
      <w:pPr>
        <w:pStyle w:val="21"/>
        <w:bidi w:val="0"/>
        <w:rPr>
          <w:rFonts w:hint="eastAsia"/>
          <w:color w:val="auto"/>
        </w:rPr>
      </w:pPr>
    </w:p>
    <w:p>
      <w:pPr>
        <w:pStyle w:val="12"/>
        <w:bidi w:val="0"/>
        <w:rPr>
          <w:color w:val="auto"/>
        </w:rPr>
      </w:pPr>
      <w:r>
        <w:rPr>
          <w:color w:val="auto"/>
        </w:rPr>
        <w:t>表</w:t>
      </w:r>
      <w:r>
        <w:rPr>
          <w:rFonts w:hint="eastAsia"/>
          <w:color w:val="auto"/>
          <w:lang w:val="en-US" w:eastAsia="zh-CN"/>
        </w:rPr>
        <w:t>6</w:t>
      </w:r>
      <w:r>
        <w:rPr>
          <w:color w:val="auto"/>
        </w:rPr>
        <w:t>.2-</w:t>
      </w:r>
      <w:r>
        <w:rPr>
          <w:rFonts w:hint="eastAsia"/>
          <w:color w:val="auto"/>
          <w:lang w:val="en-US" w:eastAsia="zh-CN"/>
        </w:rPr>
        <w:t>4</w:t>
      </w:r>
      <w:r>
        <w:rPr>
          <w:rFonts w:hint="eastAsia"/>
          <w:color w:val="auto"/>
        </w:rPr>
        <w:t xml:space="preserve">  </w:t>
      </w:r>
      <w:r>
        <w:rPr>
          <w:color w:val="auto"/>
        </w:rPr>
        <w:t>水环境质量底线</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62"/>
        <w:gridCol w:w="1641"/>
        <w:gridCol w:w="1581"/>
        <w:gridCol w:w="1839"/>
        <w:gridCol w:w="1165"/>
        <w:gridCol w:w="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39" w:type="pct"/>
            <w:gridSpan w:val="5"/>
            <w:shd w:val="clear" w:color="auto" w:fill="auto"/>
            <w:vAlign w:val="center"/>
          </w:tcPr>
          <w:p>
            <w:pPr>
              <w:pStyle w:val="22"/>
              <w:bidi w:val="0"/>
            </w:pPr>
            <w:r>
              <w:t>水环境质量</w:t>
            </w:r>
          </w:p>
        </w:tc>
        <w:tc>
          <w:tcPr>
            <w:tcW w:w="683" w:type="pct"/>
            <w:vMerge w:val="restart"/>
            <w:vAlign w:val="center"/>
          </w:tcPr>
          <w:p>
            <w:pPr>
              <w:pStyle w:val="22"/>
              <w:bidi w:val="0"/>
            </w:pPr>
            <w:r>
              <w:t>备注</w:t>
            </w:r>
          </w:p>
        </w:tc>
        <w:tc>
          <w:tcPr>
            <w:tcW w:w="476" w:type="pct"/>
            <w:vMerge w:val="restart"/>
            <w:vAlign w:val="center"/>
          </w:tcPr>
          <w:p>
            <w:pPr>
              <w:pStyle w:val="22"/>
              <w:bidi w:val="0"/>
            </w:pPr>
            <w:r>
              <w:t>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49" w:type="pct"/>
            <w:shd w:val="clear" w:color="auto" w:fill="auto"/>
            <w:vAlign w:val="center"/>
          </w:tcPr>
          <w:p>
            <w:pPr>
              <w:pStyle w:val="22"/>
              <w:bidi w:val="0"/>
            </w:pPr>
            <w:r>
              <w:t>序号</w:t>
            </w:r>
          </w:p>
        </w:tc>
        <w:tc>
          <w:tcPr>
            <w:tcW w:w="623" w:type="pct"/>
            <w:shd w:val="clear" w:color="auto" w:fill="auto"/>
            <w:vAlign w:val="center"/>
          </w:tcPr>
          <w:p>
            <w:pPr>
              <w:pStyle w:val="22"/>
              <w:bidi w:val="0"/>
            </w:pPr>
            <w:r>
              <w:t>所在流域水体</w:t>
            </w:r>
          </w:p>
        </w:tc>
        <w:tc>
          <w:tcPr>
            <w:tcW w:w="962" w:type="pct"/>
            <w:shd w:val="clear" w:color="auto" w:fill="auto"/>
            <w:vAlign w:val="center"/>
          </w:tcPr>
          <w:p>
            <w:pPr>
              <w:pStyle w:val="22"/>
              <w:bidi w:val="0"/>
            </w:pPr>
            <w:r>
              <w:t>断面名称</w:t>
            </w:r>
          </w:p>
        </w:tc>
        <w:tc>
          <w:tcPr>
            <w:tcW w:w="927" w:type="pct"/>
            <w:shd w:val="clear" w:color="auto" w:fill="auto"/>
            <w:vAlign w:val="center"/>
          </w:tcPr>
          <w:p>
            <w:pPr>
              <w:pStyle w:val="22"/>
              <w:bidi w:val="0"/>
            </w:pPr>
            <w:r>
              <w:t>水质现状</w:t>
            </w:r>
          </w:p>
        </w:tc>
        <w:tc>
          <w:tcPr>
            <w:tcW w:w="1077" w:type="pct"/>
            <w:shd w:val="clear" w:color="auto" w:fill="auto"/>
            <w:vAlign w:val="center"/>
          </w:tcPr>
          <w:p>
            <w:pPr>
              <w:pStyle w:val="22"/>
              <w:bidi w:val="0"/>
            </w:pPr>
            <w:r>
              <w:t>规划期（2030年）水质目标</w:t>
            </w:r>
          </w:p>
        </w:tc>
        <w:tc>
          <w:tcPr>
            <w:tcW w:w="683" w:type="pct"/>
            <w:vMerge w:val="continue"/>
            <w:vAlign w:val="center"/>
          </w:tcPr>
          <w:p>
            <w:pPr>
              <w:pStyle w:val="22"/>
              <w:bidi w:val="0"/>
            </w:pPr>
          </w:p>
        </w:tc>
        <w:tc>
          <w:tcPr>
            <w:tcW w:w="476" w:type="pct"/>
            <w:vMerge w:val="continue"/>
            <w:vAlign w:val="center"/>
          </w:tcPr>
          <w:p>
            <w:pPr>
              <w:pStyle w:val="22"/>
              <w:bidi w:val="0"/>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9" w:type="pct"/>
            <w:shd w:val="clear" w:color="auto" w:fill="auto"/>
            <w:vAlign w:val="center"/>
          </w:tcPr>
          <w:p>
            <w:pPr>
              <w:pStyle w:val="21"/>
              <w:bidi w:val="0"/>
            </w:pPr>
            <w:r>
              <w:t>1</w:t>
            </w:r>
          </w:p>
        </w:tc>
        <w:tc>
          <w:tcPr>
            <w:tcW w:w="623" w:type="pct"/>
            <w:shd w:val="clear" w:color="auto" w:fill="auto"/>
            <w:vAlign w:val="center"/>
          </w:tcPr>
          <w:p>
            <w:pPr>
              <w:pStyle w:val="21"/>
              <w:bidi w:val="0"/>
              <w:rPr>
                <w:rFonts w:hint="default" w:eastAsiaTheme="minorEastAsia"/>
                <w:lang w:val="en-US" w:eastAsia="zh-CN"/>
              </w:rPr>
            </w:pPr>
            <w:r>
              <w:rPr>
                <w:rFonts w:hint="eastAsia"/>
                <w:lang w:val="en-US" w:eastAsia="zh-CN"/>
              </w:rPr>
              <w:t>栟茶运河</w:t>
            </w:r>
          </w:p>
        </w:tc>
        <w:tc>
          <w:tcPr>
            <w:tcW w:w="962" w:type="pct"/>
            <w:shd w:val="clear" w:color="auto" w:fill="auto"/>
            <w:vAlign w:val="center"/>
          </w:tcPr>
          <w:p>
            <w:pPr>
              <w:pStyle w:val="21"/>
              <w:bidi w:val="0"/>
            </w:pPr>
            <w:r>
              <w:rPr>
                <w:rFonts w:hint="eastAsia"/>
              </w:rPr>
              <w:t>栟茶河大桥</w:t>
            </w:r>
          </w:p>
        </w:tc>
        <w:tc>
          <w:tcPr>
            <w:tcW w:w="927" w:type="pct"/>
            <w:shd w:val="clear" w:color="auto" w:fill="auto"/>
            <w:vAlign w:val="center"/>
          </w:tcPr>
          <w:p>
            <w:pPr>
              <w:pStyle w:val="21"/>
              <w:bidi w:val="0"/>
            </w:pPr>
            <w:r>
              <w:t>不稳定达标</w:t>
            </w:r>
          </w:p>
        </w:tc>
        <w:tc>
          <w:tcPr>
            <w:tcW w:w="1077" w:type="pct"/>
            <w:vMerge w:val="restart"/>
            <w:shd w:val="clear" w:color="auto" w:fill="auto"/>
            <w:vAlign w:val="center"/>
          </w:tcPr>
          <w:p>
            <w:pPr>
              <w:pStyle w:val="21"/>
              <w:bidi w:val="0"/>
            </w:pPr>
            <w:r>
              <w:t>III类</w:t>
            </w:r>
          </w:p>
        </w:tc>
        <w:tc>
          <w:tcPr>
            <w:tcW w:w="683" w:type="pct"/>
            <w:vAlign w:val="center"/>
          </w:tcPr>
          <w:p>
            <w:pPr>
              <w:pStyle w:val="21"/>
              <w:bidi w:val="0"/>
            </w:pPr>
            <w:r>
              <w:rPr>
                <w:rFonts w:hint="eastAsia"/>
              </w:rPr>
              <w:t>规划区外</w:t>
            </w:r>
          </w:p>
        </w:tc>
        <w:tc>
          <w:tcPr>
            <w:tcW w:w="476" w:type="pct"/>
            <w:vMerge w:val="restart"/>
            <w:vAlign w:val="center"/>
          </w:tcPr>
          <w:p>
            <w:pPr>
              <w:pStyle w:val="21"/>
              <w:bidi w:val="0"/>
            </w:pPr>
            <w:r>
              <w:t>重点管控区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9" w:type="pct"/>
            <w:shd w:val="clear" w:color="auto" w:fill="auto"/>
            <w:vAlign w:val="center"/>
          </w:tcPr>
          <w:p>
            <w:pPr>
              <w:pStyle w:val="21"/>
              <w:bidi w:val="0"/>
            </w:pPr>
            <w:r>
              <w:t>2</w:t>
            </w:r>
          </w:p>
        </w:tc>
        <w:tc>
          <w:tcPr>
            <w:tcW w:w="623" w:type="pct"/>
            <w:shd w:val="clear" w:color="auto" w:fill="auto"/>
            <w:vAlign w:val="center"/>
          </w:tcPr>
          <w:p>
            <w:pPr>
              <w:pStyle w:val="21"/>
              <w:bidi w:val="0"/>
              <w:rPr>
                <w:rFonts w:hint="default" w:eastAsiaTheme="minorEastAsia"/>
                <w:lang w:val="en-US" w:eastAsia="zh-CN"/>
              </w:rPr>
            </w:pPr>
            <w:r>
              <w:rPr>
                <w:rFonts w:hint="eastAsia"/>
                <w:lang w:val="en-US" w:eastAsia="zh-CN"/>
              </w:rPr>
              <w:t>海南中心河</w:t>
            </w:r>
          </w:p>
        </w:tc>
        <w:tc>
          <w:tcPr>
            <w:tcW w:w="962" w:type="pct"/>
            <w:shd w:val="clear" w:color="auto" w:fill="auto"/>
            <w:vAlign w:val="center"/>
          </w:tcPr>
          <w:p>
            <w:pPr>
              <w:pStyle w:val="21"/>
              <w:bidi w:val="0"/>
              <w:rPr>
                <w:rFonts w:hint="eastAsia" w:eastAsiaTheme="minorEastAsia"/>
                <w:lang w:eastAsia="zh-CN"/>
              </w:rPr>
            </w:pPr>
            <w:r>
              <w:rPr>
                <w:rFonts w:hint="eastAsia"/>
                <w:lang w:val="en-US" w:eastAsia="zh-CN"/>
              </w:rPr>
              <w:t>/</w:t>
            </w:r>
          </w:p>
        </w:tc>
        <w:tc>
          <w:tcPr>
            <w:tcW w:w="927" w:type="pct"/>
            <w:shd w:val="clear" w:color="auto" w:fill="auto"/>
            <w:vAlign w:val="center"/>
          </w:tcPr>
          <w:p>
            <w:pPr>
              <w:pStyle w:val="21"/>
              <w:bidi w:val="0"/>
            </w:pPr>
            <w:r>
              <w:t>不稳定达标</w:t>
            </w:r>
          </w:p>
        </w:tc>
        <w:tc>
          <w:tcPr>
            <w:tcW w:w="1077" w:type="pct"/>
            <w:vMerge w:val="continue"/>
            <w:shd w:val="clear" w:color="auto" w:fill="auto"/>
            <w:vAlign w:val="center"/>
          </w:tcPr>
          <w:p>
            <w:pPr>
              <w:pStyle w:val="21"/>
              <w:bidi w:val="0"/>
            </w:pPr>
          </w:p>
        </w:tc>
        <w:tc>
          <w:tcPr>
            <w:tcW w:w="683" w:type="pct"/>
            <w:vAlign w:val="center"/>
          </w:tcPr>
          <w:p>
            <w:pPr>
              <w:pStyle w:val="21"/>
              <w:bidi w:val="0"/>
            </w:pPr>
            <w:r>
              <w:rPr>
                <w:rFonts w:hint="eastAsia"/>
              </w:rPr>
              <w:t>规划区外</w:t>
            </w:r>
          </w:p>
        </w:tc>
        <w:tc>
          <w:tcPr>
            <w:tcW w:w="476" w:type="pct"/>
            <w:vMerge w:val="continue"/>
            <w:vAlign w:val="center"/>
          </w:tcPr>
          <w:p>
            <w:pPr>
              <w:pStyle w:val="21"/>
              <w:bidi w:val="0"/>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9" w:type="pct"/>
            <w:shd w:val="clear" w:color="auto" w:fill="auto"/>
            <w:vAlign w:val="center"/>
          </w:tcPr>
          <w:p>
            <w:pPr>
              <w:pStyle w:val="21"/>
              <w:bidi w:val="0"/>
            </w:pPr>
            <w:r>
              <w:t>3</w:t>
            </w:r>
          </w:p>
        </w:tc>
        <w:tc>
          <w:tcPr>
            <w:tcW w:w="623" w:type="pct"/>
            <w:shd w:val="clear" w:color="auto" w:fill="auto"/>
            <w:vAlign w:val="center"/>
          </w:tcPr>
          <w:p>
            <w:pPr>
              <w:pStyle w:val="21"/>
              <w:bidi w:val="0"/>
              <w:rPr>
                <w:rFonts w:hint="default" w:ascii="Times New Roman" w:hAnsi="Times New Roman" w:eastAsiaTheme="minorEastAsia" w:cstheme="minorBidi"/>
                <w:kern w:val="2"/>
                <w:sz w:val="21"/>
                <w:szCs w:val="24"/>
                <w:lang w:val="en-US" w:eastAsia="zh-CN" w:bidi="ar-SA"/>
              </w:rPr>
            </w:pPr>
            <w:r>
              <w:rPr>
                <w:rFonts w:hint="eastAsia"/>
                <w:lang w:val="en-US" w:eastAsia="zh-CN"/>
              </w:rPr>
              <w:t>如何运河</w:t>
            </w:r>
          </w:p>
        </w:tc>
        <w:tc>
          <w:tcPr>
            <w:tcW w:w="962" w:type="pct"/>
            <w:shd w:val="clear" w:color="auto" w:fill="auto"/>
            <w:vAlign w:val="center"/>
          </w:tcPr>
          <w:p>
            <w:pPr>
              <w:pStyle w:val="21"/>
              <w:bidi w:val="0"/>
              <w:rPr>
                <w:rFonts w:hint="eastAsia" w:eastAsiaTheme="minorEastAsia"/>
                <w:lang w:eastAsia="zh-CN"/>
              </w:rPr>
            </w:pPr>
            <w:r>
              <w:rPr>
                <w:rFonts w:hint="eastAsia"/>
              </w:rPr>
              <w:t>江海西路桥</w:t>
            </w:r>
            <w:r>
              <w:rPr>
                <w:rFonts w:hint="eastAsia"/>
                <w:lang w:val="en-US" w:eastAsia="zh-CN"/>
              </w:rPr>
              <w:t>/向阳桥</w:t>
            </w:r>
          </w:p>
        </w:tc>
        <w:tc>
          <w:tcPr>
            <w:tcW w:w="927" w:type="pct"/>
            <w:shd w:val="clear" w:color="auto" w:fill="auto"/>
            <w:vAlign w:val="center"/>
          </w:tcPr>
          <w:p>
            <w:pPr>
              <w:pStyle w:val="21"/>
              <w:bidi w:val="0"/>
            </w:pPr>
            <w:r>
              <w:t>不稳定达标</w:t>
            </w:r>
          </w:p>
        </w:tc>
        <w:tc>
          <w:tcPr>
            <w:tcW w:w="1077" w:type="pct"/>
            <w:vMerge w:val="continue"/>
            <w:shd w:val="clear" w:color="auto" w:fill="auto"/>
            <w:vAlign w:val="center"/>
          </w:tcPr>
          <w:p>
            <w:pPr>
              <w:pStyle w:val="21"/>
              <w:bidi w:val="0"/>
            </w:pPr>
          </w:p>
        </w:tc>
        <w:tc>
          <w:tcPr>
            <w:tcW w:w="683" w:type="pct"/>
            <w:vAlign w:val="center"/>
          </w:tcPr>
          <w:p>
            <w:pPr>
              <w:pStyle w:val="21"/>
              <w:bidi w:val="0"/>
              <w:rPr>
                <w:rFonts w:hint="eastAsia" w:eastAsiaTheme="minorEastAsia"/>
                <w:lang w:eastAsia="zh-CN"/>
              </w:rPr>
            </w:pPr>
            <w:r>
              <w:rPr>
                <w:rFonts w:hint="eastAsia"/>
              </w:rPr>
              <w:t>规划区</w:t>
            </w:r>
            <w:r>
              <w:rPr>
                <w:rFonts w:hint="eastAsia"/>
                <w:lang w:val="en-US" w:eastAsia="zh-CN"/>
              </w:rPr>
              <w:t>内</w:t>
            </w:r>
          </w:p>
        </w:tc>
        <w:tc>
          <w:tcPr>
            <w:tcW w:w="476" w:type="pct"/>
            <w:vMerge w:val="continue"/>
            <w:vAlign w:val="center"/>
          </w:tcPr>
          <w:p>
            <w:pPr>
              <w:pStyle w:val="21"/>
              <w:bidi w:val="0"/>
            </w:pPr>
          </w:p>
        </w:tc>
      </w:tr>
    </w:tbl>
    <w:p>
      <w:pPr>
        <w:pStyle w:val="4"/>
      </w:pPr>
    </w:p>
    <w:p>
      <w:pPr>
        <w:pStyle w:val="12"/>
        <w:bidi w:val="0"/>
        <w:rPr>
          <w:color w:val="auto"/>
        </w:rPr>
      </w:pPr>
      <w:r>
        <w:rPr>
          <w:color w:val="auto"/>
        </w:rPr>
        <w:t>表</w:t>
      </w:r>
      <w:r>
        <w:rPr>
          <w:rFonts w:hint="eastAsia"/>
          <w:color w:val="auto"/>
          <w:lang w:val="en-US" w:eastAsia="zh-CN"/>
        </w:rPr>
        <w:t>6</w:t>
      </w:r>
      <w:r>
        <w:rPr>
          <w:color w:val="auto"/>
        </w:rPr>
        <w:t>.2-</w:t>
      </w:r>
      <w:r>
        <w:rPr>
          <w:rFonts w:hint="eastAsia"/>
          <w:color w:val="auto"/>
          <w:lang w:val="en-US" w:eastAsia="zh-CN"/>
        </w:rPr>
        <w:t>5</w:t>
      </w:r>
      <w:r>
        <w:rPr>
          <w:color w:val="auto"/>
        </w:rPr>
        <w:t xml:space="preserve">  水污染物排放总量管控限值（单位：t/a）</w:t>
      </w:r>
    </w:p>
    <w:tbl>
      <w:tblPr>
        <w:tblStyle w:val="18"/>
        <w:tblW w:w="499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3609"/>
        <w:gridCol w:w="2787"/>
        <w:gridCol w:w="2124"/>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blHeader/>
          <w:jc w:val="center"/>
        </w:trPr>
        <w:tc>
          <w:tcPr>
            <w:tcW w:w="2118" w:type="pct"/>
            <w:vMerge w:val="restart"/>
            <w:tcBorders>
              <w:tl2br w:val="nil"/>
              <w:tr2bl w:val="nil"/>
            </w:tcBorders>
            <w:vAlign w:val="center"/>
          </w:tcPr>
          <w:p>
            <w:pPr>
              <w:pStyle w:val="22"/>
              <w:rPr>
                <w:rFonts w:hint="eastAsia" w:eastAsiaTheme="minorEastAsia"/>
                <w:lang w:val="en-US" w:eastAsia="zh-CN"/>
              </w:rPr>
            </w:pPr>
            <w:r>
              <w:rPr>
                <w:rFonts w:hint="eastAsia"/>
                <w:lang w:val="en-US" w:eastAsia="zh-CN"/>
              </w:rPr>
              <w:t>污染物</w:t>
            </w:r>
          </w:p>
        </w:tc>
        <w:tc>
          <w:tcPr>
            <w:tcW w:w="2881" w:type="pct"/>
            <w:gridSpan w:val="2"/>
            <w:tcBorders>
              <w:tl2br w:val="nil"/>
              <w:tr2bl w:val="nil"/>
            </w:tcBorders>
            <w:vAlign w:val="center"/>
          </w:tcPr>
          <w:p>
            <w:pPr>
              <w:pStyle w:val="22"/>
              <w:rPr>
                <w:rFonts w:hint="default" w:eastAsiaTheme="minorEastAsia"/>
                <w:lang w:val="en-US" w:eastAsia="zh-CN"/>
              </w:rPr>
            </w:pPr>
            <w:r>
              <w:rPr>
                <w:rFonts w:hint="eastAsia"/>
                <w:lang w:val="en-US" w:eastAsia="zh-CN"/>
              </w:rPr>
              <w:t>总量控制限值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blHeader/>
          <w:jc w:val="center"/>
        </w:trPr>
        <w:tc>
          <w:tcPr>
            <w:tcW w:w="2118" w:type="pct"/>
            <w:vMerge w:val="continue"/>
            <w:tcBorders>
              <w:tl2br w:val="nil"/>
              <w:tr2bl w:val="nil"/>
            </w:tcBorders>
            <w:vAlign w:val="center"/>
          </w:tcPr>
          <w:p>
            <w:pPr>
              <w:pStyle w:val="22"/>
            </w:pPr>
          </w:p>
        </w:tc>
        <w:tc>
          <w:tcPr>
            <w:tcW w:w="1635" w:type="pct"/>
            <w:tcBorders>
              <w:tl2br w:val="nil"/>
              <w:tr2bl w:val="nil"/>
            </w:tcBorders>
            <w:vAlign w:val="center"/>
          </w:tcPr>
          <w:p>
            <w:pPr>
              <w:pStyle w:val="22"/>
            </w:pPr>
            <w:r>
              <w:t>规划近期</w:t>
            </w:r>
          </w:p>
        </w:tc>
        <w:tc>
          <w:tcPr>
            <w:tcW w:w="1246" w:type="pct"/>
            <w:tcBorders>
              <w:tl2br w:val="nil"/>
              <w:tr2bl w:val="nil"/>
            </w:tcBorders>
            <w:vAlign w:val="center"/>
          </w:tcPr>
          <w:p>
            <w:pPr>
              <w:pStyle w:val="22"/>
            </w:pPr>
            <w:r>
              <w:t>规划远期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hint="eastAsia" w:eastAsiaTheme="minorEastAsia"/>
                <w:lang w:val="en-US" w:eastAsia="zh-CN"/>
              </w:rPr>
            </w:pPr>
            <w:r>
              <w:t>COD</w:t>
            </w:r>
          </w:p>
        </w:tc>
        <w:tc>
          <w:tcPr>
            <w:tcW w:w="1635" w:type="pct"/>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30.34 </w:t>
            </w:r>
          </w:p>
        </w:tc>
        <w:tc>
          <w:tcPr>
            <w:tcW w:w="1246" w:type="pct"/>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39.36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hint="eastAsia"/>
                <w:lang w:val="en-US" w:eastAsia="zh-CN"/>
              </w:rPr>
            </w:pPr>
            <w:r>
              <w:t>氨氮</w:t>
            </w:r>
          </w:p>
        </w:tc>
        <w:tc>
          <w:tcPr>
            <w:tcW w:w="16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24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ascii="Times New Roman" w:hAnsi="Times New Roman" w:eastAsiaTheme="minorEastAsia" w:cstheme="minorBidi"/>
                <w:kern w:val="2"/>
                <w:sz w:val="21"/>
                <w:szCs w:val="24"/>
                <w:lang w:val="en-US" w:eastAsia="zh-CN" w:bidi="ar-SA"/>
              </w:rPr>
            </w:pPr>
            <w:r>
              <w:t>TP</w:t>
            </w:r>
          </w:p>
        </w:tc>
        <w:tc>
          <w:tcPr>
            <w:tcW w:w="1635" w:type="pct"/>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40.88 </w:t>
            </w:r>
          </w:p>
        </w:tc>
        <w:tc>
          <w:tcPr>
            <w:tcW w:w="1246" w:type="pct"/>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 xml:space="preserve">50.00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2118" w:type="pct"/>
            <w:tcBorders>
              <w:tl2br w:val="nil"/>
              <w:tr2bl w:val="nil"/>
            </w:tcBorders>
            <w:vAlign w:val="center"/>
          </w:tcPr>
          <w:p>
            <w:pPr>
              <w:pStyle w:val="21"/>
              <w:rPr>
                <w:rFonts w:hint="eastAsia" w:eastAsiaTheme="minorEastAsia"/>
                <w:lang w:val="en-US" w:eastAsia="zh-CN"/>
              </w:rPr>
            </w:pPr>
            <w:r>
              <w:rPr>
                <w:rFonts w:hint="eastAsia"/>
                <w:lang w:val="en-US" w:eastAsia="zh-CN"/>
              </w:rPr>
              <w:t>总铬</w:t>
            </w:r>
          </w:p>
        </w:tc>
        <w:tc>
          <w:tcPr>
            <w:tcW w:w="16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24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pPr>
        <w:pStyle w:val="4"/>
        <w:rPr>
          <w:rFonts w:hint="eastAsia"/>
          <w:color w:val="auto"/>
        </w:rPr>
      </w:pPr>
    </w:p>
    <w:p>
      <w:pPr>
        <w:pStyle w:val="5"/>
        <w:rPr>
          <w:color w:val="auto"/>
        </w:rPr>
      </w:pPr>
      <w:r>
        <w:rPr>
          <w:rFonts w:hint="eastAsia"/>
          <w:color w:val="auto"/>
        </w:rPr>
        <w:t>资源利用上限</w:t>
      </w:r>
    </w:p>
    <w:p>
      <w:pPr>
        <w:pStyle w:val="4"/>
        <w:ind w:firstLine="480"/>
      </w:pPr>
      <w:r>
        <w:rPr>
          <w:rFonts w:hint="eastAsia"/>
        </w:rPr>
        <w:t>根据</w:t>
      </w:r>
      <w:r>
        <w:rPr>
          <w:rFonts w:hint="eastAsia"/>
          <w:lang w:val="en-US" w:eastAsia="zh-CN"/>
        </w:rPr>
        <w:t>园区</w:t>
      </w:r>
      <w:r>
        <w:rPr>
          <w:rFonts w:hint="eastAsia"/>
        </w:rPr>
        <w:t>产业定位设定园区水资源利用上线指标，根据土地资源承载力分析，确定园区土地利用上限</w:t>
      </w:r>
      <w:r>
        <w:rPr>
          <w:rFonts w:hint="eastAsia"/>
          <w:lang w:eastAsia="zh-CN"/>
        </w:rPr>
        <w:t>，</w:t>
      </w:r>
      <w:r>
        <w:t>根据《市政府办公室关于印发</w:t>
      </w:r>
      <w:r>
        <w:rPr>
          <w:rFonts w:hint="eastAsia"/>
        </w:rPr>
        <w:t>南通市“三线一单”生态环境分区管控实施方案的通知》（通政办</w:t>
      </w:r>
      <w:r>
        <w:rPr>
          <w:rFonts w:cs="Times New Roman"/>
        </w:rPr>
        <w:t>规[2021]4号），参</w:t>
      </w:r>
      <w:bookmarkStart w:id="36" w:name="_Hlk535592525"/>
      <w:r>
        <w:rPr>
          <w:rFonts w:cs="Times New Roman"/>
        </w:rPr>
        <w:t>考《南通市“三线一单”研究报告》，</w:t>
      </w:r>
      <w:r>
        <w:rPr>
          <w:rFonts w:hint="eastAsia" w:cs="Times New Roman"/>
          <w:lang w:val="en-US" w:eastAsia="zh-CN"/>
        </w:rPr>
        <w:t>规划园区</w:t>
      </w:r>
      <w:r>
        <w:rPr>
          <w:rFonts w:cs="Times New Roman"/>
        </w:rPr>
        <w:t>全域属于禁燃区，</w:t>
      </w:r>
      <w:bookmarkEnd w:id="36"/>
      <w:r>
        <w:rPr>
          <w:rFonts w:cs="Times New Roman"/>
        </w:rPr>
        <w:t>以此为基础提出能源利用上限</w:t>
      </w:r>
      <w:r>
        <w:rPr>
          <w:rFonts w:hint="eastAsia" w:cs="Times New Roman"/>
          <w:lang w:eastAsia="zh-CN"/>
        </w:rPr>
        <w:t>，</w:t>
      </w:r>
      <w:r>
        <w:rPr>
          <w:rFonts w:hint="eastAsia"/>
        </w:rPr>
        <w:t>详见表</w:t>
      </w:r>
      <w:r>
        <w:rPr>
          <w:rFonts w:hint="eastAsia"/>
          <w:lang w:val="en-US" w:eastAsia="zh-CN"/>
        </w:rPr>
        <w:t>6.2.</w:t>
      </w:r>
      <w:r>
        <w:rPr>
          <w:rFonts w:hint="eastAsia"/>
        </w:rPr>
        <w:t>3-1。</w:t>
      </w:r>
    </w:p>
    <w:p>
      <w:pPr>
        <w:pStyle w:val="12"/>
        <w:spacing w:before="120" w:after="72"/>
      </w:pPr>
      <w:r>
        <w:rPr>
          <w:rFonts w:hint="eastAsia"/>
        </w:rPr>
        <w:t>表</w:t>
      </w:r>
      <w:r>
        <w:rPr>
          <w:rFonts w:hint="eastAsia"/>
          <w:lang w:val="en-US" w:eastAsia="zh-CN"/>
        </w:rPr>
        <w:t>6.2</w:t>
      </w:r>
      <w:r>
        <w:rPr>
          <w:rFonts w:hint="eastAsia"/>
        </w:rPr>
        <w:t>.3-1  资源利用上限清单</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361"/>
        <w:gridCol w:w="1951"/>
        <w:gridCol w:w="20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634" w:type="pct"/>
            <w:gridSpan w:val="2"/>
            <w:shd w:val="clear" w:color="auto" w:fill="auto"/>
            <w:vAlign w:val="center"/>
          </w:tcPr>
          <w:p>
            <w:pPr>
              <w:pStyle w:val="22"/>
            </w:pPr>
            <w:r>
              <w:t>项目</w:t>
            </w:r>
          </w:p>
        </w:tc>
        <w:tc>
          <w:tcPr>
            <w:tcW w:w="1144" w:type="pct"/>
            <w:shd w:val="clear" w:color="auto" w:fill="auto"/>
            <w:vAlign w:val="center"/>
          </w:tcPr>
          <w:p>
            <w:pPr>
              <w:pStyle w:val="22"/>
            </w:pPr>
            <w:r>
              <w:t>规划近期</w:t>
            </w:r>
          </w:p>
        </w:tc>
        <w:tc>
          <w:tcPr>
            <w:tcW w:w="1221" w:type="pct"/>
          </w:tcPr>
          <w:p>
            <w:pPr>
              <w:pStyle w:val="22"/>
            </w:pPr>
            <w:r>
              <w:t>规划远期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shd w:val="clear" w:color="auto" w:fill="auto"/>
            <w:vAlign w:val="center"/>
          </w:tcPr>
          <w:p>
            <w:pPr>
              <w:pStyle w:val="21"/>
            </w:pPr>
            <w:r>
              <w:t>水资源利用上限</w:t>
            </w:r>
          </w:p>
        </w:tc>
        <w:tc>
          <w:tcPr>
            <w:tcW w:w="1384" w:type="pct"/>
            <w:shd w:val="clear" w:color="auto" w:fill="auto"/>
            <w:vAlign w:val="center"/>
          </w:tcPr>
          <w:p>
            <w:pPr>
              <w:pStyle w:val="21"/>
            </w:pPr>
            <w:r>
              <w:t>用水总量上限</w:t>
            </w:r>
          </w:p>
        </w:tc>
        <w:tc>
          <w:tcPr>
            <w:tcW w:w="1144" w:type="pct"/>
            <w:shd w:val="clear" w:color="auto" w:fill="auto"/>
            <w:vAlign w:val="center"/>
          </w:tcPr>
          <w:p>
            <w:pPr>
              <w:pStyle w:val="21"/>
              <w:rPr>
                <w:color w:val="auto"/>
              </w:rPr>
            </w:pPr>
            <w:r>
              <w:rPr>
                <w:rFonts w:hint="eastAsia"/>
                <w:color w:val="auto"/>
                <w:lang w:val="en-US" w:eastAsia="zh-CN"/>
              </w:rPr>
              <w:t>160</w:t>
            </w:r>
            <w:r>
              <w:rPr>
                <w:color w:val="auto"/>
              </w:rPr>
              <w:t>万吨/年</w:t>
            </w:r>
          </w:p>
        </w:tc>
        <w:tc>
          <w:tcPr>
            <w:tcW w:w="1221" w:type="pct"/>
          </w:tcPr>
          <w:p>
            <w:pPr>
              <w:pStyle w:val="21"/>
              <w:rPr>
                <w:color w:val="auto"/>
              </w:rPr>
            </w:pPr>
            <w:r>
              <w:rPr>
                <w:rFonts w:hint="eastAsia"/>
                <w:color w:val="auto"/>
                <w:lang w:val="en-US" w:eastAsia="zh-CN"/>
              </w:rPr>
              <w:t>390</w:t>
            </w:r>
            <w:r>
              <w:rPr>
                <w:color w:val="auto"/>
              </w:rPr>
              <w:t>万吨/年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shd w:val="clear" w:color="auto" w:fill="auto"/>
            <w:vAlign w:val="center"/>
          </w:tcPr>
          <w:p>
            <w:pPr>
              <w:pStyle w:val="21"/>
            </w:pPr>
          </w:p>
        </w:tc>
        <w:tc>
          <w:tcPr>
            <w:tcW w:w="1384" w:type="pct"/>
            <w:shd w:val="clear" w:color="auto" w:fill="auto"/>
            <w:vAlign w:val="center"/>
          </w:tcPr>
          <w:p>
            <w:pPr>
              <w:pStyle w:val="21"/>
            </w:pPr>
            <w:r>
              <w:t>工业用水量上限</w:t>
            </w:r>
          </w:p>
        </w:tc>
        <w:tc>
          <w:tcPr>
            <w:tcW w:w="1144" w:type="pct"/>
            <w:shd w:val="clear" w:color="auto" w:fill="auto"/>
            <w:vAlign w:val="center"/>
          </w:tcPr>
          <w:p>
            <w:pPr>
              <w:pStyle w:val="21"/>
              <w:rPr>
                <w:color w:val="auto"/>
              </w:rPr>
            </w:pPr>
            <w:r>
              <w:rPr>
                <w:rFonts w:hint="eastAsia"/>
                <w:color w:val="auto"/>
                <w:lang w:val="en-US" w:eastAsia="zh-CN"/>
              </w:rPr>
              <w:t>120</w:t>
            </w:r>
            <w:r>
              <w:rPr>
                <w:color w:val="auto"/>
              </w:rPr>
              <w:t>万吨/年</w:t>
            </w:r>
          </w:p>
        </w:tc>
        <w:tc>
          <w:tcPr>
            <w:tcW w:w="1221" w:type="pct"/>
          </w:tcPr>
          <w:p>
            <w:pPr>
              <w:pStyle w:val="21"/>
              <w:rPr>
                <w:color w:val="auto"/>
              </w:rPr>
            </w:pPr>
            <w:r>
              <w:rPr>
                <w:rFonts w:hint="eastAsia"/>
                <w:color w:val="auto"/>
                <w:lang w:val="en-US" w:eastAsia="zh-CN"/>
              </w:rPr>
              <w:t>310</w:t>
            </w:r>
            <w:r>
              <w:rPr>
                <w:color w:val="auto"/>
              </w:rPr>
              <w:t>万吨/年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pPr>
              <w:pStyle w:val="21"/>
              <w:rPr>
                <w:rFonts w:ascii="Times New Roman" w:hAnsi="Times New Roman" w:eastAsiaTheme="minorEastAsia" w:cstheme="minorBidi"/>
                <w:kern w:val="2"/>
                <w:sz w:val="21"/>
                <w:szCs w:val="24"/>
                <w:lang w:val="en-US" w:eastAsia="zh-CN" w:bidi="ar-SA"/>
              </w:rPr>
            </w:pPr>
            <w:r>
              <w:t>土地资源利用上限</w:t>
            </w:r>
          </w:p>
        </w:tc>
        <w:tc>
          <w:tcPr>
            <w:tcW w:w="1384" w:type="pct"/>
            <w:shd w:val="clear" w:color="auto" w:fill="auto"/>
            <w:vAlign w:val="center"/>
          </w:tcPr>
          <w:p>
            <w:pPr>
              <w:pStyle w:val="21"/>
              <w:rPr>
                <w:rFonts w:ascii="Times New Roman" w:hAnsi="Times New Roman" w:eastAsiaTheme="minorEastAsia" w:cstheme="minorBidi"/>
                <w:kern w:val="2"/>
                <w:sz w:val="21"/>
                <w:szCs w:val="24"/>
                <w:lang w:val="en-US" w:eastAsia="zh-CN" w:bidi="ar-SA"/>
              </w:rPr>
            </w:pPr>
            <w:r>
              <w:rPr>
                <w:rFonts w:hint="eastAsia"/>
                <w:lang w:val="en-US" w:eastAsia="zh-CN"/>
              </w:rPr>
              <w:t>城市</w:t>
            </w:r>
            <w:r>
              <w:t>建设用地总量上限</w:t>
            </w:r>
          </w:p>
        </w:tc>
        <w:tc>
          <w:tcPr>
            <w:tcW w:w="1144" w:type="pct"/>
            <w:shd w:val="clear" w:color="auto" w:fill="auto"/>
            <w:vAlign w:val="center"/>
          </w:tcPr>
          <w:p>
            <w:pPr>
              <w:pStyle w:val="21"/>
              <w:rPr>
                <w:rFonts w:hint="eastAsia" w:ascii="Times New Roman" w:hAnsi="Times New Roman" w:eastAsiaTheme="minorEastAsia" w:cstheme="minorBidi"/>
                <w:kern w:val="2"/>
                <w:sz w:val="21"/>
                <w:szCs w:val="24"/>
                <w:lang w:val="en-US" w:eastAsia="zh-CN" w:bidi="ar-SA"/>
              </w:rPr>
            </w:pPr>
            <w:r>
              <w:rPr>
                <w:rFonts w:hint="eastAsia"/>
                <w:lang w:val="en-US" w:eastAsia="zh-CN"/>
              </w:rPr>
              <w:t>230.1</w:t>
            </w:r>
            <w:r>
              <w:rPr>
                <w:rFonts w:hint="eastAsia"/>
              </w:rPr>
              <w:t>公顷</w:t>
            </w:r>
          </w:p>
        </w:tc>
        <w:tc>
          <w:tcPr>
            <w:tcW w:w="1221" w:type="pct"/>
            <w:vAlign w:val="center"/>
          </w:tcPr>
          <w:p>
            <w:pPr>
              <w:pStyle w:val="21"/>
              <w:rPr>
                <w:rFonts w:hint="eastAsia" w:ascii="Times New Roman" w:hAnsi="Times New Roman" w:eastAsiaTheme="minorEastAsia" w:cstheme="minorBidi"/>
                <w:kern w:val="2"/>
                <w:sz w:val="21"/>
                <w:szCs w:val="24"/>
                <w:lang w:val="en-US" w:eastAsia="zh-CN" w:bidi="ar-SA"/>
              </w:rPr>
            </w:pPr>
            <w:r>
              <w:rPr>
                <w:rFonts w:hint="eastAsia"/>
                <w:lang w:val="en-US" w:eastAsia="zh-CN"/>
              </w:rPr>
              <w:t>550.6</w:t>
            </w:r>
            <w:r>
              <w:rPr>
                <w:rFonts w:hint="eastAsia"/>
              </w:rPr>
              <w:t>公顷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shd w:val="clear" w:color="auto" w:fill="auto"/>
            <w:vAlign w:val="center"/>
          </w:tcPr>
          <w:p>
            <w:pPr>
              <w:pStyle w:val="21"/>
            </w:pPr>
            <w:r>
              <w:t>能源利用上限</w:t>
            </w:r>
          </w:p>
        </w:tc>
        <w:tc>
          <w:tcPr>
            <w:tcW w:w="2361" w:type="dxa"/>
            <w:shd w:val="clear" w:color="auto" w:fill="auto"/>
            <w:vAlign w:val="center"/>
          </w:tcPr>
          <w:p>
            <w:pPr>
              <w:pStyle w:val="21"/>
              <w:rPr>
                <w:rFonts w:hint="eastAsia"/>
                <w:lang w:val="en-US" w:eastAsia="zh-CN"/>
              </w:rPr>
            </w:pPr>
            <w:r>
              <w:t>单位工业增加值综合能耗（吨标煤/万元）</w:t>
            </w:r>
          </w:p>
        </w:tc>
        <w:tc>
          <w:tcPr>
            <w:tcW w:w="1951" w:type="dxa"/>
            <w:shd w:val="clear" w:color="auto" w:fill="auto"/>
            <w:vAlign w:val="center"/>
          </w:tcPr>
          <w:p>
            <w:pPr>
              <w:pStyle w:val="21"/>
              <w:rPr>
                <w:rFonts w:hint="eastAsia"/>
                <w:lang w:val="en-US" w:eastAsia="zh-CN"/>
              </w:rPr>
            </w:pPr>
            <w:r>
              <w:t>0.5</w:t>
            </w:r>
          </w:p>
        </w:tc>
        <w:tc>
          <w:tcPr>
            <w:tcW w:w="2083" w:type="dxa"/>
            <w:vAlign w:val="center"/>
          </w:tcPr>
          <w:p>
            <w:pPr>
              <w:pStyle w:val="21"/>
              <w:rPr>
                <w:rFonts w:hint="eastAsia"/>
                <w:lang w:val="en-US" w:eastAsia="zh-CN"/>
              </w:rPr>
            </w:pPr>
            <w:r>
              <w:t xml:space="preserve">0.5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shd w:val="clear" w:color="auto" w:fill="auto"/>
            <w:vAlign w:val="center"/>
          </w:tcPr>
          <w:p>
            <w:pPr>
              <w:pStyle w:val="21"/>
            </w:pPr>
          </w:p>
        </w:tc>
        <w:tc>
          <w:tcPr>
            <w:tcW w:w="2361" w:type="dxa"/>
            <w:shd w:val="clear" w:color="auto" w:fill="auto"/>
            <w:vAlign w:val="center"/>
          </w:tcPr>
          <w:p>
            <w:pPr>
              <w:pStyle w:val="21"/>
              <w:rPr>
                <w:rFonts w:hint="eastAsia"/>
                <w:lang w:val="en-US" w:eastAsia="zh-CN"/>
              </w:rPr>
            </w:pPr>
            <w:r>
              <w:t>高污染燃料禁燃区</w:t>
            </w:r>
          </w:p>
        </w:tc>
        <w:tc>
          <w:tcPr>
            <w:tcW w:w="1951" w:type="dxa"/>
            <w:shd w:val="clear" w:color="auto" w:fill="auto"/>
            <w:vAlign w:val="center"/>
          </w:tcPr>
          <w:p>
            <w:pPr>
              <w:pStyle w:val="21"/>
              <w:rPr>
                <w:rFonts w:hint="eastAsia"/>
                <w:lang w:val="en-US" w:eastAsia="zh-CN"/>
              </w:rPr>
            </w:pPr>
            <w:r>
              <w:fldChar w:fldCharType="begin"/>
            </w:r>
            <w:r>
              <w:instrText xml:space="preserve"> = 2 \* ROMAN </w:instrText>
            </w:r>
            <w:r>
              <w:fldChar w:fldCharType="separate"/>
            </w:r>
            <w:r>
              <w:fldChar w:fldCharType="begin"/>
            </w:r>
            <w:r>
              <w:instrText xml:space="preserve"> = 3 \* ROMAN </w:instrText>
            </w:r>
            <w:r>
              <w:fldChar w:fldCharType="separate"/>
            </w:r>
            <w:r>
              <w:t>III</w:t>
            </w:r>
            <w:r>
              <w:fldChar w:fldCharType="end"/>
            </w:r>
            <w:r>
              <w:fldChar w:fldCharType="end"/>
            </w:r>
            <w:r>
              <w:t>类</w:t>
            </w:r>
          </w:p>
        </w:tc>
        <w:tc>
          <w:tcPr>
            <w:tcW w:w="2083" w:type="dxa"/>
            <w:vAlign w:val="center"/>
          </w:tcPr>
          <w:p>
            <w:pPr>
              <w:pStyle w:val="21"/>
              <w:rPr>
                <w:rFonts w:hint="eastAsia"/>
                <w:lang w:val="en-US" w:eastAsia="zh-CN"/>
              </w:rPr>
            </w:pPr>
            <w:r>
              <w:fldChar w:fldCharType="begin"/>
            </w:r>
            <w:r>
              <w:instrText xml:space="preserve"> = 2 \* ROMAN </w:instrText>
            </w:r>
            <w:r>
              <w:fldChar w:fldCharType="separate"/>
            </w:r>
            <w:r>
              <w:fldChar w:fldCharType="begin"/>
            </w:r>
            <w:r>
              <w:instrText xml:space="preserve"> = 3 \* ROMAN </w:instrText>
            </w:r>
            <w:r>
              <w:fldChar w:fldCharType="separate"/>
            </w:r>
            <w:r>
              <w:t>III</w:t>
            </w:r>
            <w:r>
              <w:fldChar w:fldCharType="end"/>
            </w:r>
            <w:r>
              <w:fldChar w:fldCharType="end"/>
            </w:r>
            <w:r>
              <w:t>类</w:t>
            </w:r>
          </w:p>
        </w:tc>
      </w:tr>
    </w:tbl>
    <w:p>
      <w:pPr>
        <w:pStyle w:val="5"/>
        <w:rPr>
          <w:color w:val="auto"/>
        </w:rPr>
      </w:pPr>
      <w:r>
        <w:rPr>
          <w:rFonts w:hint="eastAsia"/>
          <w:color w:val="auto"/>
        </w:rPr>
        <w:t>生态环境准入清单</w:t>
      </w:r>
    </w:p>
    <w:p>
      <w:pPr>
        <w:pStyle w:val="4"/>
        <w:ind w:firstLine="480"/>
        <w:rPr>
          <w:rFonts w:hint="eastAsia"/>
          <w:color w:val="auto"/>
        </w:rPr>
      </w:pPr>
      <w:r>
        <w:t>根据</w:t>
      </w:r>
      <w:r>
        <w:rPr>
          <w:rFonts w:cs="Times New Roman"/>
        </w:rPr>
        <w:t>《省政府关于印发江苏省生态空间管控区域规划的通知》、</w:t>
      </w:r>
      <w:r>
        <w:t>《市政府办公室关于印发</w:t>
      </w:r>
      <w:r>
        <w:rPr>
          <w:rFonts w:hint="eastAsia"/>
        </w:rPr>
        <w:t>南通市“三线一单”生态环境分区管控实施方案的通知》（通政办</w:t>
      </w:r>
      <w:r>
        <w:rPr>
          <w:rFonts w:cs="Times New Roman"/>
        </w:rPr>
        <w:t>规[2021]4号），从空间布局约束、污染物排放管控、环境风险防控和资源开发利用要求等方面提出环境准入清单</w:t>
      </w:r>
      <w:r>
        <w:rPr>
          <w:rFonts w:hint="eastAsia"/>
          <w:color w:val="auto"/>
        </w:rPr>
        <w:t>，见表</w:t>
      </w:r>
      <w:r>
        <w:rPr>
          <w:rFonts w:hint="eastAsia"/>
          <w:color w:val="auto"/>
          <w:lang w:val="en-US" w:eastAsia="zh-CN"/>
        </w:rPr>
        <w:t>6</w:t>
      </w:r>
      <w:r>
        <w:rPr>
          <w:rFonts w:hint="eastAsia"/>
          <w:color w:val="auto"/>
        </w:rPr>
        <w:t>.2-</w:t>
      </w:r>
      <w:r>
        <w:rPr>
          <w:rFonts w:hint="eastAsia"/>
          <w:color w:val="auto"/>
          <w:lang w:val="en-US" w:eastAsia="zh-CN"/>
        </w:rPr>
        <w:t>6</w:t>
      </w:r>
      <w:r>
        <w:rPr>
          <w:rFonts w:hint="eastAsia"/>
          <w:color w:val="auto"/>
        </w:rPr>
        <w:t>。</w:t>
      </w:r>
    </w:p>
    <w:p>
      <w:pPr>
        <w:pStyle w:val="12"/>
        <w:spacing w:before="120" w:after="72"/>
        <w:rPr>
          <w:color w:val="auto"/>
        </w:rPr>
      </w:pPr>
      <w:r>
        <w:rPr>
          <w:color w:val="auto"/>
        </w:rPr>
        <w:t>表</w:t>
      </w:r>
      <w:r>
        <w:rPr>
          <w:rFonts w:hint="eastAsia"/>
          <w:color w:val="auto"/>
          <w:lang w:val="en-US" w:eastAsia="zh-CN"/>
        </w:rPr>
        <w:t>6.2</w:t>
      </w:r>
      <w:r>
        <w:rPr>
          <w:color w:val="auto"/>
        </w:rPr>
        <w:t>-1</w:t>
      </w:r>
      <w:r>
        <w:rPr>
          <w:rFonts w:hint="eastAsia"/>
          <w:color w:val="auto"/>
        </w:rPr>
        <w:t xml:space="preserve"> </w:t>
      </w:r>
      <w:r>
        <w:rPr>
          <w:color w:val="auto"/>
        </w:rPr>
        <w:t xml:space="preserve"> 生态环境准入清单</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11"/>
        <w:gridCol w:w="65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5" w:type="pct"/>
            <w:tcBorders>
              <w:top w:val="single" w:color="auto" w:sz="12" w:space="0"/>
              <w:left w:val="nil"/>
              <w:bottom w:val="single" w:color="auto" w:sz="4" w:space="0"/>
              <w:right w:val="single" w:color="auto" w:sz="4" w:space="0"/>
            </w:tcBorders>
            <w:vAlign w:val="center"/>
          </w:tcPr>
          <w:p>
            <w:pPr>
              <w:pStyle w:val="22"/>
            </w:pPr>
            <w:r>
              <w:rPr>
                <w:rFonts w:hint="eastAsia"/>
              </w:rPr>
              <w:t>项目</w:t>
            </w:r>
          </w:p>
        </w:tc>
        <w:tc>
          <w:tcPr>
            <w:tcW w:w="4544" w:type="pct"/>
            <w:gridSpan w:val="2"/>
            <w:tcBorders>
              <w:top w:val="single" w:color="auto" w:sz="12" w:space="0"/>
              <w:left w:val="single" w:color="auto" w:sz="4" w:space="0"/>
              <w:bottom w:val="single" w:color="auto" w:sz="4" w:space="0"/>
              <w:right w:val="nil"/>
            </w:tcBorders>
            <w:vAlign w:val="center"/>
          </w:tcPr>
          <w:p>
            <w:pPr>
              <w:pStyle w:val="22"/>
            </w:pPr>
            <w:r>
              <w:rPr>
                <w:rFonts w:hint="eastAsia"/>
              </w:rPr>
              <w:t>准入内容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455" w:type="pct"/>
            <w:vMerge w:val="restart"/>
            <w:tcBorders>
              <w:top w:val="single" w:color="auto" w:sz="4" w:space="0"/>
              <w:left w:val="nil"/>
              <w:bottom w:val="single" w:color="auto" w:sz="4" w:space="0"/>
              <w:right w:val="single" w:color="auto" w:sz="4" w:space="0"/>
            </w:tcBorders>
            <w:vAlign w:val="center"/>
          </w:tcPr>
          <w:p>
            <w:pPr>
              <w:pStyle w:val="21"/>
            </w:pPr>
            <w:r>
              <w:rPr>
                <w:rFonts w:hint="eastAsia"/>
              </w:rPr>
              <w:t>主导产业定位</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lang w:val="en-US" w:eastAsia="zh-CN"/>
              </w:rPr>
              <w:t>发</w:t>
            </w:r>
            <w:r>
              <w:rPr>
                <w:rFonts w:hint="eastAsia"/>
              </w:rPr>
              <w:t>展电子信息产业</w:t>
            </w:r>
            <w:r>
              <w:rPr>
                <w:rFonts w:hint="eastAsia"/>
                <w:lang w:eastAsia="zh-CN"/>
              </w:rPr>
              <w:t>，</w:t>
            </w:r>
            <w:r>
              <w:rPr>
                <w:rFonts w:hint="eastAsia"/>
                <w:lang w:val="en-US" w:eastAsia="zh-CN"/>
              </w:rPr>
              <w:t>配套金属表面处理项目</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7" w:hRule="atLeast"/>
          <w:tblHeader/>
        </w:trPr>
        <w:tc>
          <w:tcPr>
            <w:tcW w:w="0" w:type="auto"/>
            <w:vMerge w:val="continue"/>
            <w:tcBorders>
              <w:top w:val="single" w:color="auto" w:sz="4" w:space="0"/>
              <w:left w:val="nil"/>
              <w:bottom w:val="single" w:color="auto" w:sz="4"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r>
              <w:t>半导体制造；以电子机械、电子元件、仪器、仪表及相关配套产业为主的电子加工；以及以精密机械、电子机械、光学仪器、自动化等为主的制造产业；金属表面处理中心</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455" w:type="pct"/>
            <w:vMerge w:val="restart"/>
            <w:tcBorders>
              <w:top w:val="single" w:color="auto" w:sz="4" w:space="0"/>
              <w:left w:val="nil"/>
              <w:right w:val="single" w:color="auto" w:sz="4" w:space="0"/>
            </w:tcBorders>
            <w:vAlign w:val="center"/>
          </w:tcPr>
          <w:p>
            <w:pPr>
              <w:pStyle w:val="21"/>
            </w:pPr>
            <w:r>
              <w:rPr>
                <w:rFonts w:hint="eastAsia"/>
              </w:rPr>
              <w:t>禁止引入类项目</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rPr>
              <w:t>《产业结构调整指导目录》及修订、《江苏省工业和信息产业结构调整指导目录（</w:t>
            </w:r>
            <w:r>
              <w:t>2012</w:t>
            </w:r>
            <w:r>
              <w:rPr>
                <w:rFonts w:hint="eastAsia"/>
              </w:rPr>
              <w:t>年本）》、《江苏省工业和信息产业结构调整限制淘汰目录和能耗限额》《南通市工业结构调整指导目录》等中淘汰类项目；列入《外商投资产业指导目录（</w:t>
            </w:r>
            <w:r>
              <w:t>2017</w:t>
            </w:r>
            <w:r>
              <w:rPr>
                <w:rFonts w:hint="eastAsia"/>
              </w:rPr>
              <w:t>年修订）》禁止类的产业；列入《南通市工业产业技术改造负面清单》严格禁止的技术改造工艺装备及产品；采用落后的、淘汰的生产工艺或生产设备，清洁生产达不到国内先进水平的项目；《江苏省长江经济带发展负面清单实施细则》列明的禁止建设的产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455" w:type="pct"/>
            <w:vMerge w:val="continue"/>
            <w:tcBorders>
              <w:left w:val="nil"/>
              <w:right w:val="single" w:color="auto" w:sz="4" w:space="0"/>
            </w:tcBorders>
            <w:vAlign w:val="center"/>
          </w:tcPr>
          <w:p>
            <w:pPr>
              <w:pStyle w:val="21"/>
              <w:rPr>
                <w:rFonts w:hint="eastAsia"/>
              </w:rPr>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eastAsia"/>
              </w:rPr>
            </w:pPr>
            <w:r>
              <w:rPr>
                <w:rFonts w:hint="eastAsia"/>
              </w:rPr>
              <w:t>新建、改建、扩建“两高”项目不符合生态环境保护法律法规和相关法定规划，不满足重点污染物排放总量控制、碳排放达峰目标、生态环境准入清单、相关规划环评和相应行业建设项目环境准入条件、环评文件审批原则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0" w:type="auto"/>
            <w:vMerge w:val="continue"/>
            <w:tcBorders>
              <w:left w:val="nil"/>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rPr>
              <w:t>所有行业：化工、钢铁</w:t>
            </w:r>
            <w:r>
              <w:rPr>
                <w:rFonts w:hint="eastAsia"/>
                <w:lang w:eastAsia="zh-CN"/>
              </w:rPr>
              <w:t>、</w:t>
            </w:r>
            <w:r>
              <w:rPr>
                <w:rFonts w:hint="eastAsia"/>
                <w:lang w:val="en-US" w:eastAsia="zh-CN"/>
              </w:rPr>
              <w:t>有色金属冶炼、</w:t>
            </w:r>
            <w:r>
              <w:rPr>
                <w:rFonts w:hint="eastAsia"/>
              </w:rPr>
              <w:t>化学制浆造纸、</w:t>
            </w:r>
            <w:r>
              <w:t>制革</w:t>
            </w:r>
            <w:r>
              <w:rPr>
                <w:rFonts w:hint="eastAsia"/>
              </w:rPr>
              <w:t>、</w:t>
            </w:r>
            <w:r>
              <w:rPr>
                <w:rFonts w:hint="eastAsia"/>
                <w:lang w:val="en-US" w:eastAsia="zh-CN"/>
              </w:rPr>
              <w:t>酿造</w:t>
            </w:r>
            <w:r>
              <w:rPr>
                <w:rFonts w:hint="eastAsia"/>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0" w:type="auto"/>
            <w:vMerge w:val="continue"/>
            <w:tcBorders>
              <w:left w:val="nil"/>
              <w:right w:val="single" w:color="auto" w:sz="4" w:space="0"/>
            </w:tcBorders>
            <w:vAlign w:val="center"/>
          </w:tcPr>
          <w:p>
            <w:pPr>
              <w:pStyle w:val="21"/>
            </w:pPr>
          </w:p>
        </w:tc>
        <w:tc>
          <w:tcPr>
            <w:tcW w:w="710" w:type="pct"/>
            <w:tcBorders>
              <w:top w:val="single" w:color="auto" w:sz="4" w:space="0"/>
              <w:left w:val="single" w:color="auto" w:sz="4" w:space="0"/>
              <w:bottom w:val="single" w:color="auto" w:sz="4" w:space="0"/>
              <w:right w:val="single" w:color="auto" w:sz="4" w:space="0"/>
            </w:tcBorders>
            <w:vAlign w:val="center"/>
          </w:tcPr>
          <w:p>
            <w:pPr>
              <w:pStyle w:val="21"/>
              <w:jc w:val="left"/>
              <w:rPr>
                <w:rFonts w:hint="default" w:ascii="Times New Roman" w:hAnsi="Times New Roman" w:eastAsiaTheme="minorEastAsia" w:cstheme="minorBidi"/>
                <w:kern w:val="2"/>
                <w:sz w:val="21"/>
                <w:szCs w:val="24"/>
                <w:lang w:val="en-US" w:eastAsia="zh-CN" w:bidi="ar-SA"/>
              </w:rPr>
            </w:pPr>
            <w:r>
              <w:rPr>
                <w:rFonts w:hint="eastAsia"/>
                <w:lang w:val="en-US" w:eastAsia="zh-CN"/>
              </w:rPr>
              <w:t>电子信息产业</w:t>
            </w:r>
          </w:p>
        </w:tc>
        <w:tc>
          <w:tcPr>
            <w:tcW w:w="3834" w:type="pct"/>
            <w:tcBorders>
              <w:top w:val="single" w:color="auto" w:sz="4" w:space="0"/>
              <w:left w:val="single" w:color="auto" w:sz="4" w:space="0"/>
              <w:bottom w:val="single" w:color="auto" w:sz="4" w:space="0"/>
              <w:right w:val="nil"/>
            </w:tcBorders>
            <w:vAlign w:val="center"/>
          </w:tcPr>
          <w:p>
            <w:pPr>
              <w:pStyle w:val="21"/>
              <w:jc w:val="left"/>
              <w:rPr>
                <w:rFonts w:hint="default" w:ascii="Times New Roman" w:hAnsi="Times New Roman" w:eastAsiaTheme="minorEastAsia"/>
                <w:lang w:val="en-US" w:eastAsia="zh-CN"/>
              </w:rPr>
            </w:pPr>
            <w:r>
              <w:rPr>
                <w:rFonts w:hint="eastAsia" w:ascii="Times New Roman" w:hAnsi="Times New Roman"/>
                <w:lang w:val="en-US" w:eastAsia="zh-CN"/>
              </w:rPr>
              <w:t>电子化工材料</w:t>
            </w:r>
          </w:p>
          <w:p>
            <w:pPr>
              <w:pStyle w:val="21"/>
              <w:jc w:val="left"/>
              <w:rPr>
                <w:rFonts w:hint="eastAsia" w:ascii="Times New Roman" w:hAnsi="Times New Roman"/>
                <w:lang w:val="en-US" w:eastAsia="zh-CN"/>
              </w:rPr>
            </w:pPr>
            <w:r>
              <w:rPr>
                <w:rFonts w:hint="eastAsia" w:ascii="Times New Roman" w:hAnsi="Times New Roman"/>
              </w:rPr>
              <w:t>新建、扩建芯片封装、电极箔制造项目中水回用比例低于30%</w:t>
            </w:r>
            <w:r>
              <w:rPr>
                <w:rFonts w:hint="eastAsia" w:ascii="Times New Roman" w:hAnsi="Times New Roman"/>
                <w:lang w:val="en-US" w:eastAsia="zh-CN"/>
              </w:rPr>
              <w:t>的项目。</w:t>
            </w:r>
          </w:p>
          <w:p>
            <w:pPr>
              <w:pStyle w:val="21"/>
              <w:jc w:val="left"/>
              <w:rPr>
                <w:rFonts w:hint="default" w:ascii="Times New Roman" w:hAnsi="Times New Roman" w:eastAsiaTheme="minorEastAsia"/>
                <w:lang w:val="en-US" w:eastAsia="zh-CN"/>
              </w:rPr>
            </w:pPr>
            <w:r>
              <w:rPr>
                <w:rFonts w:hint="eastAsia" w:ascii="Times New Roman" w:hAnsi="Times New Roman"/>
              </w:rPr>
              <w:t>投资强度</w:t>
            </w:r>
            <w:r>
              <w:rPr>
                <w:rFonts w:hint="eastAsia" w:ascii="Times New Roman" w:hAnsi="Times New Roman"/>
                <w:lang w:val="en-US" w:eastAsia="zh-CN"/>
              </w:rPr>
              <w:t>＜</w:t>
            </w:r>
            <w:r>
              <w:rPr>
                <w:rFonts w:ascii="Times New Roman" w:hAnsi="Times New Roman"/>
              </w:rPr>
              <w:t>430</w:t>
            </w:r>
            <w:r>
              <w:rPr>
                <w:rFonts w:hint="eastAsia" w:ascii="Times New Roman" w:hAnsi="Times New Roman"/>
              </w:rPr>
              <w:t>万元</w:t>
            </w:r>
            <w:r>
              <w:rPr>
                <w:rFonts w:ascii="Times New Roman" w:hAnsi="Times New Roman"/>
              </w:rPr>
              <w:t>/</w:t>
            </w:r>
            <w:r>
              <w:rPr>
                <w:rFonts w:hint="eastAsia" w:ascii="Times New Roman" w:hAnsi="Times New Roman"/>
              </w:rPr>
              <w:t>亩、亩均税收</w:t>
            </w:r>
            <w:r>
              <w:rPr>
                <w:rFonts w:hint="eastAsia" w:ascii="Times New Roman" w:hAnsi="Times New Roman"/>
                <w:lang w:val="en-US" w:eastAsia="zh-CN"/>
              </w:rPr>
              <w:t>＜</w:t>
            </w:r>
            <w:r>
              <w:rPr>
                <w:rFonts w:ascii="Times New Roman" w:hAnsi="Times New Roman"/>
              </w:rPr>
              <w:t>25</w:t>
            </w:r>
            <w:r>
              <w:rPr>
                <w:rFonts w:hint="eastAsia" w:ascii="Times New Roman" w:hAnsi="Times New Roman"/>
              </w:rPr>
              <w:t>万元</w:t>
            </w:r>
            <w:r>
              <w:rPr>
                <w:rFonts w:ascii="Times New Roman" w:hAnsi="Times New Roman"/>
              </w:rPr>
              <w:t>/</w:t>
            </w:r>
            <w:r>
              <w:rPr>
                <w:rFonts w:hint="eastAsia" w:ascii="Times New Roman" w:hAnsi="Times New Roman"/>
              </w:rPr>
              <w:t>亩、废水排放强度</w:t>
            </w:r>
            <w:r>
              <w:rPr>
                <w:rFonts w:hint="eastAsia" w:ascii="Times New Roman" w:hAnsi="Times New Roman"/>
                <w:lang w:val="en-US" w:eastAsia="zh-CN"/>
              </w:rPr>
              <w:t>＜</w:t>
            </w:r>
            <w:r>
              <w:rPr>
                <w:rFonts w:ascii="Times New Roman" w:hAnsi="Times New Roman"/>
              </w:rPr>
              <w:t>4</w:t>
            </w:r>
            <w:r>
              <w:rPr>
                <w:rFonts w:hint="eastAsia" w:ascii="Times New Roman" w:hAnsi="Times New Roman"/>
              </w:rPr>
              <w:t>吨</w:t>
            </w:r>
            <w:r>
              <w:rPr>
                <w:rFonts w:ascii="Times New Roman" w:hAnsi="Times New Roman"/>
              </w:rPr>
              <w:t>/</w:t>
            </w:r>
            <w:r>
              <w:rPr>
                <w:rFonts w:hint="eastAsia" w:ascii="Times New Roman" w:hAnsi="Times New Roman"/>
              </w:rPr>
              <w:t>万元，工艺、装备、清洁生产水平</w:t>
            </w:r>
            <w:r>
              <w:rPr>
                <w:rFonts w:hint="eastAsia" w:ascii="Times New Roman" w:hAnsi="Times New Roman"/>
                <w:lang w:val="en-US" w:eastAsia="zh-CN"/>
              </w:rPr>
              <w:t>达不到</w:t>
            </w:r>
            <w:r>
              <w:rPr>
                <w:rFonts w:hint="eastAsia" w:ascii="Times New Roman" w:hAnsi="Times New Roman"/>
              </w:rPr>
              <w:t>达到国际先进水平</w:t>
            </w:r>
            <w:r>
              <w:rPr>
                <w:rFonts w:hint="eastAsia" w:ascii="Times New Roman" w:hAnsi="Times New Roman"/>
                <w:lang w:val="en-US" w:eastAsia="zh-CN"/>
              </w:rPr>
              <w:t>的项目。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0" w:type="auto"/>
            <w:vMerge w:val="continue"/>
            <w:tcBorders>
              <w:left w:val="nil"/>
              <w:right w:val="single" w:color="auto" w:sz="4" w:space="0"/>
            </w:tcBorders>
            <w:vAlign w:val="center"/>
          </w:tcPr>
          <w:p>
            <w:pPr>
              <w:pStyle w:val="21"/>
            </w:pPr>
          </w:p>
        </w:tc>
        <w:tc>
          <w:tcPr>
            <w:tcW w:w="710" w:type="pct"/>
            <w:tcBorders>
              <w:top w:val="single" w:color="auto" w:sz="4" w:space="0"/>
              <w:left w:val="single" w:color="auto" w:sz="4" w:space="0"/>
              <w:bottom w:val="single" w:color="auto" w:sz="4" w:space="0"/>
              <w:right w:val="single" w:color="auto" w:sz="4" w:space="0"/>
            </w:tcBorders>
            <w:vAlign w:val="center"/>
          </w:tcPr>
          <w:p>
            <w:pPr>
              <w:pStyle w:val="21"/>
              <w:jc w:val="left"/>
              <w:rPr>
                <w:rFonts w:hint="default" w:eastAsiaTheme="minorEastAsia"/>
                <w:lang w:val="en-US" w:eastAsia="zh-CN"/>
              </w:rPr>
            </w:pPr>
            <w:r>
              <w:rPr>
                <w:rFonts w:hint="eastAsia"/>
                <w:lang w:val="en-US" w:eastAsia="zh-CN"/>
              </w:rPr>
              <w:t>表面处理中心项目</w:t>
            </w:r>
          </w:p>
        </w:tc>
        <w:tc>
          <w:tcPr>
            <w:tcW w:w="3834" w:type="pct"/>
            <w:tcBorders>
              <w:top w:val="single" w:color="auto" w:sz="4" w:space="0"/>
              <w:left w:val="single" w:color="auto" w:sz="4" w:space="0"/>
              <w:bottom w:val="single" w:color="auto" w:sz="4" w:space="0"/>
              <w:right w:val="nil"/>
            </w:tcBorders>
            <w:vAlign w:val="center"/>
          </w:tcPr>
          <w:p>
            <w:pPr>
              <w:pStyle w:val="21"/>
              <w:bidi w:val="0"/>
              <w:jc w:val="both"/>
              <w:rPr>
                <w:rFonts w:hint="eastAsia"/>
                <w:lang w:eastAsia="zh-CN"/>
              </w:rPr>
            </w:pPr>
            <w:r>
              <w:rPr>
                <w:rFonts w:hint="eastAsia"/>
              </w:rPr>
              <w:t>含有毒有害氰化物电镀工艺（电镀金、银、铜基合金及予镀铜打底工艺除外）、含氰沉锌工艺</w:t>
            </w:r>
            <w:r>
              <w:rPr>
                <w:rFonts w:hint="eastAsia"/>
                <w:lang w:eastAsia="zh-CN"/>
              </w:rPr>
              <w:t>。</w:t>
            </w:r>
          </w:p>
          <w:p>
            <w:pPr>
              <w:pStyle w:val="21"/>
              <w:bidi w:val="0"/>
              <w:jc w:val="both"/>
              <w:rPr>
                <w:rFonts w:hint="eastAsia" w:eastAsiaTheme="minorEastAsia"/>
                <w:lang w:val="en-US" w:eastAsia="zh-CN"/>
              </w:rPr>
            </w:pPr>
            <w:r>
              <w:rPr>
                <w:rFonts w:hint="eastAsia"/>
              </w:rPr>
              <w:t>手工电镀工艺</w:t>
            </w:r>
            <w:r>
              <w:rPr>
                <w:rFonts w:hint="eastAsia"/>
                <w:lang w:eastAsia="zh-CN"/>
              </w:rPr>
              <w:t>。</w:t>
            </w:r>
          </w:p>
          <w:p>
            <w:pPr>
              <w:pStyle w:val="21"/>
              <w:jc w:val="left"/>
              <w:rPr>
                <w:rFonts w:hint="default" w:eastAsiaTheme="minorEastAsia"/>
                <w:lang w:val="en-US" w:eastAsia="zh-CN"/>
              </w:rPr>
            </w:pPr>
            <w:r>
              <w:rPr>
                <w:rFonts w:hint="eastAsia"/>
                <w:lang w:val="en-US" w:eastAsia="zh-CN"/>
              </w:rPr>
              <w:t>涉及电镀汞、镉、铅、砷工艺的项目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455" w:type="pct"/>
            <w:vMerge w:val="restart"/>
            <w:tcBorders>
              <w:top w:val="single" w:color="auto" w:sz="4" w:space="0"/>
              <w:left w:val="nil"/>
              <w:right w:val="single" w:color="auto" w:sz="4" w:space="0"/>
            </w:tcBorders>
            <w:vAlign w:val="center"/>
          </w:tcPr>
          <w:p>
            <w:pPr>
              <w:pStyle w:val="21"/>
            </w:pPr>
            <w:r>
              <w:rPr>
                <w:rFonts w:hint="eastAsia"/>
              </w:rPr>
              <w:t>限制引入类项目</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eastAsia"/>
              </w:rPr>
            </w:pPr>
            <w:r>
              <w:rPr>
                <w:rFonts w:hint="eastAsia"/>
              </w:rPr>
              <w:t>《产业结构调整指导目录》及修订、《江苏省工业和信息产业结构调整指导目录（</w:t>
            </w:r>
            <w:r>
              <w:t>2012</w:t>
            </w:r>
            <w:r>
              <w:rPr>
                <w:rFonts w:hint="eastAsia"/>
              </w:rPr>
              <w:t>年本）》、《江苏省工业和信息产业结构调整限制淘汰目录和能耗限额》中限制类项目。</w:t>
            </w:r>
          </w:p>
          <w:p>
            <w:pPr>
              <w:pStyle w:val="21"/>
              <w:jc w:val="left"/>
              <w:rPr>
                <w:rFonts w:hint="default" w:eastAsiaTheme="minorEastAsia"/>
                <w:lang w:val="en-US" w:eastAsia="zh-CN"/>
              </w:rPr>
            </w:pPr>
            <w:r>
              <w:rPr>
                <w:rFonts w:hint="eastAsia"/>
                <w:lang w:val="en-US" w:eastAsia="zh-CN"/>
              </w:rPr>
              <w:t>电子信息产业园内现有纺织、建材业禁止新增扩大产能。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455" w:type="pct"/>
            <w:vMerge w:val="continue"/>
            <w:tcBorders>
              <w:left w:val="nil"/>
              <w:bottom w:val="single" w:color="auto" w:sz="4" w:space="0"/>
              <w:right w:val="single" w:color="auto" w:sz="4" w:space="0"/>
            </w:tcBorders>
            <w:vAlign w:val="center"/>
          </w:tcPr>
          <w:p>
            <w:pPr>
              <w:pStyle w:val="21"/>
              <w:rPr>
                <w:rFonts w:hint="eastAsia"/>
              </w:rPr>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default"/>
                <w:lang w:val="en-US" w:eastAsia="zh-CN"/>
              </w:rPr>
            </w:pPr>
            <w:r>
              <w:rPr>
                <w:rFonts w:hint="eastAsia"/>
                <w:lang w:val="en-US" w:eastAsia="zh-CN"/>
              </w:rPr>
              <w:t>与产业定位不符的项目。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7" w:hRule="atLeast"/>
          <w:tblHeader/>
        </w:trPr>
        <w:tc>
          <w:tcPr>
            <w:tcW w:w="455" w:type="pct"/>
            <w:vMerge w:val="restart"/>
            <w:tcBorders>
              <w:top w:val="single" w:color="auto" w:sz="4" w:space="0"/>
              <w:left w:val="nil"/>
              <w:right w:val="single" w:color="auto" w:sz="4" w:space="0"/>
            </w:tcBorders>
            <w:vAlign w:val="center"/>
          </w:tcPr>
          <w:p>
            <w:pPr>
              <w:pStyle w:val="21"/>
            </w:pPr>
            <w:r>
              <w:rPr>
                <w:rFonts w:hint="eastAsia"/>
              </w:rPr>
              <w:t>空间布局约束</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rPr>
              <w:t>落实江苏省、南通市</w:t>
            </w:r>
            <w:r>
              <w:t>“</w:t>
            </w:r>
            <w:r>
              <w:rPr>
                <w:rFonts w:hint="eastAsia"/>
              </w:rPr>
              <w:t>三线一单</w:t>
            </w:r>
            <w:r>
              <w:t>”</w:t>
            </w:r>
            <w:r>
              <w:rPr>
                <w:rFonts w:hint="eastAsia"/>
              </w:rPr>
              <w:t>、《江苏省生态空间管控区域规划》、《江苏省国家级生态保护红线规划》管控要求管理。</w:t>
            </w:r>
          </w:p>
          <w:p>
            <w:pPr>
              <w:pStyle w:val="21"/>
              <w:jc w:val="left"/>
              <w:rPr>
                <w:rFonts w:hint="default" w:eastAsiaTheme="minorEastAsia"/>
                <w:lang w:val="en-US" w:eastAsia="zh-CN"/>
              </w:rPr>
            </w:pPr>
            <w:r>
              <w:rPr>
                <w:rFonts w:hint="eastAsia"/>
                <w:lang w:val="en-US" w:eastAsia="zh-CN"/>
              </w:rPr>
              <w:t>如海运河西侧1公里范围内为通运河一级保护区，严格落实</w:t>
            </w:r>
            <w:r>
              <w:rPr>
                <w:rFonts w:hint="eastAsia"/>
                <w:lang w:eastAsia="zh-CN"/>
              </w:rPr>
              <w:t>《</w:t>
            </w:r>
            <w:r>
              <w:rPr>
                <w:rFonts w:hint="eastAsia"/>
                <w:lang w:val="en-US" w:eastAsia="zh-CN"/>
              </w:rPr>
              <w:t>江苏省通榆河水污染防治条例</w:t>
            </w:r>
            <w:r>
              <w:rPr>
                <w:rFonts w:hint="eastAsia"/>
                <w:lang w:eastAsia="zh-CN"/>
              </w:rPr>
              <w:t>》</w:t>
            </w:r>
            <w:r>
              <w:rPr>
                <w:rFonts w:hint="eastAsia"/>
                <w:lang w:val="en-US" w:eastAsia="zh-CN"/>
              </w:rPr>
              <w:t>管理要求。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5" w:type="pct"/>
            <w:vMerge w:val="continue"/>
            <w:tcBorders>
              <w:left w:val="nil"/>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lang w:val="en-US" w:eastAsia="zh-CN"/>
              </w:rPr>
              <w:t>农林用地</w:t>
            </w:r>
            <w:r>
              <w:rPr>
                <w:rFonts w:hint="eastAsia"/>
              </w:rPr>
              <w:t>优先保护区，</w:t>
            </w:r>
            <w:r>
              <w:rPr>
                <w:rFonts w:hint="eastAsia"/>
                <w:lang w:val="en-US" w:eastAsia="zh-CN"/>
              </w:rPr>
              <w:t>近期占用农林用地约101公顷，不占用基本农田；远期占用农林用地约295</w:t>
            </w:r>
            <w:r>
              <w:rPr>
                <w:rFonts w:hint="eastAsia"/>
              </w:rPr>
              <w:t>公顷，</w:t>
            </w:r>
            <w:r>
              <w:rPr>
                <w:rFonts w:hint="eastAsia"/>
                <w:lang w:val="en-US" w:eastAsia="zh-CN"/>
              </w:rPr>
              <w:t>其中基本农田98公顷；基本农田</w:t>
            </w:r>
            <w:r>
              <w:rPr>
                <w:rFonts w:hint="eastAsia"/>
              </w:rPr>
              <w:t>实行严格保护</w:t>
            </w:r>
            <w:r>
              <w:rPr>
                <w:rFonts w:hint="eastAsia"/>
                <w:lang w:eastAsia="zh-CN"/>
              </w:rPr>
              <w:t>，</w:t>
            </w:r>
            <w:r>
              <w:rPr>
                <w:rFonts w:hint="eastAsia"/>
                <w:szCs w:val="20"/>
              </w:rPr>
              <w:t>在土地性质调整前不得开发建设</w:t>
            </w:r>
            <w:r>
              <w:rPr>
                <w:rFonts w:hint="eastAsia"/>
                <w:szCs w:val="20"/>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55" w:type="pct"/>
            <w:vMerge w:val="continue"/>
            <w:tcBorders>
              <w:left w:val="nil"/>
              <w:right w:val="single" w:color="auto" w:sz="4" w:space="0"/>
            </w:tcBorders>
            <w:vAlign w:val="center"/>
          </w:tcPr>
          <w:p>
            <w:pPr>
              <w:pStyle w:val="21"/>
            </w:pPr>
          </w:p>
        </w:tc>
        <w:tc>
          <w:tcPr>
            <w:tcW w:w="710" w:type="pct"/>
            <w:tcBorders>
              <w:top w:val="single" w:color="auto" w:sz="4" w:space="0"/>
              <w:left w:val="single" w:color="auto" w:sz="4" w:space="0"/>
              <w:bottom w:val="single" w:color="auto" w:sz="4" w:space="0"/>
              <w:right w:val="single" w:color="auto" w:sz="4" w:space="0"/>
            </w:tcBorders>
            <w:vAlign w:val="center"/>
          </w:tcPr>
          <w:p>
            <w:pPr>
              <w:pStyle w:val="21"/>
              <w:jc w:val="left"/>
              <w:rPr>
                <w:rFonts w:hint="default" w:eastAsiaTheme="minorEastAsia"/>
                <w:lang w:val="en-US" w:eastAsia="zh-CN"/>
              </w:rPr>
            </w:pPr>
            <w:r>
              <w:rPr>
                <w:rFonts w:hint="eastAsia"/>
                <w:lang w:val="en-US" w:eastAsia="zh-CN"/>
              </w:rPr>
              <w:t>电子信息产业园</w:t>
            </w:r>
          </w:p>
        </w:tc>
        <w:tc>
          <w:tcPr>
            <w:tcW w:w="3834" w:type="pct"/>
            <w:tcBorders>
              <w:top w:val="single" w:color="auto" w:sz="4" w:space="0"/>
              <w:left w:val="single" w:color="auto" w:sz="4" w:space="0"/>
              <w:bottom w:val="single" w:color="auto" w:sz="4" w:space="0"/>
              <w:right w:val="nil"/>
            </w:tcBorders>
            <w:vAlign w:val="center"/>
          </w:tcPr>
          <w:p>
            <w:pPr>
              <w:pStyle w:val="21"/>
              <w:jc w:val="left"/>
            </w:pPr>
            <w:r>
              <w:rPr>
                <w:rFonts w:hint="eastAsia"/>
              </w:rPr>
              <w:t>居住区附近的工业用地布设污染性小的工业企业，居民生活用地、行政办公用地与工业用地、仓储用地之间设置不低于</w:t>
            </w:r>
            <w:r>
              <w:t>30米的空间隔离带，隔离带应设置一定的防护绿地。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5" w:type="pct"/>
            <w:vMerge w:val="continue"/>
            <w:tcBorders>
              <w:left w:val="nil"/>
              <w:bottom w:val="single" w:color="auto" w:sz="4" w:space="0"/>
              <w:right w:val="single" w:color="auto" w:sz="4" w:space="0"/>
            </w:tcBorders>
            <w:vAlign w:val="center"/>
          </w:tcPr>
          <w:p>
            <w:pPr>
              <w:pStyle w:val="21"/>
            </w:pPr>
          </w:p>
        </w:tc>
        <w:tc>
          <w:tcPr>
            <w:tcW w:w="710" w:type="pct"/>
            <w:tcBorders>
              <w:top w:val="single" w:color="auto" w:sz="4" w:space="0"/>
              <w:left w:val="single" w:color="auto" w:sz="4" w:space="0"/>
              <w:bottom w:val="single" w:color="auto" w:sz="4" w:space="0"/>
              <w:right w:val="single" w:color="auto" w:sz="4" w:space="0"/>
            </w:tcBorders>
            <w:vAlign w:val="center"/>
          </w:tcPr>
          <w:p>
            <w:pPr>
              <w:pStyle w:val="21"/>
              <w:jc w:val="left"/>
              <w:rPr>
                <w:rFonts w:hint="default"/>
                <w:lang w:val="en-US" w:eastAsia="zh-CN"/>
              </w:rPr>
            </w:pPr>
            <w:r>
              <w:rPr>
                <w:rFonts w:hint="eastAsia"/>
                <w:lang w:val="en-US" w:eastAsia="zh-CN"/>
              </w:rPr>
              <w:t>金属表面处理中心项目</w:t>
            </w:r>
          </w:p>
        </w:tc>
        <w:tc>
          <w:tcPr>
            <w:tcW w:w="3834" w:type="pct"/>
            <w:tcBorders>
              <w:top w:val="single" w:color="auto" w:sz="4" w:space="0"/>
              <w:left w:val="single" w:color="auto" w:sz="4" w:space="0"/>
              <w:bottom w:val="single" w:color="auto" w:sz="4" w:space="0"/>
              <w:right w:val="nil"/>
            </w:tcBorders>
            <w:vAlign w:val="center"/>
          </w:tcPr>
          <w:p>
            <w:pPr>
              <w:pStyle w:val="21"/>
              <w:jc w:val="left"/>
              <w:rPr>
                <w:rFonts w:hint="eastAsia"/>
                <w:lang w:val="en-US" w:eastAsia="zh-CN"/>
              </w:rPr>
            </w:pPr>
            <w:r>
              <w:rPr>
                <w:rFonts w:hint="eastAsia"/>
                <w:lang w:val="en-US" w:eastAsia="zh-CN"/>
              </w:rPr>
              <w:t>设置厂界外500米范围的防护距离，在项目投运前防护距离内的村庄等居民区全部完成搬迁。</w:t>
            </w:r>
          </w:p>
          <w:p>
            <w:pPr>
              <w:pStyle w:val="21"/>
              <w:jc w:val="left"/>
              <w:rPr>
                <w:rFonts w:hint="default"/>
                <w:lang w:val="en-US" w:eastAsia="zh-CN"/>
              </w:rPr>
            </w:pPr>
            <w:r>
              <w:rPr>
                <w:rFonts w:hint="eastAsia"/>
                <w:lang w:val="en-US" w:eastAsia="zh-CN"/>
              </w:rPr>
              <w:t>防护距离范围内禁止新增居民区、学校、行政办公等敏感保护目标。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55" w:type="pct"/>
            <w:vMerge w:val="restart"/>
            <w:tcBorders>
              <w:top w:val="single" w:color="auto" w:sz="4" w:space="0"/>
              <w:left w:val="nil"/>
              <w:bottom w:val="single" w:color="auto" w:sz="4" w:space="0"/>
              <w:right w:val="single" w:color="auto" w:sz="4" w:space="0"/>
            </w:tcBorders>
            <w:vAlign w:val="center"/>
          </w:tcPr>
          <w:p>
            <w:pPr>
              <w:pStyle w:val="21"/>
            </w:pPr>
            <w:r>
              <w:rPr>
                <w:rFonts w:hint="eastAsia"/>
              </w:rPr>
              <w:t>污染物排放管控</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t>新建排放二氧化硫、氮氧化物、烟粉尘、挥发性有机物的项目，按照相关文件要求进行总量平衡</w:t>
            </w:r>
            <w:r>
              <w:rPr>
                <w:rFonts w:hint="eastAsia"/>
              </w:rPr>
              <w:t>。</w:t>
            </w:r>
          </w:p>
          <w:p>
            <w:pPr>
              <w:pStyle w:val="21"/>
              <w:jc w:val="left"/>
              <w:rPr>
                <w:rFonts w:hint="eastAsia"/>
              </w:rPr>
            </w:pPr>
            <w:r>
              <w:rPr>
                <w:rFonts w:hint="eastAsia"/>
                <w:lang w:val="en-US" w:eastAsia="zh-CN"/>
              </w:rPr>
              <w:t>海安市</w:t>
            </w:r>
            <w:r>
              <w:rPr>
                <w:rFonts w:hint="eastAsia"/>
              </w:rPr>
              <w:t>上一年度水环境质量未达到要求，相关污染物应按照建设项目所需替代的主要污染物排放总量指标的</w:t>
            </w:r>
            <w:r>
              <w:t>2</w:t>
            </w:r>
            <w:r>
              <w:rPr>
                <w:rFonts w:hint="eastAsia"/>
              </w:rPr>
              <w:t>倍进行削减替代。</w:t>
            </w:r>
          </w:p>
          <w:p>
            <w:pPr>
              <w:pStyle w:val="21"/>
              <w:jc w:val="left"/>
              <w:rPr>
                <w:rFonts w:hint="eastAsia" w:eastAsiaTheme="minorEastAsia"/>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0" w:type="auto"/>
            <w:vMerge w:val="continue"/>
            <w:tcBorders>
              <w:top w:val="single" w:color="auto" w:sz="4" w:space="0"/>
              <w:left w:val="nil"/>
              <w:bottom w:val="single" w:color="auto" w:sz="4"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default"/>
                <w:lang w:val="en-US"/>
              </w:rPr>
            </w:pPr>
            <w:r>
              <w:rPr>
                <w:rFonts w:hint="eastAsia"/>
                <w:szCs w:val="20"/>
              </w:rPr>
              <w:t>严格新建项目总量前置审批</w:t>
            </w:r>
            <w:r>
              <w:rPr>
                <w:rFonts w:hint="eastAsia"/>
                <w:szCs w:val="20"/>
                <w:lang w:eastAsia="zh-CN"/>
              </w:rPr>
              <w:t>，</w:t>
            </w:r>
            <w:r>
              <w:rPr>
                <w:rFonts w:hint="eastAsia"/>
                <w:lang w:val="en-US" w:eastAsia="zh-CN"/>
              </w:rPr>
              <w:t>新建排放重金属铬的项目按要求进行等量替代。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4"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eastAsia" w:eastAsiaTheme="minorEastAsia"/>
                <w:lang w:val="en-US" w:eastAsia="zh-CN"/>
              </w:rPr>
            </w:pPr>
            <w:r>
              <w:rPr>
                <w:rFonts w:hint="eastAsia"/>
              </w:rPr>
              <w:t>新建项目中有行业标准的执行相应行业标准，无行业标准的执行</w:t>
            </w:r>
            <w:r>
              <w:t>《大气污染物综合排放标准》（</w:t>
            </w:r>
            <w:r>
              <w:rPr>
                <w:rFonts w:hint="eastAsia"/>
              </w:rPr>
              <w:t>DB32/4041</w:t>
            </w:r>
            <w:r>
              <w:t>-</w:t>
            </w:r>
            <w:r>
              <w:rPr>
                <w:rFonts w:hint="eastAsia"/>
              </w:rPr>
              <w:t>2021</w:t>
            </w:r>
            <w:r>
              <w:t>）表</w:t>
            </w:r>
            <w:r>
              <w:rPr>
                <w:rFonts w:hint="eastAsia"/>
              </w:rPr>
              <w:t>1和表2 标准要求，恶臭气体排放执行《恶臭污染物排放标准》（</w:t>
            </w:r>
            <w:r>
              <w:t>GB14554-93</w:t>
            </w:r>
            <w:r>
              <w:rPr>
                <w:rFonts w:hint="eastAsia"/>
              </w:rPr>
              <w:t>）二级标准。区域内自建锅炉执行《锅炉大气污染物排放标准》（</w:t>
            </w:r>
            <w:r>
              <w:t>GB13271-2014</w:t>
            </w:r>
            <w:r>
              <w:rPr>
                <w:rFonts w:hint="eastAsia"/>
              </w:rPr>
              <w:t>）表</w:t>
            </w:r>
            <w:r>
              <w:t xml:space="preserve"> 3 </w:t>
            </w:r>
            <w:r>
              <w:rPr>
                <w:rFonts w:hint="eastAsia"/>
              </w:rPr>
              <w:t>中规定的大气污染物特别排放限值</w:t>
            </w:r>
            <w:r>
              <w:rPr>
                <w:rFonts w:hint="eastAsia"/>
                <w:lang w:eastAsia="zh-CN"/>
              </w:rPr>
              <w:t>（</w:t>
            </w:r>
            <w:r>
              <w:rPr>
                <w:rFonts w:hint="eastAsia"/>
                <w:lang w:val="en-US" w:eastAsia="zh-CN"/>
              </w:rPr>
              <w:t>NOx执行50mg/m</w:t>
            </w:r>
            <w:r>
              <w:rPr>
                <w:rFonts w:hint="eastAsia"/>
                <w:vertAlign w:val="superscript"/>
                <w:lang w:val="en-US" w:eastAsia="zh-CN"/>
              </w:rPr>
              <w:t>3</w:t>
            </w:r>
            <w:r>
              <w:rPr>
                <w:rFonts w:hint="eastAsia"/>
                <w:lang w:eastAsia="zh-CN"/>
              </w:rPr>
              <w:t>）</w:t>
            </w:r>
            <w:r>
              <w:rPr>
                <w:rFonts w:hint="eastAsia"/>
              </w:rPr>
              <w:t>。</w:t>
            </w:r>
            <w:r>
              <w:rPr>
                <w:rFonts w:hint="eastAsia"/>
                <w:lang w:val="en-US" w:eastAsia="zh-CN"/>
              </w:rPr>
              <w:t>金属表面处理中心项目执行《电镀污染物排放标准》</w:t>
            </w:r>
            <w:r>
              <w:rPr>
                <w:rFonts w:hint="eastAsia"/>
              </w:rPr>
              <w:t>（</w:t>
            </w:r>
            <w:r>
              <w:t>GB</w:t>
            </w:r>
            <w:r>
              <w:rPr>
                <w:rFonts w:hint="eastAsia"/>
                <w:lang w:val="en-US" w:eastAsia="zh-CN"/>
              </w:rPr>
              <w:t>21900</w:t>
            </w:r>
            <w:r>
              <w:t>-20</w:t>
            </w:r>
            <w:r>
              <w:rPr>
                <w:rFonts w:hint="eastAsia"/>
                <w:lang w:val="en-US" w:eastAsia="zh-CN"/>
              </w:rPr>
              <w:t>008</w:t>
            </w:r>
            <w:r>
              <w:rPr>
                <w:rFonts w:hint="eastAsia"/>
              </w:rPr>
              <w:t>）</w:t>
            </w: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55" w:type="pct"/>
            <w:vMerge w:val="restart"/>
            <w:tcBorders>
              <w:top w:val="single" w:color="auto" w:sz="4" w:space="0"/>
              <w:left w:val="nil"/>
              <w:bottom w:val="single" w:color="auto" w:sz="4" w:space="0"/>
              <w:right w:val="single" w:color="auto" w:sz="4" w:space="0"/>
            </w:tcBorders>
            <w:vAlign w:val="center"/>
          </w:tcPr>
          <w:p>
            <w:pPr>
              <w:pStyle w:val="21"/>
            </w:pPr>
            <w:r>
              <w:rPr>
                <w:rFonts w:hint="eastAsia"/>
              </w:rPr>
              <w:t>环境风险防控</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lang w:val="en-US" w:eastAsia="zh-CN"/>
              </w:rPr>
              <w:t>电子信息产业园</w:t>
            </w:r>
            <w:r>
              <w:rPr>
                <w:rFonts w:hint="eastAsia"/>
              </w:rPr>
              <w:t>应建立环境风险防控系统；构建与海安市之间的联动应急响应体系，实行联防联控。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0" w:type="auto"/>
            <w:vMerge w:val="continue"/>
            <w:tcBorders>
              <w:top w:val="single" w:color="auto" w:sz="4" w:space="0"/>
              <w:left w:val="nil"/>
              <w:bottom w:val="single" w:color="auto" w:sz="4"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rPr>
              <w:t>加强</w:t>
            </w:r>
            <w:r>
              <w:rPr>
                <w:rFonts w:hint="eastAsia"/>
                <w:lang w:val="en-US" w:eastAsia="zh-CN"/>
              </w:rPr>
              <w:t>通榆河一级保护区-如海云海两侧1公里范围的</w:t>
            </w:r>
            <w:r>
              <w:rPr>
                <w:rFonts w:hint="eastAsia"/>
              </w:rPr>
              <w:t>风险管控。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4"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default" w:eastAsiaTheme="minorEastAsia"/>
                <w:lang w:val="en-US" w:eastAsia="zh-CN"/>
              </w:rPr>
            </w:pPr>
            <w:r>
              <w:rPr>
                <w:rFonts w:hint="eastAsia"/>
                <w:lang w:val="en-US" w:eastAsia="zh-CN"/>
              </w:rPr>
              <w:t>表面处理中心项目严格落实地下水和土壤污染防治措施。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55" w:type="pct"/>
            <w:vMerge w:val="restart"/>
            <w:tcBorders>
              <w:top w:val="single" w:color="auto" w:sz="4" w:space="0"/>
              <w:left w:val="nil"/>
              <w:bottom w:val="single" w:color="auto" w:sz="12" w:space="0"/>
              <w:right w:val="single" w:color="auto" w:sz="4" w:space="0"/>
            </w:tcBorders>
            <w:vAlign w:val="center"/>
          </w:tcPr>
          <w:p>
            <w:pPr>
              <w:pStyle w:val="21"/>
            </w:pPr>
            <w:r>
              <w:rPr>
                <w:rFonts w:hint="eastAsia"/>
              </w:rPr>
              <w:t>资源开发利用要求</w:t>
            </w:r>
          </w:p>
        </w:tc>
        <w:tc>
          <w:tcPr>
            <w:tcW w:w="4544" w:type="pct"/>
            <w:gridSpan w:val="2"/>
            <w:tcBorders>
              <w:top w:val="single" w:color="auto" w:sz="4" w:space="0"/>
              <w:left w:val="single" w:color="auto" w:sz="4" w:space="0"/>
              <w:bottom w:val="single" w:color="auto" w:sz="4" w:space="0"/>
              <w:right w:val="nil"/>
            </w:tcBorders>
            <w:vAlign w:val="center"/>
          </w:tcPr>
          <w:p>
            <w:pPr>
              <w:pStyle w:val="21"/>
              <w:jc w:val="left"/>
            </w:pPr>
            <w:r>
              <w:rPr>
                <w:rFonts w:hint="eastAsia"/>
              </w:rPr>
              <w:t>区内建设项目环评应衔接落实有关区域和行业碳达峰行动方案、清洁能源替代、清洁运输、煤炭消费总量控制等政策要求。统筹开展污染物和碳排放的源项识别、源强核算、减污降碳措施可行性论证及方案比选，提出协同控制最优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12"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eastAsia" w:eastAsiaTheme="minorEastAsia"/>
                <w:lang w:val="en-US" w:eastAsia="zh-CN"/>
              </w:rPr>
            </w:pPr>
            <w:r>
              <w:rPr>
                <w:rFonts w:hint="eastAsia"/>
              </w:rPr>
              <w:t>不得新建燃煤锅炉</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12"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eastAsia"/>
              </w:rPr>
            </w:pPr>
            <w:r>
              <w:rPr>
                <w:rFonts w:hint="eastAsia"/>
              </w:rPr>
              <w:t>禁止建设新建、改扩建采用高污染燃料的项目和设施</w:t>
            </w:r>
            <w:r>
              <w:rPr>
                <w:rFonts w:hint="eastAsia"/>
                <w:lang w:eastAsia="zh-CN"/>
              </w:rPr>
              <w:t>；</w:t>
            </w:r>
            <w:r>
              <w:rPr>
                <w:szCs w:val="20"/>
              </w:rPr>
              <w:t>区内各企业因工艺需要使用</w:t>
            </w:r>
            <w:r>
              <w:rPr>
                <w:rFonts w:hint="eastAsia"/>
                <w:szCs w:val="20"/>
              </w:rPr>
              <w:t>工业</w:t>
            </w:r>
            <w:r>
              <w:rPr>
                <w:szCs w:val="20"/>
              </w:rPr>
              <w:t>炉窑</w:t>
            </w:r>
            <w:r>
              <w:rPr>
                <w:rFonts w:hint="eastAsia"/>
                <w:szCs w:val="20"/>
              </w:rPr>
              <w:t>应</w:t>
            </w:r>
            <w:r>
              <w:rPr>
                <w:szCs w:val="20"/>
              </w:rPr>
              <w:t>使用天然气</w:t>
            </w:r>
            <w:r>
              <w:rPr>
                <w:rFonts w:hint="eastAsia"/>
                <w:szCs w:val="20"/>
              </w:rPr>
              <w:t>、电</w:t>
            </w:r>
            <w:r>
              <w:rPr>
                <w:szCs w:val="20"/>
              </w:rPr>
              <w:t>等清洁</w:t>
            </w:r>
            <w:r>
              <w:rPr>
                <w:rFonts w:hint="eastAsia"/>
                <w:szCs w:val="20"/>
              </w:rPr>
              <w:t>能源。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12"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4" w:space="0"/>
              <w:right w:val="nil"/>
            </w:tcBorders>
            <w:vAlign w:val="center"/>
          </w:tcPr>
          <w:p>
            <w:pPr>
              <w:pStyle w:val="21"/>
              <w:jc w:val="left"/>
              <w:rPr>
                <w:rFonts w:hint="default" w:eastAsiaTheme="minorEastAsia"/>
                <w:lang w:val="en-US" w:eastAsia="zh-CN"/>
              </w:rPr>
            </w:pPr>
            <w:r>
              <w:rPr>
                <w:rFonts w:hint="eastAsia"/>
                <w:lang w:val="en-US" w:eastAsia="zh-CN"/>
              </w:rPr>
              <w:t>表面处理中心项目</w:t>
            </w:r>
            <w:r>
              <w:rPr>
                <w:rFonts w:hint="eastAsia"/>
              </w:rPr>
              <w:t>用水重复利用率达到</w:t>
            </w:r>
            <w:r>
              <w:rPr>
                <w:rFonts w:hint="eastAsia"/>
                <w:lang w:val="en-US" w:eastAsia="zh-CN"/>
              </w:rPr>
              <w:t>3</w:t>
            </w:r>
            <w:r>
              <w:rPr>
                <w:rFonts w:hint="eastAsia"/>
              </w:rPr>
              <w:t>0%以上，限定性指标全部满足Ⅱ级基准值要求，工艺、装备、清洁生产水平基本达到国际先进水平。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continue"/>
            <w:tcBorders>
              <w:top w:val="single" w:color="auto" w:sz="4" w:space="0"/>
              <w:left w:val="nil"/>
              <w:bottom w:val="single" w:color="auto" w:sz="12" w:space="0"/>
              <w:right w:val="single" w:color="auto" w:sz="4" w:space="0"/>
            </w:tcBorders>
            <w:vAlign w:val="center"/>
          </w:tcPr>
          <w:p>
            <w:pPr>
              <w:pStyle w:val="21"/>
            </w:pPr>
          </w:p>
        </w:tc>
        <w:tc>
          <w:tcPr>
            <w:tcW w:w="4544" w:type="pct"/>
            <w:gridSpan w:val="2"/>
            <w:tcBorders>
              <w:top w:val="single" w:color="auto" w:sz="4" w:space="0"/>
              <w:left w:val="single" w:color="auto" w:sz="4" w:space="0"/>
              <w:bottom w:val="single" w:color="auto" w:sz="12" w:space="0"/>
              <w:right w:val="nil"/>
            </w:tcBorders>
            <w:vAlign w:val="center"/>
          </w:tcPr>
          <w:p>
            <w:pPr>
              <w:pStyle w:val="21"/>
              <w:bidi w:val="0"/>
              <w:jc w:val="both"/>
              <w:rPr>
                <w:rFonts w:hint="default"/>
                <w:lang w:val="en-US" w:eastAsia="zh-CN"/>
              </w:rPr>
            </w:pPr>
            <w:r>
              <w:rPr>
                <w:rFonts w:hint="eastAsia"/>
                <w:lang w:val="en-US" w:eastAsia="zh-CN"/>
              </w:rPr>
              <w:t>对现有水泥、建材等行业，</w:t>
            </w:r>
            <w:r>
              <w:rPr>
                <w:rFonts w:hint="eastAsia"/>
              </w:rPr>
              <w:t>根据清洁生产标准及重污染天气重点行业应急减排措施，开展行业分级整治。全面开展清洁生产审核，力争将</w:t>
            </w:r>
            <w:r>
              <w:rPr>
                <w:rFonts w:hint="eastAsia"/>
                <w:lang w:val="en-US" w:eastAsia="zh-CN"/>
              </w:rPr>
              <w:t>建材行业</w:t>
            </w:r>
            <w:r>
              <w:rPr>
                <w:rFonts w:hint="eastAsia"/>
              </w:rPr>
              <w:t>提升至清洁生产Ⅰ级标准，工艺、装备水平基本达到国际先进水平。</w:t>
            </w:r>
          </w:p>
        </w:tc>
      </w:tr>
    </w:tbl>
    <w:p>
      <w:pPr>
        <w:pStyle w:val="4"/>
        <w:rPr>
          <w:rFonts w:hint="eastAsia"/>
          <w:color w:val="auto"/>
        </w:rPr>
      </w:pPr>
    </w:p>
    <w:p>
      <w:pPr>
        <w:pStyle w:val="2"/>
        <w:bidi w:val="0"/>
        <w:rPr>
          <w:color w:val="auto"/>
        </w:rPr>
      </w:pPr>
      <w:bookmarkStart w:id="37" w:name="_Toc6160"/>
      <w:r>
        <w:rPr>
          <w:rFonts w:hint="eastAsia"/>
          <w:color w:val="auto"/>
        </w:rPr>
        <w:t>总结论</w:t>
      </w:r>
      <w:bookmarkEnd w:id="37"/>
    </w:p>
    <w:p>
      <w:pPr>
        <w:pStyle w:val="4"/>
        <w:rPr>
          <w:color w:val="auto"/>
        </w:rPr>
      </w:pPr>
      <w:r>
        <w:rPr>
          <w:rFonts w:hint="eastAsia"/>
          <w:color w:val="auto"/>
          <w:lang w:val="en-US" w:eastAsia="zh-CN"/>
        </w:rPr>
        <w:t>电子信息产业园</w:t>
      </w:r>
      <w:r>
        <w:rPr>
          <w:color w:val="auto"/>
        </w:rPr>
        <w:t>开发建设规划与上层规划、相关环境保护规划以及其他规划基本协调，</w:t>
      </w:r>
      <w:r>
        <w:rPr>
          <w:rFonts w:hint="eastAsia"/>
          <w:color w:val="auto"/>
          <w:lang w:val="en-US" w:eastAsia="zh-CN"/>
        </w:rPr>
        <w:t>园区</w:t>
      </w:r>
      <w:r>
        <w:rPr>
          <w:color w:val="auto"/>
        </w:rPr>
        <w:t>发展目标、功能定位、空间布局、产业定位等不存在重大环境影响。根据本规划环评报告提出的优化调整建议对规划相关内容进行适当调整、并严格落实本评价提出的优化调整建议、各项环境影响减缓措施后，该规划在环境保护方面是可行的。</w:t>
      </w:r>
    </w:p>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1">
      <wne:acd wne:acdName="acd4"/>
    </wne:keymap>
    <wne:keymap wne:kcmPrimary="0442">
      <wne:acd wne:acdName="acd5"/>
    </wne:keymap>
    <wne:keymap wne:kcmPrimary="0454">
      <wne:acd wne:acdName="acd6"/>
    </wne:keymap>
    <wne:keymap wne:kcmPrimary="0456">
      <wne:acd wne:acdName="acd7"/>
    </wne:keymap>
    <wne:keymap wne:kcmPrimary="0457">
      <wne:acd wne:acdName="acd8"/>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ClYkpUh2UsZw==" wne:acdName="acd4" wne:fciIndexBasedOn="0065"/>
    <wne:acd wne:argValue="AgBoiDxo" wne:acdName="acd5" wne:fciIndexBasedOn="0065"/>
    <wne:acd wne:argValue="AQAAACIA" wne:acdName="acd6" wne:fciIndexBasedOn="0065"/>
    <wne:acd wne:argValue="AgBoiDRZ" wne:acdName="acd7" wne:fciIndexBasedOn="0065"/>
    <wne:acd wne:argValue="AgCHZSxnoFKXfA=="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rPr>
        <w:rFonts w:hint="eastAsia"/>
      </w:rPr>
      <w:t>海安高新技术开发区建设规划环境影响报告书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90DC4"/>
    <w:multiLevelType w:val="multilevel"/>
    <w:tmpl w:val="5FC90DC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2634"/>
    <w:rsid w:val="002C0058"/>
    <w:rsid w:val="004D7A74"/>
    <w:rsid w:val="004F3425"/>
    <w:rsid w:val="00600FB3"/>
    <w:rsid w:val="00601895"/>
    <w:rsid w:val="00675466"/>
    <w:rsid w:val="00677069"/>
    <w:rsid w:val="006842A2"/>
    <w:rsid w:val="006D4C29"/>
    <w:rsid w:val="00774B22"/>
    <w:rsid w:val="007A4D3B"/>
    <w:rsid w:val="007B61A0"/>
    <w:rsid w:val="008C4ECE"/>
    <w:rsid w:val="00A37EA3"/>
    <w:rsid w:val="00AA61EA"/>
    <w:rsid w:val="00B151D2"/>
    <w:rsid w:val="00BA092A"/>
    <w:rsid w:val="00C86D5A"/>
    <w:rsid w:val="00D759F5"/>
    <w:rsid w:val="00FA0608"/>
    <w:rsid w:val="00FF1FAB"/>
    <w:rsid w:val="02F16604"/>
    <w:rsid w:val="095D40C8"/>
    <w:rsid w:val="0D011508"/>
    <w:rsid w:val="0DEF39F4"/>
    <w:rsid w:val="0E350BDE"/>
    <w:rsid w:val="10674712"/>
    <w:rsid w:val="10C21ED4"/>
    <w:rsid w:val="10F36683"/>
    <w:rsid w:val="11DC11EF"/>
    <w:rsid w:val="15ED3C55"/>
    <w:rsid w:val="214C64C3"/>
    <w:rsid w:val="22686A02"/>
    <w:rsid w:val="2374263C"/>
    <w:rsid w:val="23DD4726"/>
    <w:rsid w:val="26FA0FEF"/>
    <w:rsid w:val="2B633448"/>
    <w:rsid w:val="2D9851CD"/>
    <w:rsid w:val="2EEB1C11"/>
    <w:rsid w:val="2FBA206E"/>
    <w:rsid w:val="30274161"/>
    <w:rsid w:val="32B62121"/>
    <w:rsid w:val="32D510DC"/>
    <w:rsid w:val="33D33C51"/>
    <w:rsid w:val="35412260"/>
    <w:rsid w:val="374750E9"/>
    <w:rsid w:val="3797543F"/>
    <w:rsid w:val="387341FE"/>
    <w:rsid w:val="38881050"/>
    <w:rsid w:val="39773C54"/>
    <w:rsid w:val="3C330AE5"/>
    <w:rsid w:val="3D6C3362"/>
    <w:rsid w:val="3E7F7C7E"/>
    <w:rsid w:val="400007F3"/>
    <w:rsid w:val="41A1301B"/>
    <w:rsid w:val="46BF238D"/>
    <w:rsid w:val="48E03492"/>
    <w:rsid w:val="4AC95FEC"/>
    <w:rsid w:val="4C423785"/>
    <w:rsid w:val="4D772959"/>
    <w:rsid w:val="4DD84466"/>
    <w:rsid w:val="4DF35FF1"/>
    <w:rsid w:val="4F6068E5"/>
    <w:rsid w:val="51A25003"/>
    <w:rsid w:val="55BE122C"/>
    <w:rsid w:val="568178C1"/>
    <w:rsid w:val="5A245737"/>
    <w:rsid w:val="5B5722A2"/>
    <w:rsid w:val="5F174FE5"/>
    <w:rsid w:val="5F3141D4"/>
    <w:rsid w:val="5FB20C94"/>
    <w:rsid w:val="603339F2"/>
    <w:rsid w:val="60F56666"/>
    <w:rsid w:val="6466311D"/>
    <w:rsid w:val="64DE552A"/>
    <w:rsid w:val="655E0F41"/>
    <w:rsid w:val="661D1B9D"/>
    <w:rsid w:val="675F0B02"/>
    <w:rsid w:val="690264F8"/>
    <w:rsid w:val="6ABF407F"/>
    <w:rsid w:val="6F7F1636"/>
    <w:rsid w:val="71C936D2"/>
    <w:rsid w:val="71D6354B"/>
    <w:rsid w:val="758A6EC0"/>
    <w:rsid w:val="773F4393"/>
    <w:rsid w:val="794972D7"/>
    <w:rsid w:val="794E6EFE"/>
    <w:rsid w:val="79C47046"/>
    <w:rsid w:val="7B161375"/>
    <w:rsid w:val="7BC5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line="500" w:lineRule="exact"/>
      <w:jc w:val="left"/>
      <w:outlineLvl w:val="0"/>
    </w:pPr>
    <w:rPr>
      <w:rFonts w:ascii="Times New Roman" w:hAnsi="Times New Roman"/>
      <w:b/>
      <w:kern w:val="44"/>
      <w:sz w:val="44"/>
    </w:rPr>
  </w:style>
  <w:style w:type="paragraph" w:styleId="3">
    <w:name w:val="heading 2"/>
    <w:basedOn w:val="1"/>
    <w:next w:val="4"/>
    <w:unhideWhenUsed/>
    <w:qFormat/>
    <w:uiPriority w:val="0"/>
    <w:pPr>
      <w:keepNext/>
      <w:keepLines/>
      <w:numPr>
        <w:ilvl w:val="1"/>
        <w:numId w:val="1"/>
      </w:numPr>
      <w:spacing w:before="100" w:after="100" w:line="500" w:lineRule="exact"/>
      <w:jc w:val="left"/>
      <w:outlineLvl w:val="1"/>
    </w:pPr>
    <w:rPr>
      <w:rFonts w:ascii="Times New Roman" w:hAnsi="Times New Roman" w:eastAsia="宋体"/>
      <w:b/>
      <w:sz w:val="30"/>
    </w:rPr>
  </w:style>
  <w:style w:type="paragraph" w:styleId="5">
    <w:name w:val="heading 3"/>
    <w:basedOn w:val="1"/>
    <w:next w:val="1"/>
    <w:unhideWhenUsed/>
    <w:qFormat/>
    <w:uiPriority w:val="0"/>
    <w:pPr>
      <w:keepNext/>
      <w:keepLines/>
      <w:numPr>
        <w:ilvl w:val="2"/>
        <w:numId w:val="1"/>
      </w:numPr>
      <w:spacing w:before="80" w:after="80" w:line="500" w:lineRule="exact"/>
      <w:jc w:val="left"/>
      <w:outlineLvl w:val="2"/>
    </w:pPr>
    <w:rPr>
      <w:rFonts w:ascii="Times New Roman" w:hAnsi="Times New Roman" w:eastAsia="宋体"/>
      <w:b/>
      <w:sz w:val="28"/>
    </w:rPr>
  </w:style>
  <w:style w:type="paragraph" w:styleId="6">
    <w:name w:val="heading 4"/>
    <w:basedOn w:val="1"/>
    <w:next w:val="4"/>
    <w:unhideWhenUsed/>
    <w:qFormat/>
    <w:uiPriority w:val="0"/>
    <w:pPr>
      <w:keepNext/>
      <w:keepLines/>
      <w:numPr>
        <w:ilvl w:val="3"/>
        <w:numId w:val="1"/>
      </w:numPr>
      <w:spacing w:before="60" w:after="60" w:line="500" w:lineRule="exact"/>
      <w:jc w:val="left"/>
      <w:outlineLvl w:val="3"/>
    </w:pPr>
    <w:rPr>
      <w:rFonts w:ascii="Times New Roman" w:hAnsi="Times New Roman" w:eastAsia="宋体"/>
      <w:b/>
      <w:sz w:val="24"/>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4">
    <w:name w:val="报告文本"/>
    <w:basedOn w:val="1"/>
    <w:link w:val="26"/>
    <w:qFormat/>
    <w:uiPriority w:val="0"/>
    <w:pPr>
      <w:spacing w:line="500" w:lineRule="exact"/>
      <w:ind w:firstLine="420" w:firstLineChars="200"/>
    </w:pPr>
    <w:rPr>
      <w:rFonts w:ascii="Times New Roman" w:hAnsi="Times New Roman"/>
      <w:sz w:val="24"/>
    </w:rPr>
  </w:style>
  <w:style w:type="paragraph" w:styleId="12">
    <w:name w:val="caption"/>
    <w:basedOn w:val="1"/>
    <w:next w:val="4"/>
    <w:unhideWhenUsed/>
    <w:qFormat/>
    <w:uiPriority w:val="0"/>
    <w:pPr>
      <w:spacing w:before="50" w:beforeLines="50" w:after="30" w:afterLines="30"/>
      <w:jc w:val="center"/>
    </w:pPr>
    <w:rPr>
      <w:rFonts w:ascii="Times New Roman" w:hAnsi="Times New Roman" w:eastAsia="宋体"/>
      <w:b/>
      <w:sz w:val="24"/>
    </w:rPr>
  </w:style>
  <w:style w:type="paragraph" w:styleId="13">
    <w:name w:val="annotation text"/>
    <w:basedOn w:val="1"/>
    <w:unhideWhenUsed/>
    <w:qFormat/>
    <w:uiPriority w:val="0"/>
  </w:style>
  <w:style w:type="paragraph" w:styleId="14">
    <w:name w:val="footer"/>
    <w:basedOn w:val="1"/>
    <w:qFormat/>
    <w:uiPriority w:val="0"/>
    <w:pPr>
      <w:tabs>
        <w:tab w:val="center" w:pos="4153"/>
        <w:tab w:val="right" w:pos="8306"/>
      </w:tabs>
      <w:snapToGrid w:val="0"/>
      <w:jc w:val="center"/>
    </w:pPr>
    <w:rPr>
      <w:rFonts w:ascii="Times New Roman" w:hAnsi="Times New Roman"/>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16">
    <w:name w:val="toc 1"/>
    <w:basedOn w:val="1"/>
    <w:next w:val="1"/>
    <w:unhideWhenUsed/>
    <w:qFormat/>
    <w:uiPriority w:val="39"/>
    <w:pPr>
      <w:spacing w:line="360" w:lineRule="auto"/>
    </w:pPr>
    <w:rPr>
      <w:rFonts w:ascii="Times New Roman" w:hAnsi="Times New Roman"/>
      <w:b/>
      <w:sz w:val="24"/>
    </w:rPr>
  </w:style>
  <w:style w:type="paragraph" w:styleId="17">
    <w:name w:val="toc 2"/>
    <w:basedOn w:val="1"/>
    <w:next w:val="1"/>
    <w:unhideWhenUsed/>
    <w:qFormat/>
    <w:uiPriority w:val="39"/>
    <w:pPr>
      <w:spacing w:line="360" w:lineRule="auto"/>
      <w:ind w:left="420" w:leftChars="200"/>
    </w:pPr>
    <w:rPr>
      <w:rFonts w:ascii="Times New Roman" w:hAnsi="Times New Roman"/>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
    <w:basedOn w:val="1"/>
    <w:link w:val="27"/>
    <w:qFormat/>
    <w:uiPriority w:val="0"/>
    <w:pPr>
      <w:jc w:val="center"/>
    </w:pPr>
    <w:rPr>
      <w:rFonts w:ascii="Times New Roman" w:hAnsi="Times New Roman"/>
    </w:rPr>
  </w:style>
  <w:style w:type="paragraph" w:customStyle="1" w:styleId="22">
    <w:name w:val="表头"/>
    <w:basedOn w:val="21"/>
    <w:next w:val="4"/>
    <w:qFormat/>
    <w:uiPriority w:val="0"/>
    <w:rPr>
      <w:b/>
    </w:rPr>
  </w:style>
  <w:style w:type="paragraph" w:customStyle="1" w:styleId="23">
    <w:name w:val="封面1"/>
    <w:basedOn w:val="1"/>
    <w:next w:val="4"/>
    <w:qFormat/>
    <w:uiPriority w:val="0"/>
    <w:pPr>
      <w:spacing w:line="1000" w:lineRule="exact"/>
      <w:jc w:val="center"/>
    </w:pPr>
    <w:rPr>
      <w:rFonts w:ascii="Times New Roman" w:hAnsi="Times New Roman" w:eastAsia="黑体"/>
      <w:sz w:val="48"/>
    </w:rPr>
  </w:style>
  <w:style w:type="paragraph" w:customStyle="1" w:styleId="24">
    <w:name w:val="封面2"/>
    <w:basedOn w:val="1"/>
    <w:next w:val="4"/>
    <w:qFormat/>
    <w:uiPriority w:val="0"/>
    <w:pPr>
      <w:spacing w:line="360" w:lineRule="auto"/>
      <w:jc w:val="center"/>
    </w:pPr>
    <w:rPr>
      <w:rFonts w:asciiTheme="minorAscii" w:hAnsiTheme="minorAscii"/>
      <w:b/>
      <w:sz w:val="32"/>
    </w:rPr>
  </w:style>
  <w:style w:type="paragraph" w:customStyle="1" w:styleId="25">
    <w:name w:val="文本加粗"/>
    <w:basedOn w:val="4"/>
    <w:next w:val="4"/>
    <w:qFormat/>
    <w:uiPriority w:val="0"/>
    <w:pPr>
      <w:ind w:firstLine="880"/>
    </w:pPr>
    <w:rPr>
      <w:b/>
    </w:rPr>
  </w:style>
  <w:style w:type="character" w:customStyle="1" w:styleId="26">
    <w:name w:val="报告文本 Char"/>
    <w:link w:val="4"/>
    <w:qFormat/>
    <w:uiPriority w:val="0"/>
    <w:rPr>
      <w:rFonts w:ascii="Times New Roman" w:hAnsi="Times New Roman"/>
      <w:sz w:val="24"/>
    </w:rPr>
  </w:style>
  <w:style w:type="character" w:customStyle="1" w:styleId="27">
    <w:name w:val="表格 Char"/>
    <w:link w:val="21"/>
    <w:qFormat/>
    <w:uiPriority w:val="0"/>
    <w:rPr>
      <w:rFonts w:ascii="Times New Roman" w:hAnsi="Times New Roman"/>
    </w:rPr>
  </w:style>
  <w:style w:type="table" w:customStyle="1" w:styleId="28">
    <w:name w:val="网格型1"/>
    <w:basedOn w:val="18"/>
    <w:qFormat/>
    <w:uiPriority w:val="0"/>
    <w:pPr>
      <w:widowControl w:val="0"/>
      <w:spacing w:line="36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275</Pages>
  <Words>30125</Words>
  <Characters>171715</Characters>
  <Lines>1430</Lines>
  <Paragraphs>402</Paragraphs>
  <TotalTime>0</TotalTime>
  <ScaleCrop>false</ScaleCrop>
  <LinksUpToDate>false</LinksUpToDate>
  <CharactersWithSpaces>201438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2021-08-25T06:49:00Z</dcterms:created>
  <dc:creator>hp</dc:creator>
  <cp:lastModifiedBy>nana</cp:lastModifiedBy>
  <dcterms:modified xsi:type="dcterms:W3CDTF">2022-01-20T10:35:44Z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5D5C6DC01413428989111585C45AAE9B</vt:lpwstr>
  </property>
</Properties>
</file>