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工作总结及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2022年工作思路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海安市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住房和城乡建设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，住建局在市委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市政府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的正确领导下，在市人大常委会的监督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下，深入贯彻习近平总书记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系列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重要讲话精神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，紧紧围绕年度工作目标任务，精心部署，克难攻坚，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较好完成了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工作目标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2021年工作总结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路桥工程有序推进。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立足“窄马路、密路网、开放街道”的建设理念，打通断头路、改造瓶颈路，不断提升城区道路通行能力。黄海路通扬河桥、草坝路、宁海路、安泰路西延等道路工程全部建成通车。完成实小南巷、图书馆周边等交通微循环改造，城市交通局部堵点有效改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入选美丽宜居城市试点。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对照美丽宜居城市建设和污水防治攻坚要求，加快城市治理体系和治理能力现代化建设。</w:t>
      </w:r>
      <w:r>
        <w:rPr>
          <w:rStyle w:val="24"/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一是全力推进城市绿色增量。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结合庆祝建党100周年和文明典范城市创建，在火车站、汽车站、七战七捷纪念馆、文化艺术中心等重要场所设置6座“庆祝建党100周年”主题立体花坛，展现海安积极向上、蓬勃发展的新形象。在城市重要节点、公园、广场内新增动物绿雕18座，让城市绿化更灵动。完成5个高速、国道道口绿化提升，新增、改造绿化面积168.4万平方米；完成宁海南路南延等5条道路、8条河道节点绿化工程，新增阳光嘉园西侧等口袋公园16个，完成城区绿化补植5525平方米，苗木补植1640株，明显提升了绿化景观效果。</w:t>
      </w:r>
      <w:r>
        <w:rPr>
          <w:rStyle w:val="24"/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二是全力推进城区水体消劣。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全力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推进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城镇污水处理提质增效精准攻坚“333”行动，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污水处理提质增效精准攻坚“333”行动全面开展，实施建成区管网盲区覆盖工程3个，完成市政污水管网修复15公里，改造居民小区、单位庭院排水40个，有效提升污水管网的收集效能，城市污水处理厂进水浓度显著上升。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实施“活水畅流”工程，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完成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通扬运河引排泵站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、草坝路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zh-CN" w:eastAsia="zh-CN"/>
        </w:rPr>
        <w:t>控导闸堰工程、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曹平河安平路泵闸施工，周济河、盲肠河、翻身河、立新河整治工程有序推进，全面巩固水体整治成果。</w:t>
      </w:r>
      <w:r>
        <w:rPr>
          <w:rStyle w:val="24"/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三是全力推进城区环境“销声”。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根据人大代表建议，全力实施井盖治理，全面梳理城区问题井盖852处，制定了问题井盖整治方案，完成曙光西路（中坝路-永安路）、宁海路（长江路-江海路）、永安路（江海路-长江路）的186处问题井盖进行整治。</w:t>
      </w:r>
      <w:r>
        <w:rPr>
          <w:rStyle w:val="24"/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shd w:val="clear" w:color="auto" w:fill="auto"/>
          <w:lang w:val="en-US" w:eastAsia="zh-CN"/>
        </w:rPr>
        <w:t>四是全力推进城区环境提质。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认真履行创建文明城市主力军职责，持续抓实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典范城市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工作。维修更换道板约1697.42平方米、侧平石约193.23米、路牙约219.72米；修复零星沥青路面约71.13平方米；修补混凝土路面约1475.66平方米；安装新交通护栏2146.76米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修复及新增标识牌约330块、标志杆约251根、更换反光柱反光膜约223根；修复零星沥青路面约71.13平方米；对城区86座桥梁加装限载标牌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做好城市地下管网专项整治工作，发现安全隐患25处，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整改24处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；启动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市政井盖专项整治及微空间治理。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完成城区行道树补植82棵，城区补植麦冬19180平方米、补植草坪1510平方米。对法制广场、行政大楼北侧公园、海陵公园、人民广场等公园7792盏景点亮化设施进行日常养护，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主次干道30378盏照明设施进行巡查维修，累积巡灯170余班次，维修维护路灯1230余处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城区亮灯率100%。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城市更新迅速推动。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确定了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“三年实现房等人、五年更新显成效”的十四五工作总体目标，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“安置先行、滚动开发、资金平衡、多方联动、整体提升”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阶段性实施城市更新工作要求和“应排尽排、统一建库、两轨并行、滚动更新”的原则，初步建立了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40个地块的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城市更新项目库，建立了城市更新管理系统，整合设立城市更新服务中心，有效促进城市更新工作正常推进。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对照年度计划，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先期启动丝厂区域更新试点项目，更新工作有序推进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加强房地产市场调控。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认真贯彻落实上级部门稳定房地产市场工作部署，引导房地产开发企业积极应对市场变化。加大房地产市场监管力度，加强房地产销售行为管理，组织房地产市场投机炒房、房产企业违法违规、房产经纪机构违法违规等行为的专项治理检查，对发现违规行为的责令限时整改，对拒不整改的，暂停其网上签约资格。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围绕上级房地产市场调控要求，出台了我市“一城一策”实施方案。根据房产地形势，及时出台了促进城乡统筹改善居住条件的措施办法，举办海安房产博览会，推动我市房地产市场平稳发展。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公用服务更加优化。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引江供水三期工程基本完成。全年安全供水7200万吨，水质合格率100%，改造老旧管网精准100公里、户表9000户。加大燃气管网改造建设力度，建设高、中、低压管网128公里，灰口铸铁管等老旧燃气管网全部清零改造到位。推进实施瓶装液化气统一配送服务，实现供应、运输、使用环节全链条管理。全年安全供应管道天然气2.1亿余方，液化石油气1万余吨。始终坚持人民防空为人民根本宗旨，人防工程体系越来越完整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，防护体系日趋合理，疏散体系初步构建。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目前全市建成人防工程78个，总建筑面积40.9万平方米，基本满足战时城镇居民防空需求。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镇村建设步伐加快。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基础设施进一步完善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Style w:val="2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/>
        </w:rPr>
        <w:t>全市公铁水综合立体交通网基本成型，枢纽优势日益凸显。城镇供排水、供电、燃气、信息等基础设施显著改善，人均道路、住宅、公园绿地面积大幅增加。城乡污水收集处理一体化加快推进，铺设污水管网70公里，提标改造污水处理厂1座。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城镇化建设加快推进。曲塘镇获批省级美丽宜居小城镇建设示范试点，国恒品悦酒店、西桥美食街项目开业；滨海新区湖海联动温泉康养实现破题，沿海生态景观带建设积极实施；曲塘镇；李堡镇聚力盘活闲置地块，开展丁所集镇整治提升，努力打造具有历史传承气息的休闲文化商业街；大公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锦鹏酒店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永康之家养老项目投入运营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，农贸市场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商业综合体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主体封顶，北凌集镇完成整治提升；白甸镇初中综合楼、中小学文化素质教育基地、卫生院改造建成使用，瓦甸老集镇“甸上云庐”开发项目一期封顶；南莫镇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卫生应急综合楼工程建设快速推进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，星驰影院入驻兴南花苑商业区，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青墩遗址积极创建国家3A级景区。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镇村面貌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改善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力推进特色田园乡村、传统村落创建。雅周镇东夏村入围全国红色村试点，李堡镇杨庄村获批省级特色田园乡村，南莫镇唐庄村入围省级传统村落名录。全市启动人居环境五年提升行动和乡村振兴示范村先进村培育行动，镇村基础设施和环境整治成效明显。累计建成农村公路2400公里，行政村双车道四级公路覆盖率100%。全面开展农村生活污水治理，行政村污水处理覆盖率100%，17个分散农户生活污水治理先行村建设有序推进。积极实施农村厕所革命，累计建成农村无害化卫生户厕25万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（七）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安全生产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平稳可控。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牢固树立以人为本、安全发展理念，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深入贯彻落实上级有关安全生产工作的部署要求，以专项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整治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为抓手，不断建立健全有效的安全生产管理机制，安全生产形势总体平稳可控。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强化各级责任担当，坚守安全生产红线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及时调整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安全生产工作领导小组成员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依据“党政同责、一岗双责、齐抓共管、失职追责”的要求，签订安全生产责任状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城镇燃气、城市地下管网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等专业委员会，严格落实“企业安全生产主体责任告知承诺”和“三个五分钟”等制度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安全生产目标管理考核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强化安全生产专项整治，保障城市运营安全。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深化安全生产三年专项整治，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扎实推进城镇燃气、市政工程、危险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房屋、地下管线等领域安全隐患排查整治专项行动，结合今年国内既有建筑、城镇燃气发生事故情况，突出抓好既有建筑、城镇燃气的集中整治，抓好安全隐患的排查、整治。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开燃气安全工作会议14次，组织开展检查督查15次，检查企业61家次，排查发现隐患353处，已整改347处，整改率98.3%，警示约谈企业6家，牵头联合查处燃气违法储存行为2起，行政拘留2人，查处燃气企业违法违规供气行为2起，立案处罚两家企业，罚款2.5万元。排查出疑似危险房屋66处，其中建成区范围内15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分类分级制定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监管与整治方案。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省级安全发展示范城市创建。紧紧围绕“城市安全、美好生活”主题，牢固树立创建活动“一盘棋”思想，扎实抓好4大类23项54个具体工作任务分解落实，在加强城市安全源头治理、风险防控、监督管理、保障能力、应急救援等方面找准痛点、难点、重点，构建综合性、全方位、系统性的城市安全发展体系，有效促进海安创建安全发展示范城市各项工作的推进落实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组织消防和反恐应急演练、有限空间作业应急演练、农药使用应急演练三次生产安全事故应急救援综合演练活动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提升应急能力，打造召之即来、来之能战、战之必胜的应急队伍，确保住建系统安全生产形势的持续稳定好转。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充分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利用媒体、微信、QQ群、流动广告屏等平台，广泛宣传安全生产知识的法律、法规，普及安全生产知识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共张贴宣传画200余幅，发放宣传材料14万多份，悬挂横幅50多条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参加“安全365”、《应急之声》、法治热线等专题栏目安全专项宣传，普及各类应急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和安全生产知识，着力构建应急和安全生产“大宣传”工作格局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highlight w:val="none"/>
          <w:lang w:val="en-US" w:eastAsia="zh-CN"/>
        </w:rPr>
        <w:t>（八）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项目服务举措得力。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全力以赴强化项目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建设服务，建立项目建设服务专班，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不断优化住建营商环境，有力推动项目建设。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服务项目建设，树立项目为王的服务理念，坚持项目建设第一重点、第一任务的工作导向，在第一时间、以第一速度抓好施工图审查、工程质量监督、消防设计审查验收等项目建设服务，助推项目早落地、早开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、早竣工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、早达产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今年共受理施工图审查项目数229个、质量介入285项，办理消防设计审查61件、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消防验收项目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、备案217件。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二、2022年工作思路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市住建局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将以习近平新时代中国特色社会主义思想为指导，认真贯彻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党的十九届历次全会精神和省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市委党代会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南通市“一枢纽、五城市”和我市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“五个海安”“五个强市”的要求，本着“量力而行、尽力而为”的原则，着力解决老百姓“急、难、愁、盼”的问题，补齐美丽宜居城市建设的短板，促进城市建设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和乡村振兴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高质量发展，重点编排交通环境改善、公用设施完善、园林绿化提升、水生态修复、污水收集处理提质增效、城市更新等方面的内容，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完善功能配套、优化人居环境、提升城市能级、推动内涵发展，不断满足人民群众对美好生活的向往，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美丽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海安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步伐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完善各类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专项规划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编制。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全国第一次自然灾害综合风险普查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、城市体检及区域评估、“住建系统”十四五发展规划、海安市地下综合管线综合规划（2021-2035）、城市照明专项规划修编（含节能改造）、城市更新地块修建性详细规划以及项目管理监督系统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城市防洪规划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特色田园乡村和传统村落规划，城区供电通道专项规划的编制或修编。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加强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美丽宜居城市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建设。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聚焦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建设“三美与共、三居递进、三城协同”的美丽宜居城市，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聚力实施苏中植物园东侧慢行交通改善提升、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陈雷故居周边交往空间特色塑造、海安外国语学校南侧公共空间特色塑造、城市家具及小品提升工程、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洋港路南延街区整治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金融集聚区周边道路改造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临街停车场改造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城区公厕建设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城市照明亮化改造提升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，积极创建省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示范城市，让城市更健康、更安全、更宜居。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盖全民、兜住底线、均等享有为原则，进一步完善公用设施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通扬河东闸站南迁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、供水、排水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及其配套工程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燃气“瓶改管”工程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等。以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除安全隐患，改变脏乱差面貌，加快美丽宜居城市建设步伐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为原则，坚持以人为本加快城市更新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快速落实海安丝厂周边区域、糖果厂区域城市更新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推进片区整体开发建设，科学编制高铁新城、西南新城、立发古镇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等区域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片区规划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打造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内通外畅交通体系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按照“窄马路、密路网、开放街道”的理念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优化道路网络体系布局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长江路世纪大桥改造工程，构建更加顺畅的交通通行体系；实施高庄路西延、洋港路南延等工程，打通断头路，拓宽瓶颈路，缓解城区交通通行压力；实施启慧路北延、高新区实验小学北侧道路等工程，织密道路网骨架，不断提升道路通行能力；同步实施供水、燃气、供热、雨水、污水、杆线入地等管网工程建设，为美丽宜居城市建设打好坚实基础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持续改善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提升生态环境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对照国家生态园林城市创建指标，计划随道路改造时实施沿路绿化，将部分微空间绿化予以品质提升，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市政道路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两侧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的绿化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安康小区南、北侧盲肠河绿化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启动奥体公园建设，解决西南片区绿地布局缺失问题。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推进城乡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污水收集处理一体化建设，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以小焦港河泵站、洋港河泵站、高庄路泵站、翻身河泵站对应的收水片区“333”提质增效攻坚项目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主次干道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雨污分流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管网、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河滨东路至广福禅寺等污水管网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白甸二厂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墩头污水管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提升泵站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恒泽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城北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污水处理厂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农村生活污水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收集处理设施建设。实施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新华河活水及生态修复工程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平桥河生态综合整治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，续建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老通扬河北岸生态综合整治工程。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before="0" w:line="560" w:lineRule="exact"/>
        <w:ind w:left="0" w:leftChars="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highlight w:val="none"/>
          <w:lang w:eastAsia="zh-CN"/>
        </w:rPr>
        <w:t>加快推进城镇扩能提质。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扎实推进新型城镇化，完善区域城镇体系，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沿海生态景观带建设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，推动滨海新区打造江苏东部特色滨海小镇，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曲塘、李堡等重点中心镇发展成为现代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新型小城市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大公着力打造北部产业新城融入主城区，墩头镇打造最具特色产业新镇和旅游最终目的地，白甸镇打造最美乡村旅游示范区，南莫镇重点推进历史文化、红色文化核心旅游景点创建，雅周镇打造全省乡村振兴样板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以加快乡村振兴为目标，结合区镇特色和实际，围绕基础设施配套、生态环境改善、乡村振兴发展等方面编排相关项目计划。通过项目推进，进一步推动区镇环境提升和美丽乡村建设，提高以人为核心的城乡一体化水平。</w:t>
      </w:r>
    </w:p>
    <w:sectPr>
      <w:headerReference r:id="rId3" w:type="default"/>
      <w:footerReference r:id="rId4" w:type="default"/>
      <w:pgSz w:w="11906" w:h="16838"/>
      <w:pgMar w:top="1644" w:right="1644" w:bottom="1644" w:left="164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2AA391-B02F-46E2-927F-7072F2FE02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503EFD-C55F-4BCE-A35E-BDD7C359653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25BE1CE-B7C3-4546-A72C-55F1B963E1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340ED8F-34CD-4AF6-8FE9-FD5D4B00EF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  <w:rPr>
        <w:rFonts w:hint="eastAsia" w:ascii="方正小标宋简体" w:hAnsi="方正小标宋简体" w:eastAsia="方正小标宋简体" w:cs="方正小标宋简体"/>
        <w:sz w:val="28"/>
        <w:szCs w:val="4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435F"/>
    <w:rsid w:val="053E2F29"/>
    <w:rsid w:val="06596910"/>
    <w:rsid w:val="092C4664"/>
    <w:rsid w:val="1502549B"/>
    <w:rsid w:val="152553B9"/>
    <w:rsid w:val="17CE22AD"/>
    <w:rsid w:val="22757275"/>
    <w:rsid w:val="25FA569F"/>
    <w:rsid w:val="2A7D0899"/>
    <w:rsid w:val="2DD738EC"/>
    <w:rsid w:val="2FB1796B"/>
    <w:rsid w:val="33684A1D"/>
    <w:rsid w:val="363464DE"/>
    <w:rsid w:val="39440C4E"/>
    <w:rsid w:val="3A306341"/>
    <w:rsid w:val="409E60B5"/>
    <w:rsid w:val="43BE59CA"/>
    <w:rsid w:val="456B47B0"/>
    <w:rsid w:val="458265DC"/>
    <w:rsid w:val="5068460F"/>
    <w:rsid w:val="5415068D"/>
    <w:rsid w:val="55B41B6D"/>
    <w:rsid w:val="587C0C3F"/>
    <w:rsid w:val="58E32A6C"/>
    <w:rsid w:val="5AE96334"/>
    <w:rsid w:val="6A0B694A"/>
    <w:rsid w:val="6F242DCB"/>
    <w:rsid w:val="7445438E"/>
    <w:rsid w:val="75825538"/>
    <w:rsid w:val="76AE5BBB"/>
    <w:rsid w:val="776E743B"/>
    <w:rsid w:val="77A35DD8"/>
    <w:rsid w:val="7F3059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qFormat/>
    <w:uiPriority w:val="0"/>
    <w:pPr>
      <w:widowControl w:val="0"/>
      <w:spacing w:before="100" w:beforeAutospacing="1" w:after="100" w:afterAutospacing="1"/>
      <w:ind w:left="0" w:right="0"/>
      <w:jc w:val="both"/>
      <w:outlineLvl w:val="1"/>
    </w:pPr>
    <w:rPr>
      <w:rFonts w:ascii="宋体" w:hAnsi="宋体" w:cs="宋体"/>
      <w:b/>
      <w:bCs/>
      <w:kern w:val="2"/>
      <w:sz w:val="36"/>
      <w:szCs w:val="36"/>
      <w:lang w:val="en-US" w:eastAsia="zh-CN" w:bidi="ar-SA"/>
    </w:rPr>
  </w:style>
  <w:style w:type="character" w:default="1" w:styleId="13">
    <w:name w:val="Default Paragraph Font"/>
    <w:link w:val="14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sz w:val="32"/>
      <w:szCs w:val="24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 w:val="0"/>
      <w:spacing w:after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 Char Char Char Char Char Char Char"/>
    <w:basedOn w:val="1"/>
    <w:next w:val="1"/>
    <w:link w:val="13"/>
    <w:qFormat/>
    <w:uiPriority w:val="0"/>
    <w:pPr>
      <w:tabs>
        <w:tab w:val="left" w:pos="720"/>
      </w:tabs>
      <w:spacing w:line="240" w:lineRule="atLeast"/>
      <w:jc w:val="left"/>
    </w:pPr>
    <w:rPr>
      <w:rFonts w:ascii="Times New Roman" w:hAnsi="Times New Roman"/>
      <w:b/>
      <w:sz w:val="24"/>
    </w:rPr>
  </w:style>
  <w:style w:type="character" w:styleId="15">
    <w:name w:val="Strong"/>
    <w:basedOn w:val="13"/>
    <w:qFormat/>
    <w:uiPriority w:val="0"/>
    <w:rPr>
      <w:rFonts w:cs="Times New Roman"/>
      <w:b/>
      <w:bCs/>
    </w:rPr>
  </w:style>
  <w:style w:type="character" w:styleId="16">
    <w:name w:val="page number"/>
    <w:basedOn w:val="13"/>
    <w:qFormat/>
    <w:uiPriority w:val="0"/>
  </w:style>
  <w:style w:type="character" w:styleId="17">
    <w:name w:val="FollowedHyperlink"/>
    <w:basedOn w:val="13"/>
    <w:qFormat/>
    <w:uiPriority w:val="0"/>
    <w:rPr>
      <w:color w:val="545454"/>
      <w:u w:val="none"/>
    </w:rPr>
  </w:style>
  <w:style w:type="character" w:styleId="18">
    <w:name w:val="Hyperlink"/>
    <w:basedOn w:val="13"/>
    <w:qFormat/>
    <w:uiPriority w:val="0"/>
    <w:rPr>
      <w:color w:val="545454"/>
      <w:u w:val="none"/>
    </w:rPr>
  </w:style>
  <w:style w:type="paragraph" w:customStyle="1" w:styleId="19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0">
    <w:name w:val="List Paragraph_6ec52682-02fe-4575-bf5f-edea6a8a3d0f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font5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NormalCharacter"/>
    <w:qFormat/>
    <w:uiPriority w:val="0"/>
  </w:style>
  <w:style w:type="paragraph" w:customStyle="1" w:styleId="25">
    <w:name w:val="&quot;Default&quot;"/>
    <w:qFormat/>
    <w:uiPriority w:val="0"/>
    <w:pPr>
      <w:widowControl w:val="0"/>
      <w:autoSpaceDE w:val="0"/>
      <w:autoSpaceDN w:val="0"/>
      <w:adjustRightInd w:val="0"/>
      <w:spacing w:after="0"/>
    </w:pPr>
    <w:rPr>
      <w:rFonts w:ascii="楷体_GB2312" w:hAnsi="Times New Roman" w:eastAsia="楷体_GB2312" w:cs="楷体_GB2312"/>
      <w:color w:val="000000"/>
      <w:sz w:val="24"/>
      <w:szCs w:val="24"/>
    </w:rPr>
  </w:style>
  <w:style w:type="paragraph" w:customStyle="1" w:styleId="26">
    <w:name w:val="&quot;Default&quot;1"/>
    <w:qFormat/>
    <w:uiPriority w:val="0"/>
    <w:pPr>
      <w:widowControl w:val="0"/>
      <w:autoSpaceDE w:val="0"/>
      <w:autoSpaceDN w:val="0"/>
      <w:adjustRightInd w:val="0"/>
      <w:spacing w:after="0"/>
    </w:pPr>
    <w:rPr>
      <w:rFonts w:ascii="楷体_GB2312" w:hAnsi="Times New Roman" w:eastAsia="楷体_GB2312" w:cs="楷体_GB2312"/>
      <w:color w:val="000000"/>
      <w:sz w:val="24"/>
      <w:szCs w:val="24"/>
    </w:rPr>
  </w:style>
  <w:style w:type="paragraph" w:customStyle="1" w:styleId="27">
    <w:name w:val="&quot;Default&quot;2"/>
    <w:qFormat/>
    <w:uiPriority w:val="0"/>
    <w:pPr>
      <w:widowControl w:val="0"/>
      <w:autoSpaceDE w:val="0"/>
      <w:autoSpaceDN w:val="0"/>
      <w:adjustRightInd w:val="0"/>
      <w:spacing w:after="0"/>
    </w:pPr>
    <w:rPr>
      <w:rFonts w:ascii="楷体_GB2312" w:hAnsi="Times New Roman" w:eastAsia="楷体_GB2312" w:cs="楷体_GB2312"/>
      <w:color w:val="000000"/>
      <w:sz w:val="24"/>
      <w:szCs w:val="24"/>
    </w:rPr>
  </w:style>
  <w:style w:type="paragraph" w:customStyle="1" w:styleId="28">
    <w:name w:val="&quot;Default&quot;3"/>
    <w:qFormat/>
    <w:uiPriority w:val="0"/>
    <w:pPr>
      <w:widowControl w:val="0"/>
      <w:autoSpaceDE w:val="0"/>
      <w:autoSpaceDN w:val="0"/>
      <w:adjustRightInd w:val="0"/>
      <w:spacing w:after="0"/>
    </w:pPr>
    <w:rPr>
      <w:rFonts w:ascii="楷体_GB2312" w:hAnsi="Times New Roman" w:eastAsia="楷体_GB2312" w:cs="楷体_GB2312"/>
      <w:color w:val="000000"/>
      <w:sz w:val="24"/>
      <w:szCs w:val="24"/>
    </w:rPr>
  </w:style>
  <w:style w:type="paragraph" w:customStyle="1" w:styleId="29">
    <w:name w:val="&quot;Default&quot;4"/>
    <w:qFormat/>
    <w:uiPriority w:val="0"/>
    <w:pPr>
      <w:widowControl w:val="0"/>
      <w:autoSpaceDE w:val="0"/>
      <w:autoSpaceDN w:val="0"/>
      <w:adjustRightInd w:val="0"/>
      <w:spacing w:after="0"/>
    </w:pPr>
    <w:rPr>
      <w:rFonts w:ascii="楷体_GB2312" w:hAnsi="Times New Roman" w:eastAsia="楷体_GB2312" w:cs="楷体_GB2312"/>
      <w:color w:val="000000"/>
      <w:sz w:val="24"/>
      <w:szCs w:val="24"/>
    </w:rPr>
  </w:style>
  <w:style w:type="paragraph" w:customStyle="1" w:styleId="30">
    <w:name w:val="&quot;Default&quot;5"/>
    <w:qFormat/>
    <w:uiPriority w:val="0"/>
    <w:pPr>
      <w:widowControl w:val="0"/>
      <w:autoSpaceDE w:val="0"/>
      <w:autoSpaceDN w:val="0"/>
      <w:adjustRightInd w:val="0"/>
      <w:spacing w:after="0"/>
    </w:pPr>
    <w:rPr>
      <w:rFonts w:ascii="楷体_GB2312" w:hAnsi="Times New Roman" w:eastAsia="楷体_GB2312" w:cs="楷体_GB2312"/>
      <w:color w:val="000000"/>
      <w:sz w:val="24"/>
      <w:szCs w:val="24"/>
    </w:rPr>
  </w:style>
  <w:style w:type="paragraph" w:customStyle="1" w:styleId="31">
    <w:name w:val="&quot;Default&quot;6"/>
    <w:qFormat/>
    <w:uiPriority w:val="0"/>
    <w:pPr>
      <w:widowControl w:val="0"/>
      <w:autoSpaceDE w:val="0"/>
      <w:autoSpaceDN w:val="0"/>
      <w:adjustRightInd w:val="0"/>
      <w:spacing w:after="0"/>
    </w:pPr>
    <w:rPr>
      <w:rFonts w:ascii="楷体_GB2312" w:hAnsi="Times New Roman" w:eastAsia="楷体_GB2312" w:cs="楷体_GB2312"/>
      <w:color w:val="000000"/>
      <w:sz w:val="24"/>
      <w:szCs w:val="24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character" w:customStyle="1" w:styleId="33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8258</Words>
  <Characters>9669</Characters>
  <Paragraphs>851</Paragraphs>
  <TotalTime>1</TotalTime>
  <ScaleCrop>false</ScaleCrop>
  <LinksUpToDate>false</LinksUpToDate>
  <CharactersWithSpaces>9835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2019-07-11T10:48:00Z</dcterms:created>
  <dc:creator>Administrator</dc:creator>
  <cp:lastModifiedBy>景夏</cp:lastModifiedBy>
  <cp:lastPrinted>2019-07-14T06:47:00Z</cp:lastPrinted>
  <dcterms:modified xsi:type="dcterms:W3CDTF">2022-01-05T09:30:20Z</dcterms:modified>
  <dc:title>县住建局2017年上半年工作总结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8CD31CBA857F4A688D2C33BB49C92E49</vt:lpwstr>
  </property>
</Properties>
</file>