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3E9A3">
      <w:pPr>
        <w:spacing w:line="590" w:lineRule="exact"/>
        <w:jc w:val="center"/>
        <w:rPr>
          <w:rFonts w:ascii="仿宋_GB2312" w:hAnsi="方正小标宋_GBK" w:eastAsia="仿宋_GB2312" w:cs="方正小标宋_GBK"/>
          <w:sz w:val="32"/>
          <w:szCs w:val="32"/>
        </w:rPr>
      </w:pPr>
    </w:p>
    <w:p w14:paraId="4C7F179F">
      <w:pPr>
        <w:pStyle w:val="2"/>
        <w:spacing w:after="0" w:line="590" w:lineRule="exact"/>
        <w:ind w:left="0" w:leftChars="0" w:firstLine="0" w:firstLineChars="0"/>
        <w:jc w:val="center"/>
        <w:rPr>
          <w:rFonts w:ascii="仿宋_GB2312" w:eastAsia="仿宋_GB2312"/>
          <w:sz w:val="32"/>
          <w:szCs w:val="32"/>
        </w:rPr>
      </w:pPr>
    </w:p>
    <w:p w14:paraId="68E38677">
      <w:pPr>
        <w:spacing w:line="590" w:lineRule="exact"/>
        <w:jc w:val="center"/>
        <w:rPr>
          <w:rFonts w:ascii="仿宋_GB2312" w:eastAsia="仿宋_GB2312"/>
          <w:sz w:val="32"/>
          <w:szCs w:val="32"/>
        </w:rPr>
      </w:pPr>
    </w:p>
    <w:p w14:paraId="41F5ED40">
      <w:pPr>
        <w:pStyle w:val="2"/>
        <w:spacing w:after="0" w:line="590" w:lineRule="exact"/>
        <w:ind w:left="0" w:leftChars="0" w:firstLine="0" w:firstLineChars="0"/>
        <w:jc w:val="center"/>
        <w:rPr>
          <w:rFonts w:ascii="仿宋_GB2312" w:eastAsia="仿宋_GB2312"/>
          <w:sz w:val="32"/>
          <w:szCs w:val="32"/>
        </w:rPr>
      </w:pPr>
    </w:p>
    <w:p w14:paraId="68C851DA">
      <w:pPr>
        <w:spacing w:line="590" w:lineRule="exact"/>
        <w:jc w:val="center"/>
        <w:rPr>
          <w:rFonts w:ascii="仿宋_GB2312" w:eastAsia="仿宋_GB2312"/>
          <w:sz w:val="32"/>
          <w:szCs w:val="32"/>
        </w:rPr>
      </w:pPr>
    </w:p>
    <w:p w14:paraId="7131D358">
      <w:pPr>
        <w:pStyle w:val="2"/>
        <w:spacing w:after="0" w:line="590" w:lineRule="exact"/>
        <w:ind w:left="0" w:leftChars="0" w:firstLine="0" w:firstLineChars="0"/>
        <w:jc w:val="center"/>
        <w:rPr>
          <w:rFonts w:ascii="仿宋_GB2312" w:eastAsia="仿宋_GB2312"/>
          <w:sz w:val="32"/>
          <w:szCs w:val="32"/>
        </w:rPr>
      </w:pPr>
    </w:p>
    <w:p w14:paraId="70E22887">
      <w:pPr>
        <w:spacing w:beforeLines="50" w:line="590" w:lineRule="exact"/>
        <w:jc w:val="center"/>
        <w:rPr>
          <w:rFonts w:ascii="仿宋_GB2312" w:eastAsia="仿宋_GB2312"/>
          <w:sz w:val="32"/>
          <w:szCs w:val="32"/>
        </w:rPr>
      </w:pPr>
      <w:r>
        <w:rPr>
          <w:rFonts w:hint="eastAsia" w:ascii="仿宋_GB2312" w:eastAsia="仿宋_GB2312"/>
          <w:sz w:val="32"/>
          <w:szCs w:val="32"/>
        </w:rPr>
        <w:t>海安委办〔2022〕63号</w:t>
      </w:r>
    </w:p>
    <w:p w14:paraId="51D40534">
      <w:pPr>
        <w:pStyle w:val="2"/>
        <w:spacing w:after="0" w:line="500" w:lineRule="exact"/>
        <w:ind w:left="0" w:leftChars="0" w:firstLine="0" w:firstLineChars="0"/>
        <w:jc w:val="center"/>
        <w:rPr>
          <w:rFonts w:ascii="仿宋_GB2312" w:eastAsia="仿宋_GB2312"/>
          <w:sz w:val="32"/>
          <w:szCs w:val="32"/>
        </w:rPr>
      </w:pPr>
    </w:p>
    <w:p w14:paraId="6FF81693">
      <w:pPr>
        <w:spacing w:line="500" w:lineRule="exact"/>
        <w:jc w:val="center"/>
        <w:rPr>
          <w:rFonts w:ascii="仿宋_GB2312" w:eastAsia="仿宋_GB2312"/>
          <w:sz w:val="32"/>
          <w:szCs w:val="32"/>
        </w:rPr>
      </w:pPr>
    </w:p>
    <w:p w14:paraId="3A0D2B05">
      <w:pPr>
        <w:spacing w:line="580" w:lineRule="exact"/>
        <w:jc w:val="center"/>
        <w:rPr>
          <w:rFonts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关于印发2022年三季度及夏季高温汛期</w:t>
      </w:r>
    </w:p>
    <w:p w14:paraId="7659E883">
      <w:pPr>
        <w:spacing w:line="580" w:lineRule="exact"/>
        <w:jc w:val="center"/>
        <w:rPr>
          <w:rFonts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全市重点行业领域安全风险提示的通知</w:t>
      </w:r>
    </w:p>
    <w:p w14:paraId="4B3F8F5B">
      <w:pPr>
        <w:pStyle w:val="2"/>
        <w:spacing w:after="0" w:line="500" w:lineRule="exact"/>
        <w:ind w:left="0" w:leftChars="0" w:firstLine="0" w:firstLineChars="0"/>
        <w:rPr>
          <w:rFonts w:ascii="仿宋_GB2312" w:eastAsia="仿宋_GB2312"/>
          <w:sz w:val="32"/>
          <w:szCs w:val="32"/>
        </w:rPr>
      </w:pPr>
    </w:p>
    <w:p w14:paraId="3EA33D6E">
      <w:pPr>
        <w:rPr>
          <w:rStyle w:val="18"/>
          <w:rFonts w:ascii="仿宋_GB2312" w:hAnsi="Times New Roman" w:eastAsia="仿宋_GB2312" w:cs="Times New Roman"/>
          <w:sz w:val="32"/>
          <w:szCs w:val="32"/>
        </w:rPr>
      </w:pPr>
      <w:r>
        <w:rPr>
          <w:rStyle w:val="18"/>
          <w:rFonts w:hint="eastAsia" w:ascii="仿宋_GB2312" w:hAnsi="Times New Roman" w:eastAsia="仿宋_GB2312" w:cs="Times New Roman"/>
          <w:sz w:val="32"/>
          <w:szCs w:val="32"/>
        </w:rPr>
        <w:t>各</w:t>
      </w:r>
      <w:r>
        <w:rPr>
          <w:rFonts w:hint="eastAsia" w:ascii="仿宋_GB2312" w:hAnsi="方正仿宋_GBK" w:eastAsia="仿宋_GB2312" w:cs="方正仿宋_GBK"/>
          <w:sz w:val="32"/>
          <w:szCs w:val="32"/>
        </w:rPr>
        <w:t>区管委会，各镇人民政府，各街道办事处，市安委会有关成员单位：</w:t>
      </w:r>
    </w:p>
    <w:p w14:paraId="46E1B3DB">
      <w:pPr>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当前，盛夏高温季节已经来临，作业现场环境温度高，工作条件相对恶劣，作业人员劳动强度大，易出现过度疲劳、中暑现象，安全生产事故易发多发。加之新冠肺炎疫情总体趋于缓和，各类重大项目建设加快推进实施，以及汛期即将来临，诱发生产安全事故的因素进一步增多，安全防范压力大。为切实加强风险研判，坚决杜绝重特大事故，防范遏制较大事故，大幅压降一般事故，现将三季度及夏季高温汛期重点行业领域安全风险提示印发给你们，请务必高度重视，采取务实管用措施，确保安全生产形势持续稳定。</w:t>
      </w:r>
    </w:p>
    <w:p w14:paraId="447EDF3E">
      <w:pPr>
        <w:ind w:firstLine="640" w:firstLineChars="200"/>
        <w:contextualSpacing/>
        <w:rPr>
          <w:rFonts w:ascii="黑体" w:hAnsi="黑体" w:eastAsia="黑体" w:cs="Times New Roman"/>
          <w:sz w:val="32"/>
          <w:szCs w:val="32"/>
          <w:highlight w:val="yellow"/>
        </w:rPr>
      </w:pPr>
      <w:r>
        <w:rPr>
          <w:rFonts w:hint="eastAsia" w:ascii="黑体" w:hAnsi="黑体" w:eastAsia="黑体" w:cs="Times New Roman"/>
          <w:sz w:val="32"/>
          <w:szCs w:val="32"/>
        </w:rPr>
        <w:t>一、危险化学品领域</w:t>
      </w:r>
    </w:p>
    <w:p w14:paraId="6484379E">
      <w:pPr>
        <w:pStyle w:val="2"/>
        <w:spacing w:after="0"/>
        <w:ind w:left="0" w:leftChars="0" w:firstLine="643"/>
        <w:contextualSpacing/>
        <w:rPr>
          <w:rStyle w:val="18"/>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Style w:val="18"/>
          <w:rFonts w:hint="eastAsia" w:ascii="仿宋_GB2312" w:hAnsi="Times New Roman" w:eastAsia="仿宋_GB2312" w:cs="Times New Roman"/>
          <w:sz w:val="32"/>
          <w:szCs w:val="32"/>
        </w:rPr>
        <w:t>预计今年我市6月中旬入梅、7月中旬出梅，出梅后会出现阶段性高温伏旱天气过程，部分危化品易分解、自聚、汽化，容易引发事故。</w:t>
      </w:r>
    </w:p>
    <w:p w14:paraId="6770F023">
      <w:pPr>
        <w:adjustRightInd w:val="0"/>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w:t>
      </w:r>
      <w:r>
        <w:rPr>
          <w:rStyle w:val="18"/>
          <w:rFonts w:hint="eastAsia" w:ascii="仿宋_GB2312" w:hAnsi="Times New Roman" w:eastAsia="仿宋_GB2312" w:cs="Times New Roman"/>
          <w:sz w:val="32"/>
          <w:szCs w:val="32"/>
        </w:rPr>
        <w:t>深入贯彻落实《海安市危险化学品安全风险集中治理实施方案》，紧盯风险等级较高、容易漏管失控的重点企业、重要设施、重点工艺，组织开展危化品企业安全生产专项检查，进一步强化生产、储存、经营、运输、使用等环节安全监管。</w:t>
      </w:r>
      <w:r>
        <w:rPr>
          <w:rFonts w:hint="eastAsia" w:ascii="仿宋_GB2312" w:hAnsi="Times New Roman" w:eastAsia="仿宋_GB2312" w:cs="Times New Roman"/>
          <w:sz w:val="32"/>
          <w:szCs w:val="32"/>
        </w:rPr>
        <w:t>二是</w:t>
      </w:r>
      <w:r>
        <w:rPr>
          <w:rStyle w:val="18"/>
          <w:rFonts w:hint="eastAsia" w:ascii="仿宋_GB2312" w:eastAsia="仿宋_GB2312"/>
          <w:kern w:val="0"/>
          <w:sz w:val="32"/>
          <w:szCs w:val="32"/>
        </w:rPr>
        <w:t>督促危化品企业严格</w:t>
      </w:r>
      <w:r>
        <w:rPr>
          <w:rStyle w:val="18"/>
          <w:rFonts w:hint="eastAsia" w:ascii="仿宋_GB2312" w:eastAsia="仿宋_GB2312"/>
          <w:sz w:val="32"/>
          <w:szCs w:val="32"/>
        </w:rPr>
        <w:t>落实防火、防爆、防泄漏等措施，</w:t>
      </w:r>
      <w:r>
        <w:rPr>
          <w:rStyle w:val="18"/>
          <w:rFonts w:hint="eastAsia" w:ascii="仿宋_GB2312" w:eastAsia="仿宋_GB2312"/>
          <w:kern w:val="0"/>
          <w:sz w:val="32"/>
          <w:szCs w:val="32"/>
        </w:rPr>
        <w:t>加强重点部位、重点环节、高危作业的管理、审批，</w:t>
      </w:r>
      <w:r>
        <w:rPr>
          <w:rFonts w:hint="eastAsia" w:ascii="仿宋_GB2312" w:hAnsi="Times New Roman" w:eastAsia="仿宋_GB2312" w:cs="Times New Roman"/>
          <w:sz w:val="32"/>
          <w:szCs w:val="32"/>
        </w:rPr>
        <w:t>确保储存温度要求高的场所冷却系统、空调系统运行良好，确保储罐冷却喷淋系统、报警装置、泄压设施正常投用</w:t>
      </w:r>
      <w:r>
        <w:rPr>
          <w:rStyle w:val="18"/>
          <w:rFonts w:hint="eastAsia" w:ascii="仿宋_GB2312" w:eastAsia="仿宋_GB2312"/>
          <w:kern w:val="0"/>
          <w:sz w:val="32"/>
          <w:szCs w:val="32"/>
        </w:rPr>
        <w:t>。</w:t>
      </w:r>
      <w:r>
        <w:rPr>
          <w:rFonts w:hint="eastAsia" w:ascii="仿宋_GB2312" w:hAnsi="Times New Roman" w:eastAsia="仿宋_GB2312" w:cs="Times New Roman"/>
          <w:sz w:val="32"/>
          <w:szCs w:val="32"/>
        </w:rPr>
        <w:t>全面检查电器仪表设备防雷接地，确保防雷接地线、跨接线工作正常。三是</w:t>
      </w:r>
      <w:r>
        <w:rPr>
          <w:rStyle w:val="18"/>
          <w:rFonts w:hint="eastAsia" w:ascii="仿宋_GB2312" w:hAnsi="Times New Roman" w:eastAsia="仿宋_GB2312" w:cs="Times New Roman"/>
          <w:sz w:val="32"/>
          <w:szCs w:val="32"/>
        </w:rPr>
        <w:t>督促企业对忌水危险化学品生产或储存环节开展隐患排查，规范设置危险化学品安全告示牌，标明产品名称、危险特性、应急处置措施等，认真落实防水、防漏等措施，严禁忌水危化品露天存放，禁忌危化品应分库安全存放。</w:t>
      </w:r>
      <w:r>
        <w:rPr>
          <w:rFonts w:hint="eastAsia" w:ascii="仿宋_GB2312" w:hAnsi="Times New Roman" w:eastAsia="仿宋_GB2312" w:cs="Times New Roman"/>
          <w:sz w:val="32"/>
          <w:szCs w:val="32"/>
        </w:rPr>
        <w:t>四是督促企业及时增设围堰、疏通排水管沟、检查修缮仓库，对袋装忌水危险化学品密封保存、加垫托盘防潮，落实防潮、防雨、防淹溺等措施。</w:t>
      </w:r>
      <w:r>
        <w:rPr>
          <w:rStyle w:val="18"/>
          <w:rFonts w:hint="eastAsia" w:ascii="仿宋_GB2312" w:hAnsi="Times New Roman" w:eastAsia="仿宋_GB2312" w:cs="Times New Roman"/>
          <w:sz w:val="32"/>
          <w:szCs w:val="32"/>
        </w:rPr>
        <w:t>强化作业现场管理，严禁雨天收发、装卸、运输忌水危险化学品，极端天气情况下停止户外登高等危险作业。减少中午高温时间室外露天作业活动，配备防暑降温药品，防止作业人员中暑。</w:t>
      </w:r>
    </w:p>
    <w:p w14:paraId="408316E5">
      <w:pPr>
        <w:adjustRightInd w:val="0"/>
        <w:ind w:firstLine="640" w:firstLineChars="200"/>
        <w:contextualSpacing/>
        <w:rPr>
          <w:rFonts w:ascii="黑体" w:hAnsi="黑体" w:eastAsia="黑体" w:cs="Times New Roman"/>
          <w:sz w:val="32"/>
          <w:szCs w:val="32"/>
        </w:rPr>
      </w:pPr>
      <w:r>
        <w:rPr>
          <w:rFonts w:hint="eastAsia" w:ascii="黑体" w:hAnsi="黑体" w:eastAsia="黑体" w:cs="Times New Roman"/>
          <w:sz w:val="32"/>
          <w:szCs w:val="32"/>
        </w:rPr>
        <w:t>二、冶金等工贸领域</w:t>
      </w:r>
    </w:p>
    <w:p w14:paraId="77CAA416">
      <w:pPr>
        <w:pStyle w:val="2"/>
        <w:spacing w:after="0"/>
        <w:ind w:left="0" w:leftChars="0" w:firstLine="640"/>
        <w:contextualSpacing/>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（一）常态化疫情防控增加了企业安全风险</w:t>
      </w:r>
    </w:p>
    <w:p w14:paraId="3A32480B">
      <w:pPr>
        <w:ind w:firstLine="643" w:firstLineChars="200"/>
        <w:contextualSpacing/>
        <w:rPr>
          <w:rStyle w:val="18"/>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w:t>
      </w:r>
      <w:r>
        <w:rPr>
          <w:rStyle w:val="18"/>
          <w:rFonts w:hint="eastAsia" w:ascii="仿宋_GB2312" w:hAnsi="Times New Roman" w:eastAsia="仿宋_GB2312" w:cs="Times New Roman"/>
          <w:sz w:val="32"/>
          <w:szCs w:val="32"/>
        </w:rPr>
        <w:t>随着我市新冠肺炎疫情形势好转，</w:t>
      </w:r>
      <w:r>
        <w:rPr>
          <w:rFonts w:hint="eastAsia" w:ascii="仿宋_GB2312" w:hAnsi="Times New Roman" w:eastAsia="仿宋_GB2312" w:cs="Times New Roman"/>
          <w:sz w:val="32"/>
          <w:szCs w:val="32"/>
        </w:rPr>
        <w:t>全市仍处于停产状态的30多家冶金等工贸领域企业，可能会存在因急于复产达产，超能力超负荷组织生产。二是</w:t>
      </w:r>
      <w:r>
        <w:rPr>
          <w:rStyle w:val="18"/>
          <w:rFonts w:hint="eastAsia" w:ascii="仿宋_GB2312" w:hAnsi="Times New Roman" w:eastAsia="仿宋_GB2312" w:cs="Times New Roman"/>
          <w:sz w:val="32"/>
          <w:szCs w:val="32"/>
        </w:rPr>
        <w:t>部分企业停产期间，检维修等高风险作业增多，风险增大。部分关键岗位人员不到位、教育培训不到位、设备操作不熟练，员工履职能力减弱。</w:t>
      </w:r>
    </w:p>
    <w:p w14:paraId="3C5CF6FB">
      <w:pPr>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全面摸排辖区企业生产经营状况，动态掌握情况，实时关注重点企业复工复产、关键和高危岗位人员到岗情况。二是加强风险研判，强化监测预警，重点关注疫情防控期间检维修的企业，做好有限空间等特殊作业审批，并督促落实有效管控措施。三是</w:t>
      </w:r>
      <w:r>
        <w:rPr>
          <w:rFonts w:hint="eastAsia" w:ascii="仿宋_GB2312" w:hAnsi="方正仿宋_GBK" w:eastAsia="仿宋_GB2312" w:cs="方正仿宋_GBK"/>
          <w:sz w:val="32"/>
          <w:szCs w:val="32"/>
        </w:rPr>
        <w:t>推行“线上监测预警+线下监管执法”模式，采取远程信息监控、</w:t>
      </w:r>
      <w:r>
        <w:rPr>
          <w:rFonts w:hint="eastAsia" w:ascii="仿宋_GB2312" w:hAnsi="Times New Roman" w:eastAsia="仿宋_GB2312" w:cs="Times New Roman"/>
          <w:sz w:val="32"/>
          <w:szCs w:val="32"/>
        </w:rPr>
        <w:t>用水用电监测等手段，进一步强化监管执法和服务指导，严防企业盲目复产、设备设施带病运行、违规改变工艺、员工安全培训不到位等违法违规行为。</w:t>
      </w:r>
    </w:p>
    <w:p w14:paraId="64BC7358">
      <w:pPr>
        <w:pStyle w:val="2"/>
        <w:spacing w:after="0"/>
        <w:ind w:left="0" w:leftChars="0" w:firstLine="640"/>
        <w:contextualSpacing/>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（二）高温熔融金属企业熔融液体遇水爆炸风险增加</w:t>
      </w:r>
    </w:p>
    <w:p w14:paraId="3D93DA22">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：一是进入主汛期后，少数企业厂房破损漏雨、大风飘雨，以及雨水倒灌进入有高温熔融金属的冶炼</w:t>
      </w:r>
      <w:r>
        <w:rPr>
          <w:rStyle w:val="18"/>
          <w:rFonts w:hint="eastAsia" w:ascii="仿宋_GB2312" w:hAnsi="Times New Roman" w:eastAsia="仿宋_GB2312" w:cs="Times New Roman"/>
          <w:sz w:val="32"/>
          <w:szCs w:val="32"/>
        </w:rPr>
        <w:t>炉、熔炼炉、电解槽、流槽、深井、应急坑等设施设备，可能出现“钢包水”现象，引发爆炸事故。</w:t>
      </w:r>
      <w:r>
        <w:rPr>
          <w:rFonts w:hint="eastAsia" w:ascii="仿宋_GB2312" w:hAnsi="Times New Roman" w:eastAsia="仿宋_GB2312" w:cs="Times New Roman"/>
          <w:sz w:val="32"/>
          <w:szCs w:val="32"/>
        </w:rPr>
        <w:t>二是</w:t>
      </w:r>
      <w:r>
        <w:rPr>
          <w:rStyle w:val="18"/>
          <w:rFonts w:hint="eastAsia" w:ascii="仿宋_GB2312" w:hAnsi="Times New Roman" w:eastAsia="仿宋_GB2312" w:cs="Times New Roman"/>
          <w:sz w:val="32"/>
          <w:szCs w:val="32"/>
        </w:rPr>
        <w:t>原料、废料在受潮或者空腔存在积水时，在加入冶炼炉窑重熔时，易发生高温熔融遇湿喷爆事故。</w:t>
      </w:r>
    </w:p>
    <w:p w14:paraId="0D0EB974">
      <w:pPr>
        <w:pStyle w:val="12"/>
        <w:widowControl/>
        <w:shd w:val="clear" w:color="auto" w:fill="FFFFFF"/>
        <w:spacing w:beforeAutospacing="0" w:afterAutospacing="0"/>
        <w:ind w:firstLine="643" w:firstLineChars="200"/>
        <w:rPr>
          <w:rStyle w:val="18"/>
          <w:rFonts w:ascii="仿宋_GB2312" w:hAnsi="Times New Roman" w:eastAsia="仿宋_GB2312"/>
          <w:kern w:val="2"/>
          <w:sz w:val="32"/>
          <w:szCs w:val="32"/>
        </w:rPr>
      </w:pPr>
      <w:r>
        <w:rPr>
          <w:rFonts w:hint="eastAsia" w:ascii="仿宋_GB2312" w:hAnsi="Times New Roman" w:eastAsia="仿宋_GB2312"/>
          <w:b/>
          <w:sz w:val="32"/>
          <w:szCs w:val="32"/>
        </w:rPr>
        <w:t>防控措施：</w:t>
      </w:r>
      <w:r>
        <w:rPr>
          <w:rFonts w:hint="eastAsia" w:ascii="仿宋_GB2312" w:hAnsi="Times New Roman" w:eastAsia="仿宋_GB2312"/>
          <w:kern w:val="2"/>
          <w:sz w:val="32"/>
          <w:szCs w:val="32"/>
        </w:rPr>
        <w:t>一是</w:t>
      </w:r>
      <w:r>
        <w:rPr>
          <w:rStyle w:val="18"/>
          <w:rFonts w:hint="eastAsia" w:ascii="仿宋_GB2312" w:hAnsi="Times New Roman" w:eastAsia="仿宋_GB2312"/>
          <w:kern w:val="2"/>
          <w:sz w:val="32"/>
          <w:szCs w:val="32"/>
        </w:rPr>
        <w:t>加强对高温熔融金属冶金行车吊运、设施设备的探伤检测、水冷元件的温度和压力检测、紧急排放和应急储存设施等的安全管控。</w:t>
      </w:r>
      <w:r>
        <w:rPr>
          <w:rFonts w:hint="eastAsia" w:ascii="仿宋_GB2312" w:hAnsi="Times New Roman" w:eastAsia="仿宋_GB2312"/>
          <w:kern w:val="2"/>
          <w:sz w:val="32"/>
          <w:szCs w:val="32"/>
        </w:rPr>
        <w:t>二是</w:t>
      </w:r>
      <w:r>
        <w:rPr>
          <w:rStyle w:val="18"/>
          <w:rFonts w:hint="eastAsia" w:ascii="仿宋_GB2312" w:hAnsi="Times New Roman" w:eastAsia="仿宋_GB2312"/>
          <w:kern w:val="2"/>
          <w:sz w:val="32"/>
          <w:szCs w:val="32"/>
        </w:rPr>
        <w:t>及时修复厂房天窗、排水管、消防水管等，严禁高温熔融金属影响区域出现生产性和非生产性水源。</w:t>
      </w:r>
      <w:r>
        <w:rPr>
          <w:rFonts w:hint="eastAsia" w:ascii="仿宋_GB2312" w:hAnsi="Times New Roman" w:eastAsia="仿宋_GB2312"/>
          <w:kern w:val="2"/>
          <w:sz w:val="32"/>
          <w:szCs w:val="32"/>
        </w:rPr>
        <w:t>三是</w:t>
      </w:r>
      <w:r>
        <w:rPr>
          <w:rStyle w:val="18"/>
          <w:rFonts w:hint="eastAsia" w:ascii="仿宋_GB2312" w:hAnsi="Times New Roman" w:eastAsia="仿宋_GB2312"/>
          <w:kern w:val="2"/>
          <w:sz w:val="32"/>
          <w:szCs w:val="32"/>
        </w:rPr>
        <w:t>认真研判雨水倒灌或地质灾害诱发的安全风险，及时有效处置高温熔融金属液体。在不能保证安全的情况下，应果断采取停电停产撤人措施，确保安全。</w:t>
      </w:r>
    </w:p>
    <w:p w14:paraId="7479E380">
      <w:pPr>
        <w:pStyle w:val="2"/>
        <w:spacing w:after="0"/>
        <w:ind w:left="0" w:leftChars="0" w:firstLine="640"/>
        <w:contextualSpacing/>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（三）粉尘企业防水防潮防爆风险突出</w:t>
      </w:r>
    </w:p>
    <w:p w14:paraId="33A1DFF2">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一是由于厂房破损漏雨、大风飘雨、除尘设备死角积雨等原因，具有遇湿易燃特性的铝镁等金属粉尘（废屑）容易发生氧化放热反应，热量集聚达到临界点火能量，可能点爆粉尘。</w:t>
      </w:r>
      <w:r>
        <w:rPr>
          <w:rFonts w:hint="eastAsia" w:ascii="仿宋_GB2312" w:hAnsi="方正黑体_GBK" w:eastAsia="仿宋_GB2312" w:cs="方正黑体_GBK"/>
          <w:sz w:val="32"/>
          <w:szCs w:val="32"/>
        </w:rPr>
        <w:t>二是</w:t>
      </w:r>
      <w:r>
        <w:rPr>
          <w:rFonts w:hint="eastAsia" w:ascii="仿宋_GB2312" w:hAnsi="Times New Roman" w:eastAsia="仿宋_GB2312" w:cs="Times New Roman"/>
          <w:sz w:val="32"/>
          <w:szCs w:val="32"/>
        </w:rPr>
        <w:t>随着气温升高，涉爆粉尘氧化还原反应加剧，如果通风散热不及时，粉尘自燃集聚热量也可能点爆粉尘。三是少数企业为减少生产成本，私自关闭除尘系统，导致粉尘在车间积聚或者在车间弥漫，遇点火源可能发生爆炸事故。</w:t>
      </w:r>
    </w:p>
    <w:p w14:paraId="72B89260">
      <w:pPr>
        <w:pStyle w:val="12"/>
        <w:widowControl/>
        <w:shd w:val="clear" w:color="auto" w:fill="FFFFFF"/>
        <w:spacing w:beforeAutospacing="0" w:afterAutospacing="0"/>
        <w:ind w:firstLine="643" w:firstLineChars="200"/>
        <w:rPr>
          <w:rFonts w:ascii="仿宋_GB2312" w:hAnsi="宋体" w:eastAsia="仿宋_GB2312" w:cs="宋体"/>
          <w:sz w:val="32"/>
          <w:szCs w:val="32"/>
        </w:rPr>
      </w:pPr>
      <w:r>
        <w:rPr>
          <w:rFonts w:hint="eastAsia" w:ascii="仿宋_GB2312" w:hAnsi="Times New Roman" w:eastAsia="仿宋_GB2312"/>
          <w:b/>
          <w:sz w:val="32"/>
          <w:szCs w:val="32"/>
        </w:rPr>
        <w:t>防控措施：</w:t>
      </w:r>
      <w:r>
        <w:rPr>
          <w:rFonts w:hint="eastAsia" w:ascii="仿宋_GB2312" w:hAnsi="Times New Roman" w:eastAsia="仿宋_GB2312"/>
          <w:sz w:val="32"/>
          <w:szCs w:val="32"/>
        </w:rPr>
        <w:t>一是</w:t>
      </w:r>
      <w:r>
        <w:rPr>
          <w:rFonts w:hint="eastAsia" w:ascii="仿宋_GB2312" w:hAnsi="宋体" w:eastAsia="仿宋_GB2312" w:cs="仿宋_GB2312"/>
          <w:kern w:val="2"/>
          <w:sz w:val="32"/>
          <w:szCs w:val="32"/>
          <w:shd w:val="clear" w:color="auto" w:fill="FFFFFF"/>
          <w:lang w:val="en-US" w:eastAsia="zh-CN"/>
        </w:rPr>
        <w:t>严格</w:t>
      </w:r>
      <w:bookmarkStart w:id="0" w:name="_GoBack"/>
      <w:bookmarkEnd w:id="0"/>
      <w:r>
        <w:rPr>
          <w:rFonts w:hint="eastAsia" w:ascii="仿宋_GB2312" w:hAnsi="宋体" w:eastAsia="仿宋_GB2312" w:cs="仿宋_GB2312"/>
          <w:kern w:val="2"/>
          <w:sz w:val="32"/>
          <w:szCs w:val="32"/>
          <w:shd w:val="clear" w:color="auto" w:fill="FFFFFF"/>
        </w:rPr>
        <w:t>落实《粉尘防爆安全规程》等法律法规要求，认真开展风险研判，规范使用和维护除尘系统，及时规范清扫粉尘，</w:t>
      </w:r>
      <w:r>
        <w:rPr>
          <w:rFonts w:hint="eastAsia" w:ascii="仿宋_GB2312" w:hAnsi="宋体" w:eastAsia="仿宋_GB2312" w:cs="仿宋_GB2312"/>
          <w:sz w:val="32"/>
          <w:szCs w:val="32"/>
          <w:shd w:val="clear" w:color="auto" w:fill="FFFFFF"/>
        </w:rPr>
        <w:t>严防因高温等引发粉尘火灾、爆炸事故</w:t>
      </w:r>
      <w:r>
        <w:rPr>
          <w:rFonts w:hint="eastAsia" w:ascii="仿宋_GB2312" w:hAnsi="宋体" w:eastAsia="仿宋_GB2312" w:cs="仿宋_GB2312"/>
          <w:kern w:val="2"/>
          <w:sz w:val="32"/>
          <w:szCs w:val="32"/>
          <w:shd w:val="clear" w:color="auto" w:fill="FFFFFF"/>
        </w:rPr>
        <w:t>。</w:t>
      </w:r>
      <w:r>
        <w:rPr>
          <w:rFonts w:hint="eastAsia" w:ascii="仿宋_GB2312" w:hAnsi="Times New Roman" w:eastAsia="仿宋_GB2312"/>
          <w:sz w:val="32"/>
          <w:szCs w:val="32"/>
        </w:rPr>
        <w:t>二是</w:t>
      </w:r>
      <w:r>
        <w:rPr>
          <w:rFonts w:hint="eastAsia" w:ascii="仿宋_GB2312" w:hAnsi="宋体" w:eastAsia="仿宋_GB2312" w:cs="仿宋_GB2312"/>
          <w:kern w:val="2"/>
          <w:sz w:val="32"/>
          <w:szCs w:val="32"/>
          <w:shd w:val="clear" w:color="auto" w:fill="FFFFFF"/>
        </w:rPr>
        <w:t>严格落实铝镁等金属粉尘（废屑）收集、贮存等处置环节防水防潮、通风监测等防爆措施，严防铝镁金属粉尘（废屑）遇湿自燃或遇水放出氢气发生爆炸事故。</w:t>
      </w:r>
      <w:r>
        <w:rPr>
          <w:rFonts w:hint="eastAsia" w:ascii="仿宋_GB2312" w:hAnsi="Times New Roman" w:eastAsia="仿宋_GB2312"/>
          <w:sz w:val="32"/>
          <w:szCs w:val="32"/>
        </w:rPr>
        <w:t>三是</w:t>
      </w:r>
      <w:r>
        <w:rPr>
          <w:rFonts w:hint="eastAsia" w:ascii="仿宋_GB2312" w:hAnsi="宋体" w:eastAsia="仿宋_GB2312" w:cs="仿宋_GB2312"/>
          <w:kern w:val="2"/>
          <w:sz w:val="32"/>
          <w:szCs w:val="32"/>
          <w:shd w:val="clear" w:color="auto" w:fill="FFFFFF"/>
        </w:rPr>
        <w:t>聚焦粉尘企业“减人降尘”目标，大力实施技术改造，进一步降低产尘量，减少产尘环节，大力压减单班作业30人以上涉粉场所。</w:t>
      </w:r>
    </w:p>
    <w:p w14:paraId="500DA06C">
      <w:pPr>
        <w:pStyle w:val="2"/>
        <w:spacing w:after="0"/>
        <w:ind w:left="0" w:leftChars="0" w:firstLine="640"/>
        <w:contextualSpacing/>
        <w:rPr>
          <w:rFonts w:ascii="楷体_GB2312" w:hAnsi="Times New Roman" w:eastAsia="楷体_GB2312" w:cs="Times New Roman"/>
          <w:sz w:val="32"/>
          <w:szCs w:val="32"/>
        </w:rPr>
      </w:pPr>
      <w:r>
        <w:rPr>
          <w:rFonts w:hint="eastAsia" w:ascii="楷体_GB2312" w:hAnsi="Times New Roman" w:eastAsia="楷体_GB2312" w:cs="Times New Roman"/>
          <w:sz w:val="32"/>
          <w:szCs w:val="32"/>
        </w:rPr>
        <w:t>（四）有限空间作业安全风险不容忽视</w:t>
      </w:r>
    </w:p>
    <w:p w14:paraId="51DA95EB">
      <w:pPr>
        <w:pStyle w:val="12"/>
        <w:widowControl/>
        <w:shd w:val="clear" w:color="auto" w:fill="FFFFFF"/>
        <w:spacing w:beforeAutospacing="0" w:afterAutospacing="0"/>
        <w:ind w:firstLine="643" w:firstLineChars="200"/>
        <w:rPr>
          <w:rFonts w:ascii="仿宋_GB2312" w:hAnsi="Times New Roman" w:eastAsia="仿宋_GB2312"/>
          <w:kern w:val="2"/>
          <w:sz w:val="32"/>
          <w:szCs w:val="32"/>
        </w:rPr>
      </w:pPr>
      <w:r>
        <w:rPr>
          <w:rFonts w:hint="eastAsia" w:ascii="仿宋_GB2312" w:hAnsi="Times New Roman" w:eastAsia="仿宋_GB2312"/>
          <w:b/>
          <w:sz w:val="32"/>
          <w:szCs w:val="32"/>
        </w:rPr>
        <w:t>主要风险</w:t>
      </w:r>
      <w:r>
        <w:rPr>
          <w:rFonts w:hint="eastAsia" w:ascii="仿宋_GB2312" w:hAnsi="Times New Roman" w:eastAsia="仿宋_GB2312"/>
          <w:sz w:val="32"/>
          <w:szCs w:val="32"/>
        </w:rPr>
        <w:t>：</w:t>
      </w:r>
      <w:r>
        <w:rPr>
          <w:rFonts w:hint="eastAsia" w:ascii="仿宋_GB2312" w:hAnsi="Times New Roman" w:eastAsia="仿宋_GB2312"/>
          <w:kern w:val="2"/>
          <w:sz w:val="32"/>
          <w:szCs w:val="32"/>
        </w:rPr>
        <w:t>一是高温时节，各种污水池、发酵池、腌菜池、窨井、地沟等场所化学反应、微生物反应剧烈，导致有毒有害气体集聚增加。二是高温汛期气温气压频繁交替，有限空间内容易积聚非正常性有毒有害气体。三是企业进入生产经营旺季，各类有限空间检维修作业频繁，一旦“先通风、再检测、后作业”的有限空间作业规定未落实到位，发生险情盲目施救极易发生较大以上有限空间中毒窒息事故。</w:t>
      </w:r>
    </w:p>
    <w:p w14:paraId="55C9E3D6">
      <w:pPr>
        <w:pStyle w:val="12"/>
        <w:widowControl/>
        <w:shd w:val="clear" w:color="auto" w:fill="FFFFFF"/>
        <w:spacing w:beforeAutospacing="0" w:afterAutospacing="0"/>
        <w:ind w:firstLine="643" w:firstLineChars="200"/>
        <w:rPr>
          <w:rFonts w:ascii="仿宋_GB2312" w:hAnsi="Times New Roman" w:eastAsia="仿宋_GB2312"/>
          <w:kern w:val="2"/>
          <w:sz w:val="32"/>
          <w:szCs w:val="32"/>
        </w:rPr>
      </w:pPr>
      <w:r>
        <w:rPr>
          <w:rFonts w:hint="eastAsia" w:ascii="仿宋_GB2312" w:hAnsi="Times New Roman" w:eastAsia="仿宋_GB2312"/>
          <w:b/>
          <w:sz w:val="32"/>
          <w:szCs w:val="32"/>
        </w:rPr>
        <w:t>管控措施：</w:t>
      </w:r>
      <w:r>
        <w:rPr>
          <w:rFonts w:hint="eastAsia" w:ascii="仿宋_GB2312" w:hAnsi="Times New Roman" w:eastAsia="仿宋_GB2312"/>
          <w:kern w:val="2"/>
          <w:sz w:val="32"/>
          <w:szCs w:val="32"/>
        </w:rPr>
        <w:t>一是严格执行《工贸企业有限空间作业安全管理与监督暂行规定》，深入辨识有毒有害风险、建立有限空间作业台账，设置醒目安全警示标识，制定有限空间作业方案，配齐劳动防护用品，统一协调管理承包单位。二是严格落实“先通风、再检测、后作业”的有限空间作业规定，未经审批严禁作业。特别是发生险情，务必要科学处置，严禁盲目施救。</w:t>
      </w:r>
    </w:p>
    <w:p w14:paraId="66A3DE36">
      <w:pPr>
        <w:widowControl/>
        <w:shd w:val="clear" w:color="auto" w:fill="FFFFFF"/>
        <w:adjustRightInd w:val="0"/>
        <w:ind w:firstLine="640" w:firstLineChars="200"/>
        <w:contextualSpacing/>
        <w:rPr>
          <w:rFonts w:ascii="黑体" w:hAnsi="黑体" w:eastAsia="黑体" w:cs="Times New Roman"/>
          <w:bCs/>
          <w:sz w:val="32"/>
          <w:szCs w:val="32"/>
        </w:rPr>
      </w:pPr>
      <w:r>
        <w:rPr>
          <w:rFonts w:hint="eastAsia" w:ascii="黑体" w:hAnsi="黑体" w:eastAsia="黑体" w:cs="Times New Roman"/>
          <w:bCs/>
          <w:sz w:val="32"/>
          <w:szCs w:val="32"/>
        </w:rPr>
        <w:t>三、交通运输领域</w:t>
      </w:r>
    </w:p>
    <w:p w14:paraId="0B3C7A40">
      <w:pPr>
        <w:ind w:firstLine="640" w:firstLineChars="200"/>
        <w:contextualSpacing/>
        <w:rPr>
          <w:rFonts w:ascii="楷体_GB2312" w:hAnsi="Times New Roman" w:eastAsia="楷体_GB2312" w:cs="Times New Roman"/>
          <w:bCs/>
          <w:sz w:val="32"/>
          <w:szCs w:val="32"/>
          <w:highlight w:val="yellow"/>
        </w:rPr>
      </w:pPr>
      <w:r>
        <w:rPr>
          <w:rFonts w:hint="eastAsia" w:ascii="楷体_GB2312" w:hAnsi="Times New Roman" w:eastAsia="楷体_GB2312" w:cs="Times New Roman"/>
          <w:bCs/>
          <w:sz w:val="32"/>
          <w:szCs w:val="32"/>
        </w:rPr>
        <w:t>（一）道路运输风险叠加交织</w:t>
      </w:r>
    </w:p>
    <w:p w14:paraId="0F8E6DA7">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安全监管执法队伍部分精力放在疫情防控，安全管理和现场执法力量有所削弱。目前，全市交通运输、公安部门共设置交通防疫服务点5个。二是夏季高温期间昼长夜短，驾驶人员休息不足，易发生瞌睡犯困现象，人的不安全因素增加。三是当前，全市陆上危化品运输经营活跃，每日过境危化品车辆繁多，相关安全风险须臾不能忽视。</w:t>
      </w:r>
    </w:p>
    <w:p w14:paraId="04E8EE05">
      <w:pPr>
        <w:ind w:firstLine="643" w:firstLineChars="200"/>
        <w:rPr>
          <w:rStyle w:val="18"/>
          <w:rFonts w:ascii="仿宋_GB2312" w:hAnsi="Times New Roman" w:eastAsia="仿宋_GB2312" w:cs="Times New Roman"/>
          <w:kern w:val="0"/>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：一是统筹抓好疫情防控与安全生产工作，以开展公安安全隐患“三清”行动为契机，持续深化</w:t>
      </w:r>
      <w:r>
        <w:rPr>
          <w:rStyle w:val="18"/>
          <w:rFonts w:hint="eastAsia" w:ascii="仿宋_GB2312" w:eastAsia="仿宋_GB2312"/>
          <w:kern w:val="0"/>
          <w:sz w:val="32"/>
          <w:szCs w:val="32"/>
        </w:rPr>
        <w:t>道路交通安全专项整治，紧盯“两客一危”等重点车辆，严格安全监管，严把运行车辆关、从业人员关、货物装卸关，</w:t>
      </w:r>
      <w:r>
        <w:rPr>
          <w:rStyle w:val="18"/>
          <w:rFonts w:hint="eastAsia" w:ascii="仿宋_GB2312" w:hAnsi="宋体" w:eastAsia="仿宋_GB2312"/>
          <w:kern w:val="0"/>
          <w:sz w:val="32"/>
          <w:szCs w:val="32"/>
        </w:rPr>
        <w:t>严厉查处无证驾驶、超速超载、酒后驾驶、疲劳驾驶和农用车非法载客等违法违规行为。</w:t>
      </w:r>
      <w:r>
        <w:rPr>
          <w:rFonts w:hint="eastAsia" w:ascii="仿宋_GB2312" w:hAnsi="Times New Roman" w:eastAsia="仿宋_GB2312" w:cs="Times New Roman"/>
          <w:sz w:val="32"/>
          <w:szCs w:val="32"/>
        </w:rPr>
        <w:t>二是</w:t>
      </w:r>
      <w:r>
        <w:rPr>
          <w:rStyle w:val="18"/>
          <w:rFonts w:hint="eastAsia" w:ascii="仿宋_GB2312" w:hAnsi="宋体" w:eastAsia="仿宋_GB2312"/>
          <w:kern w:val="0"/>
          <w:sz w:val="32"/>
          <w:szCs w:val="32"/>
        </w:rPr>
        <w:t>突出抓好农忙季节农村道路安</w:t>
      </w:r>
      <w:r>
        <w:rPr>
          <w:rFonts w:hint="eastAsia" w:ascii="仿宋_GB2312" w:hAnsi="Times New Roman" w:eastAsia="仿宋_GB2312" w:cs="Times New Roman"/>
          <w:sz w:val="32"/>
          <w:szCs w:val="32"/>
        </w:rPr>
        <w:t>全监管，重点加大对占道晒粮、超员载人等农村道路交通安全违法行</w:t>
      </w:r>
      <w:r>
        <w:rPr>
          <w:rStyle w:val="18"/>
          <w:rFonts w:hint="eastAsia" w:ascii="仿宋_GB2312" w:hAnsi="宋体" w:eastAsia="仿宋_GB2312"/>
          <w:kern w:val="0"/>
          <w:sz w:val="32"/>
          <w:szCs w:val="32"/>
        </w:rPr>
        <w:t>为整治力度。</w:t>
      </w:r>
      <w:r>
        <w:rPr>
          <w:rFonts w:hint="eastAsia" w:ascii="仿宋_GB2312" w:hAnsi="Times New Roman" w:eastAsia="仿宋_GB2312" w:cs="Times New Roman"/>
          <w:sz w:val="32"/>
          <w:szCs w:val="32"/>
        </w:rPr>
        <w:t>三是运</w:t>
      </w:r>
      <w:r>
        <w:rPr>
          <w:rStyle w:val="18"/>
          <w:rFonts w:hint="eastAsia" w:ascii="仿宋_GB2312" w:hAnsi="Times New Roman" w:eastAsia="仿宋_GB2312" w:cs="Times New Roman"/>
          <w:kern w:val="0"/>
          <w:sz w:val="32"/>
          <w:szCs w:val="32"/>
        </w:rPr>
        <w:t>用联网联控和主动智能防控等技术手段，督促道路运输企业合理规划运输线路，切实做好道路危化品运输线路的风险评估、辨识、告知工作，提高驾驶员对于驶入、限速、拥堵、连续上下坡等特殊路段的安全防范意识。</w:t>
      </w:r>
    </w:p>
    <w:p w14:paraId="3103616B">
      <w:pPr>
        <w:ind w:firstLine="640" w:firstLineChars="200"/>
        <w:contextualSpacing/>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（二）水上交通风险进入季节性高危期</w:t>
      </w:r>
    </w:p>
    <w:p w14:paraId="3503335F">
      <w:pPr>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：预计今年汛期（6-8月）全市降水量550～650毫米，比常年同期偏多1～2成，水位上涨，流速加快，影响水上交通安全。</w:t>
      </w:r>
    </w:p>
    <w:p w14:paraId="70E3DE21">
      <w:pPr>
        <w:ind w:firstLine="643" w:firstLineChars="200"/>
        <w:rPr>
          <w:rStyle w:val="18"/>
          <w:rFonts w:ascii="仿宋_GB2312" w:hAnsi="宋体" w:eastAsia="仿宋_GB2312" w:cs="Times New Roman"/>
          <w:kern w:val="0"/>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w:t>
      </w:r>
      <w:r>
        <w:rPr>
          <w:rStyle w:val="18"/>
          <w:rFonts w:hint="eastAsia" w:ascii="仿宋_GB2312" w:hAnsi="宋体" w:eastAsia="仿宋_GB2312"/>
          <w:kern w:val="0"/>
          <w:sz w:val="32"/>
          <w:szCs w:val="32"/>
        </w:rPr>
        <w:t>针对暴雨、台风等恶劣气候及汛期水上航行安全的特点，抓住船舶超载等突出问题和易发生较大以上事故的薄弱环节，加强重点水域、重点航道和重点水运企业的安全监管。</w:t>
      </w:r>
      <w:r>
        <w:rPr>
          <w:rFonts w:hint="eastAsia" w:ascii="仿宋_GB2312" w:hAnsi="Times New Roman" w:eastAsia="仿宋_GB2312" w:cs="Times New Roman"/>
          <w:sz w:val="32"/>
          <w:szCs w:val="32"/>
        </w:rPr>
        <w:t>严格落实恶劣天气禁限航制度，在能见度差、风浪大、不宜开航的情况下，严禁冒险出港。二是坚决禁止600总吨及以下载运危险化学品的船舶22时至次日凌晨5时在辖区内河水域航行，禁止所有单壳危化品船和油船在内河水域航行、停泊。三是建</w:t>
      </w:r>
      <w:r>
        <w:rPr>
          <w:rStyle w:val="18"/>
          <w:rFonts w:hint="eastAsia" w:ascii="仿宋_GB2312" w:hAnsi="宋体" w:eastAsia="仿宋_GB2312" w:cs="Times New Roman"/>
          <w:kern w:val="0"/>
          <w:sz w:val="32"/>
          <w:szCs w:val="32"/>
        </w:rPr>
        <w:t>立健全危化品货主高质量选船机制，确保做到高质量选船人员、选船流程、选船标准“三统一”。交运部门应对危化品码头船舶开展联合检查和危管防污教育，进一步规范内河航道运输行为，严防碰撞事故发生。</w:t>
      </w:r>
    </w:p>
    <w:p w14:paraId="47A5EA55">
      <w:pPr>
        <w:widowControl/>
        <w:shd w:val="clear" w:color="auto" w:fill="FFFFFF"/>
        <w:adjustRightInd w:val="0"/>
        <w:ind w:firstLine="640" w:firstLineChars="200"/>
        <w:contextualSpacing/>
        <w:rPr>
          <w:rFonts w:ascii="黑体" w:hAnsi="黑体" w:eastAsia="黑体" w:cs="Times New Roman"/>
          <w:sz w:val="32"/>
          <w:szCs w:val="32"/>
        </w:rPr>
      </w:pPr>
      <w:r>
        <w:rPr>
          <w:rFonts w:hint="eastAsia" w:ascii="黑体" w:hAnsi="黑体" w:eastAsia="黑体" w:cs="Times New Roman"/>
          <w:sz w:val="32"/>
          <w:szCs w:val="32"/>
        </w:rPr>
        <w:t>四、建筑施工领域</w:t>
      </w:r>
    </w:p>
    <w:p w14:paraId="40787405">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高温汛期各类不安全因素特别是强台风，容易给建筑施工带来不利影响。去年9月13日，受14号强台风“灿都”影响，如东某项目工地突遇瞬时大风，引发在建钢结构梁柱倾覆，压倒一辆过路轿车，造成3人死亡。二是部分项目危大工程安全管控不到位，在编制、审查、论证、交底和验收等环节存在漏洞，造成风险隐患。三是部分建筑施工复工复产安全检查没有到边到底，可能存在“重工地、轻临建”的现象。四是有限空间作业安全风险也不容忽视。</w:t>
      </w:r>
    </w:p>
    <w:p w14:paraId="05697AF7">
      <w:pPr>
        <w:ind w:firstLine="643" w:firstLineChars="200"/>
        <w:rPr>
          <w:rStyle w:val="18"/>
          <w:rFonts w:ascii="仿宋_GB2312" w:hAnsi="宋体" w:eastAsia="仿宋_GB2312" w:cs="Times New Roman"/>
          <w:kern w:val="0"/>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：一是深入开展安全生产大检查工作，围绕治理行动重点任务，聚焦15条硬措施，督促企业开展安全风险隐患自查和整改落实，严厉打击违法违规行为，切实强化危大工程安全管控和人员培训教育。</w:t>
      </w:r>
      <w:r>
        <w:rPr>
          <w:rFonts w:hint="eastAsia" w:ascii="仿宋_GB2312" w:eastAsia="仿宋_GB2312"/>
          <w:snapToGrid w:val="0"/>
          <w:kern w:val="0"/>
          <w:sz w:val="32"/>
          <w:szCs w:val="32"/>
        </w:rPr>
        <w:t>要加强集宿区临时用电、生活区防火、易燃易爆物管理，组织开展消防灭火演练和培训。</w:t>
      </w:r>
      <w:r>
        <w:rPr>
          <w:rFonts w:hint="eastAsia" w:ascii="仿宋_GB2312" w:hAnsi="Times New Roman" w:eastAsia="仿宋_GB2312" w:cs="Times New Roman"/>
          <w:sz w:val="32"/>
          <w:szCs w:val="32"/>
        </w:rPr>
        <w:t>二是完善和落实夏季高温汛期建筑施工应急预案，及时掌握气象信息，发布预警通知，扎实做好防范和应对工作。对易受强风、暴雨、雷电等影响的工地、临时宿舍、大型设备，建设施工单位应提前采取防护措施，加强对深基坑、高边坡、施工围挡、物料堆积、起重机械设备等重点部位和关键环节的监控力度。三是紧盯</w:t>
      </w:r>
      <w:r>
        <w:rPr>
          <w:rStyle w:val="18"/>
          <w:rFonts w:hint="eastAsia" w:ascii="仿宋_GB2312" w:hAnsi="宋体" w:eastAsia="仿宋_GB2312"/>
          <w:kern w:val="0"/>
          <w:sz w:val="32"/>
          <w:szCs w:val="32"/>
        </w:rPr>
        <w:t>脚手架、深基坑、高支模等关键部位，进一步加强建筑施工现场管理，落细落实安全措施，严禁盲目赶工期、抢进度，严防触电、倒塌、坍塌、坠落和物体打击事故发生。</w:t>
      </w:r>
      <w:r>
        <w:rPr>
          <w:rFonts w:hint="eastAsia" w:ascii="仿宋_GB2312" w:hAnsi="Times New Roman" w:eastAsia="仿宋_GB2312" w:cs="Times New Roman"/>
          <w:sz w:val="32"/>
          <w:szCs w:val="32"/>
        </w:rPr>
        <w:t>四是持续推进智慧工地建设，进一步提升应用效能和覆盖范围，推动智慧工地从“有没有”向“优不优”转变，促进智慧工地运用和传统管理方式有机结合，提升施工现场安全风险防范能力。五是</w:t>
      </w:r>
      <w:r>
        <w:rPr>
          <w:rStyle w:val="18"/>
          <w:rFonts w:hint="eastAsia" w:ascii="仿宋_GB2312" w:hAnsi="宋体" w:eastAsia="仿宋_GB2312" w:cs="Times New Roman"/>
          <w:kern w:val="0"/>
          <w:sz w:val="32"/>
          <w:szCs w:val="32"/>
        </w:rPr>
        <w:t>做好建筑工地防暑降温工作，建设单位适当调整夏季高温作业劳动和休息制度，严格控制室外作业时间，重点岗位、重</w:t>
      </w:r>
      <w:r>
        <w:rPr>
          <w:rFonts w:hint="eastAsia" w:ascii="仿宋_GB2312" w:hAnsi="方正仿宋_GBK" w:eastAsia="仿宋_GB2312" w:cs="方正仿宋_GBK"/>
          <w:sz w:val="32"/>
          <w:szCs w:val="32"/>
        </w:rPr>
        <w:t>点部位要采取轮换作业等措施，并布置好防暑降温及安全注意事项。</w:t>
      </w:r>
      <w:r>
        <w:rPr>
          <w:rFonts w:hint="eastAsia" w:ascii="仿宋_GB2312" w:hAnsi="Times New Roman" w:eastAsia="仿宋_GB2312" w:cs="Times New Roman"/>
          <w:sz w:val="32"/>
          <w:szCs w:val="32"/>
        </w:rPr>
        <w:t>六是</w:t>
      </w:r>
      <w:r>
        <w:rPr>
          <w:rStyle w:val="18"/>
          <w:rFonts w:hint="eastAsia" w:ascii="仿宋_GB2312" w:hAnsi="宋体" w:eastAsia="仿宋_GB2312" w:cs="Times New Roman"/>
          <w:kern w:val="0"/>
          <w:sz w:val="32"/>
          <w:szCs w:val="32"/>
        </w:rPr>
        <w:t>严格执行有限空间作业“先通风、再检测、后作业”规定，认真落实安全风险交底和旁站监护措施。</w:t>
      </w:r>
    </w:p>
    <w:p w14:paraId="7747DEB4">
      <w:pPr>
        <w:ind w:firstLine="640" w:firstLineChars="200"/>
        <w:contextualSpacing/>
        <w:rPr>
          <w:rFonts w:ascii="黑体" w:hAnsi="黑体" w:eastAsia="黑体" w:cs="Times New Roman"/>
          <w:sz w:val="32"/>
          <w:szCs w:val="32"/>
        </w:rPr>
      </w:pPr>
      <w:r>
        <w:rPr>
          <w:rFonts w:hint="eastAsia" w:ascii="黑体" w:hAnsi="黑体" w:eastAsia="黑体" w:cs="Times New Roman"/>
          <w:sz w:val="32"/>
          <w:szCs w:val="32"/>
        </w:rPr>
        <w:t>五、既有建筑领域</w:t>
      </w:r>
    </w:p>
    <w:p w14:paraId="2D08B03A">
      <w:pPr>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：一是我市既有建筑保有量大，风险程度不一。经排查，</w:t>
      </w:r>
      <w:r>
        <w:rPr>
          <w:rFonts w:hint="eastAsia" w:ascii="仿宋_GB2312" w:hAnsi="Times New Roman" w:eastAsia="仿宋_GB2312" w:cs="Times New Roman"/>
          <w:kern w:val="32"/>
          <w:sz w:val="32"/>
          <w:szCs w:val="32"/>
        </w:rPr>
        <w:t>全市既有建筑超17.7万栋、面积超 6097万平方米，经过专家现场查勘确认，形成隐患建筑清单41处，面积32229.36平方，制定了全市隐患建筑三年整治计划，已实现D级危房住人清零。农村房屋排查191905户，用作经营性的自建房4867户，初判存在安全隐患的有5户</w:t>
      </w:r>
      <w:r>
        <w:rPr>
          <w:rFonts w:hint="eastAsia" w:ascii="仿宋_GB2312" w:hAnsi="Times New Roman" w:eastAsia="仿宋_GB2312" w:cs="Times New Roman"/>
          <w:sz w:val="32"/>
          <w:szCs w:val="32"/>
        </w:rPr>
        <w:t>。二是少数既有建筑产权人（使用人）不履行建设基本程序，私自拆改建筑结构、违法实施装饰装修，擅自改变建筑使用功能，容易引发安全事故。</w:t>
      </w:r>
    </w:p>
    <w:p w14:paraId="34142AF5">
      <w:pPr>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紧盯省安委办、省住建厅联合印发的《紧急通知》明确的七类重点，持续推进经营性自建房等既有建筑安全隐患整治工作。特别是要针对前期排查出的安全隐患建筑，扎实开展评估鉴定，确保程序科学、内容客观、结论准确。对列入今年整治计划的建筑，要因地制宜、分类施策，综合运用关停、重建、易地搬迁、成片改造、货币补偿、加固修缮等手段，“一案一策”挂牌督办。对判定为存在重大安全风险的隐患建筑，第一时间清人、停用、封房，并设置明显警戒标志。建设主管部门要进一步加大监管执法力度，严厉打击各类非法违规行为，坚决防止执法“宽松软”。二是加快推进初判存在安全隐患的农村房屋安全性评估（鉴定），持续推动鉴定为C、D级的农村房屋安全隐患整治工作，扎实做好极端天气下农村房屋安全防范工作。高度关注低洼易涝处老旧房屋和在册危房的汛期防护，对可能发生事故的既有房屋，着力加快隐患处置和应急抢险准备，确保人民群众生命财产安全。三是充分发挥社区网格员、物业管理服务人员、综合执法人员前哨作用，督促产权人（使用人）切实担负既有建筑使用安全责任，在所有工程建设之前切实履行建设基本程序；日常巡查中要检查有无办理改扩建、装饰装修等手续，及时制止擅自敲墙砸柱、擅自改变承重结构、擅自改变使用功能等违法违规行为，做到及时发现、及时报告、及时处置。四是要深刻吸取湖南长沙“4</w:t>
      </w:r>
      <w:r>
        <w:rPr>
          <w:rFonts w:hint="eastAsia" w:ascii="仿宋_GB2312" w:hAnsi="方正仿宋_GBK" w:eastAsia="仿宋_GB2312" w:cs="方正仿宋_GBK"/>
          <w:sz w:val="32"/>
          <w:szCs w:val="32"/>
        </w:rPr>
        <w:t>·</w:t>
      </w:r>
      <w:r>
        <w:rPr>
          <w:rFonts w:hint="eastAsia" w:ascii="仿宋_GB2312" w:hAnsi="Times New Roman" w:eastAsia="仿宋_GB2312" w:cs="Times New Roman"/>
          <w:sz w:val="32"/>
          <w:szCs w:val="32"/>
        </w:rPr>
        <w:t>29”居民自建房坍塌事故教训，进一步加强既有建筑行业性应急救援队伍建设，不断提升突发事件第一时间抢险救援能力，确保遇有紧急险情，能够第一时间科学高效处置。五是强化宣传引导。广泛开展房屋使用安全教育进社区、进家庭活动，结合安全生产月等活动，突出装修改造安全宣传教育，强化居民安全意识。</w:t>
      </w:r>
    </w:p>
    <w:p w14:paraId="5BAF6DA5">
      <w:pPr>
        <w:adjustRightInd w:val="0"/>
        <w:ind w:firstLine="640" w:firstLineChars="200"/>
        <w:contextualSpacing/>
        <w:rPr>
          <w:rFonts w:ascii="黑体" w:hAnsi="黑体" w:eastAsia="黑体" w:cs="Times New Roman"/>
          <w:sz w:val="32"/>
          <w:szCs w:val="32"/>
        </w:rPr>
      </w:pPr>
      <w:r>
        <w:rPr>
          <w:rFonts w:hint="eastAsia" w:ascii="黑体" w:hAnsi="黑体" w:eastAsia="黑体" w:cs="Times New Roman"/>
          <w:sz w:val="32"/>
          <w:szCs w:val="32"/>
        </w:rPr>
        <w:t>六、燃气领域</w:t>
      </w:r>
    </w:p>
    <w:p w14:paraId="307F4864">
      <w:pPr>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随着气温攀升，以及进入汛期后可能出现大风、短时强降雨等强对流天气，气象、地质灾害可能增多，城镇燃气场站、管道发生燃气泄漏事故的风险可能加大。二是高温季节液化石油气易挥发集聚，用户操作不当、环境通风不良、器具产品不合格等导致的燃气安全风险也可能随之增加。</w:t>
      </w:r>
    </w:p>
    <w:p w14:paraId="3E9D5D68">
      <w:pPr>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：一是依托全市智慧燃气安全监管平台，深化燃气充装、运输、销售、使用全流程信息化监管，加快推进“瓶改管、瓶改电”工程建设。二是深刻吸取5月25日常州市武进区民房爆炸坍塌事故教训，</w:t>
      </w:r>
      <w:r>
        <w:rPr>
          <w:rStyle w:val="18"/>
          <w:rFonts w:hint="eastAsia" w:ascii="仿宋_GB2312" w:eastAsia="仿宋_GB2312"/>
          <w:kern w:val="0"/>
          <w:sz w:val="32"/>
          <w:szCs w:val="32"/>
        </w:rPr>
        <w:t>按照“逐一排查、分类处置”要求，</w:t>
      </w:r>
      <w:r>
        <w:rPr>
          <w:rFonts w:hint="eastAsia" w:ascii="仿宋_GB2312" w:hAnsi="Times New Roman" w:eastAsia="仿宋_GB2312" w:cs="Times New Roman"/>
          <w:sz w:val="32"/>
          <w:szCs w:val="32"/>
        </w:rPr>
        <w:t>集中开展小商铺用气安全督导检查，</w:t>
      </w:r>
      <w:r>
        <w:rPr>
          <w:rStyle w:val="18"/>
          <w:rFonts w:hint="eastAsia" w:ascii="仿宋_GB2312" w:eastAsia="仿宋_GB2312"/>
          <w:kern w:val="0"/>
          <w:sz w:val="32"/>
          <w:szCs w:val="32"/>
        </w:rPr>
        <w:t>大力整治存在的突出问题和违规行为</w:t>
      </w:r>
      <w:r>
        <w:rPr>
          <w:rFonts w:hint="eastAsia" w:ascii="仿宋_GB2312" w:hAnsi="Times New Roman" w:eastAsia="仿宋_GB2312" w:cs="Times New Roman"/>
          <w:sz w:val="32"/>
          <w:szCs w:val="32"/>
        </w:rPr>
        <w:t>，建立并动态更新台账清单，逐项销号整改。三是督促燃气企业进一步落实入户安检制度，加强对用户安全用气的指导服务，引导用户购买、使用符合安全标准的产品，对用户存在安全隐患及时指导帮助消除，突出抓好全市1838家使用燃气餐饮商户泄漏报警装置的使用管理。四是持续强化燃气使用安全。加强燃气使用安全宣传，经常性推送安全用气提示短信，提升社会公众</w:t>
      </w:r>
      <w:r>
        <w:rPr>
          <w:rStyle w:val="18"/>
          <w:rFonts w:hint="eastAsia" w:ascii="仿宋_GB2312" w:eastAsia="仿宋_GB2312"/>
          <w:kern w:val="0"/>
          <w:sz w:val="32"/>
          <w:szCs w:val="32"/>
        </w:rPr>
        <w:t>消防安全意识和应急处置能力。</w:t>
      </w:r>
    </w:p>
    <w:p w14:paraId="274565FA">
      <w:pPr>
        <w:adjustRightInd w:val="0"/>
        <w:ind w:firstLine="640" w:firstLineChars="200"/>
        <w:contextualSpacing/>
        <w:rPr>
          <w:rFonts w:ascii="黑体" w:hAnsi="黑体" w:eastAsia="黑体" w:cs="Times New Roman"/>
          <w:sz w:val="32"/>
          <w:szCs w:val="32"/>
        </w:rPr>
      </w:pPr>
      <w:r>
        <w:rPr>
          <w:rFonts w:hint="eastAsia" w:ascii="黑体" w:hAnsi="黑体" w:eastAsia="黑体" w:cs="Times New Roman"/>
          <w:sz w:val="32"/>
          <w:szCs w:val="32"/>
        </w:rPr>
        <w:t>七、特种设备领域</w:t>
      </w:r>
    </w:p>
    <w:p w14:paraId="1DCA29EB">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（一）移出目录的特种设备监管主体不明确</w:t>
      </w:r>
    </w:p>
    <w:p w14:paraId="40E96596">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移出目录外的特种设备以及报废压力容器目前仍处于无人监管状态。今年5月11日20时左右，如东县大豫镇南通豫发再生资源回收有限公司发生一起废旧钢瓶内不明气体泄漏事件，造成6人身体不适，反映出废旧钢瓶安全管理还存在薄弱环节。</w:t>
      </w:r>
    </w:p>
    <w:p w14:paraId="00AB0AEE">
      <w:pPr>
        <w:ind w:firstLine="643" w:firstLineChars="200"/>
        <w:rPr>
          <w:rFonts w:ascii="仿宋_GB2312" w:hAnsi="方正仿宋_GBK" w:eastAsia="仿宋_GB2312" w:cs="方正仿宋_GBK"/>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w:t>
      </w:r>
      <w:r>
        <w:rPr>
          <w:rFonts w:hint="eastAsia" w:ascii="仿宋_GB2312" w:hAnsi="方正黑体_GBK" w:eastAsia="仿宋_GB2312" w:cs="方正黑体_GBK"/>
          <w:sz w:val="32"/>
          <w:szCs w:val="32"/>
        </w:rPr>
        <w:t>一是</w:t>
      </w:r>
      <w:r>
        <w:rPr>
          <w:rFonts w:hint="eastAsia" w:ascii="仿宋_GB2312" w:hAnsi="Times New Roman" w:eastAsia="仿宋_GB2312" w:cs="Times New Roman"/>
          <w:sz w:val="32"/>
          <w:szCs w:val="32"/>
        </w:rPr>
        <w:t>市场监管部门应进一步加大特种设备安全管理，组织开展移出目录外特种设备专题调研，盯紧看牢对生物质锅炉、移除目录特种设备、报废压力容器的安全监管问题。</w:t>
      </w:r>
      <w:r>
        <w:rPr>
          <w:rFonts w:hint="eastAsia" w:ascii="仿宋_GB2312" w:hAnsi="方正黑体_GBK" w:eastAsia="仿宋_GB2312" w:cs="方正黑体_GBK"/>
          <w:sz w:val="32"/>
          <w:szCs w:val="32"/>
        </w:rPr>
        <w:t>二是</w:t>
      </w:r>
      <w:r>
        <w:rPr>
          <w:rFonts w:hint="eastAsia" w:ascii="仿宋_GB2312" w:hAnsi="Times New Roman" w:eastAsia="仿宋_GB2312" w:cs="Times New Roman"/>
          <w:sz w:val="32"/>
          <w:szCs w:val="32"/>
        </w:rPr>
        <w:t>各有关部门要</w:t>
      </w:r>
      <w:r>
        <w:rPr>
          <w:rFonts w:hint="eastAsia" w:ascii="仿宋_GB2312" w:hAnsi="方正仿宋_GBK" w:eastAsia="仿宋_GB2312" w:cs="方正仿宋_GBK"/>
          <w:sz w:val="32"/>
          <w:szCs w:val="32"/>
        </w:rPr>
        <w:t>按照“</w:t>
      </w:r>
      <w:r>
        <w:rPr>
          <w:rFonts w:hint="eastAsia" w:ascii="仿宋_GB2312" w:hAnsi="Times New Roman" w:eastAsia="仿宋_GB2312" w:cs="Times New Roman"/>
          <w:sz w:val="32"/>
          <w:szCs w:val="32"/>
        </w:rPr>
        <w:t>三管</w:t>
      </w:r>
      <w:r>
        <w:rPr>
          <w:rFonts w:hint="eastAsia" w:ascii="仿宋_GB2312" w:hAnsi="方正仿宋_GBK" w:eastAsia="仿宋_GB2312" w:cs="方正仿宋_GBK"/>
          <w:sz w:val="32"/>
          <w:szCs w:val="32"/>
        </w:rPr>
        <w:t>三必须”要求，紧盯新领域、新业态安全风险，主动担当作为，明确管控措施，严防漏管失控。</w:t>
      </w:r>
    </w:p>
    <w:p w14:paraId="270B1261">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（二）受恶劣天气影响存在安全隐患</w:t>
      </w:r>
    </w:p>
    <w:p w14:paraId="266CBDF8">
      <w:pPr>
        <w:ind w:firstLine="643" w:firstLineChars="200"/>
        <w:rPr>
          <w:rFonts w:ascii="仿宋_GB2312" w:hAnsi="方正仿宋_GBK" w:eastAsia="仿宋_GB2312" w:cs="方正仿宋_GBK"/>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一是受</w:t>
      </w:r>
      <w:r>
        <w:rPr>
          <w:rFonts w:hint="eastAsia" w:ascii="仿宋_GB2312" w:hAnsi="方正仿宋_GBK" w:eastAsia="仿宋_GB2312" w:cs="方正仿宋_GBK"/>
          <w:sz w:val="32"/>
          <w:szCs w:val="32"/>
        </w:rPr>
        <w:t>恶劣天气影响，锅炉、压力容器、压力管道等承压类设备在雷暴大风状态下易存在密封面泄漏、管道变形等隐患</w:t>
      </w:r>
      <w:r>
        <w:rPr>
          <w:rFonts w:hint="eastAsia" w:ascii="仿宋_GB2312" w:hAnsi="Times New Roman" w:eastAsia="仿宋_GB2312" w:cs="Times New Roman"/>
          <w:sz w:val="32"/>
          <w:szCs w:val="32"/>
        </w:rPr>
        <w:t>。二是</w:t>
      </w:r>
      <w:r>
        <w:rPr>
          <w:rFonts w:hint="eastAsia" w:ascii="仿宋_GB2312" w:hAnsi="方正仿宋_GBK" w:eastAsia="仿宋_GB2312" w:cs="方正仿宋_GBK"/>
          <w:sz w:val="32"/>
          <w:szCs w:val="32"/>
        </w:rPr>
        <w:t>我市大部分曳引驱动乘客电梯的机房布置在建筑最顶部，在长期的阳光照射下，极易发生温度过高（超过</w:t>
      </w:r>
      <w:r>
        <w:rPr>
          <w:rFonts w:hint="eastAsia" w:ascii="仿宋_GB2312" w:hAnsi="Times New Roman" w:eastAsia="仿宋_GB2312" w:cs="Times New Roman"/>
          <w:sz w:val="32"/>
          <w:szCs w:val="32"/>
        </w:rPr>
        <w:t>40℃上</w:t>
      </w:r>
      <w:r>
        <w:rPr>
          <w:rFonts w:hint="eastAsia" w:ascii="仿宋_GB2312" w:hAnsi="方正仿宋_GBK" w:eastAsia="仿宋_GB2312" w:cs="方正仿宋_GBK"/>
          <w:sz w:val="32"/>
          <w:szCs w:val="32"/>
        </w:rPr>
        <w:t>限）导致电梯困人事件发生。</w:t>
      </w:r>
      <w:r>
        <w:rPr>
          <w:rFonts w:hint="eastAsia" w:ascii="仿宋_GB2312" w:hAnsi="Times New Roman" w:eastAsia="仿宋_GB2312" w:cs="Times New Roman"/>
          <w:sz w:val="32"/>
          <w:szCs w:val="32"/>
        </w:rPr>
        <w:t>三是</w:t>
      </w:r>
      <w:r>
        <w:rPr>
          <w:rFonts w:hint="eastAsia" w:ascii="仿宋_GB2312" w:hAnsi="方正仿宋_GBK" w:eastAsia="仿宋_GB2312" w:cs="方正仿宋_GBK"/>
          <w:sz w:val="32"/>
          <w:szCs w:val="32"/>
        </w:rPr>
        <w:t>我市处于台风高发地区，叠加沿海地区地势平坦，缺乏阻挡物，起重机械，由于重心较高，在缺乏相应措施的情况下，极易发生倾覆。</w:t>
      </w:r>
      <w:r>
        <w:rPr>
          <w:rFonts w:hint="eastAsia" w:ascii="仿宋_GB2312" w:hAnsi="Times New Roman" w:eastAsia="仿宋_GB2312" w:cs="Times New Roman"/>
          <w:sz w:val="32"/>
          <w:szCs w:val="32"/>
        </w:rPr>
        <w:t>四是生物质锅炉内部燃料过多且燃烧不充分，粉尘浓度达到爆燃标准，加之加料仓没有防爆装置，导致加料仓和进料管的连接部分爆开，诱发爆炸事故，必须高度重视。</w:t>
      </w:r>
    </w:p>
    <w:p w14:paraId="18FD4059">
      <w:pPr>
        <w:ind w:firstLine="643" w:firstLineChars="200"/>
        <w:rPr>
          <w:rFonts w:ascii="仿宋_GB2312" w:hAnsi="方正仿宋_GBK" w:eastAsia="仿宋_GB2312" w:cs="方正仿宋_GBK"/>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w:t>
      </w:r>
      <w:r>
        <w:rPr>
          <w:rFonts w:hint="eastAsia" w:ascii="仿宋_GB2312" w:hAnsi="方正仿宋_GBK" w:eastAsia="仿宋_GB2312" w:cs="方正仿宋_GBK"/>
          <w:sz w:val="32"/>
          <w:szCs w:val="32"/>
        </w:rPr>
        <w:t>及时发布恶劣天气预警，督促企业进行隐患 排查，加大锅炉、压力容器、压力管道等设备的巡检频次。</w:t>
      </w:r>
      <w:r>
        <w:rPr>
          <w:rFonts w:hint="eastAsia" w:ascii="仿宋_GB2312" w:hAnsi="Times New Roman" w:eastAsia="仿宋_GB2312" w:cs="Times New Roman"/>
          <w:sz w:val="32"/>
          <w:szCs w:val="32"/>
        </w:rPr>
        <w:t>二是</w:t>
      </w:r>
      <w:r>
        <w:rPr>
          <w:rFonts w:hint="eastAsia" w:ascii="仿宋_GB2312" w:hAnsi="方正仿宋_GBK" w:eastAsia="仿宋_GB2312" w:cs="方正仿宋_GBK"/>
          <w:sz w:val="32"/>
          <w:szCs w:val="32"/>
        </w:rPr>
        <w:t>加强人流密集场所电梯安全检查，重点排查电梯层门、制动器和自动扶梯附加制动器等电梯安全部件电气部分安全风险，督促电梯使用维保单位制定相应的方案，做好机房降温工作。</w:t>
      </w:r>
      <w:r>
        <w:rPr>
          <w:rFonts w:hint="eastAsia" w:ascii="仿宋_GB2312" w:hAnsi="Times New Roman" w:eastAsia="仿宋_GB2312" w:cs="Times New Roman"/>
          <w:sz w:val="32"/>
          <w:szCs w:val="32"/>
        </w:rPr>
        <w:t>三是</w:t>
      </w:r>
      <w:r>
        <w:rPr>
          <w:rFonts w:hint="eastAsia" w:ascii="仿宋_GB2312" w:hAnsi="方正仿宋_GBK" w:eastAsia="仿宋_GB2312" w:cs="方正仿宋_GBK"/>
          <w:sz w:val="32"/>
          <w:szCs w:val="32"/>
        </w:rPr>
        <w:t>加强沿海地区户外起重机安全检查，</w:t>
      </w:r>
      <w:r>
        <w:rPr>
          <w:rFonts w:hint="eastAsia" w:ascii="仿宋_GB2312" w:hAnsi="方正仿宋_GBK" w:eastAsia="仿宋_GB2312"/>
          <w:sz w:val="32"/>
          <w:szCs w:val="32"/>
        </w:rPr>
        <w:t>重点检查抗风防滑装置是否可靠，风速报警仪是否有效，</w:t>
      </w:r>
      <w:r>
        <w:rPr>
          <w:rFonts w:hint="eastAsia" w:ascii="仿宋_GB2312" w:hAnsi="方正仿宋_GBK" w:eastAsia="仿宋_GB2312" w:cs="方正仿宋_GBK"/>
          <w:sz w:val="32"/>
          <w:szCs w:val="32"/>
        </w:rPr>
        <w:t>起重指挥人员是否配备，</w:t>
      </w:r>
      <w:r>
        <w:rPr>
          <w:rFonts w:hint="eastAsia" w:ascii="仿宋_GB2312" w:hAnsi="方正仿宋_GBK" w:eastAsia="仿宋_GB2312"/>
          <w:sz w:val="32"/>
          <w:szCs w:val="32"/>
        </w:rPr>
        <w:t>风速报警仪是否有效。使用单位在风速超过设计最大量时，应立刻停止作业，放下货物，收好吊钩，并利用防风防滑装置对起重机械进行固定。</w:t>
      </w:r>
      <w:r>
        <w:rPr>
          <w:rFonts w:hint="eastAsia" w:ascii="仿宋_GB2312" w:hAnsi="Times New Roman" w:eastAsia="仿宋_GB2312" w:cs="Times New Roman"/>
          <w:sz w:val="32"/>
          <w:szCs w:val="32"/>
        </w:rPr>
        <w:t>四是</w:t>
      </w:r>
      <w:r>
        <w:rPr>
          <w:rFonts w:hint="eastAsia" w:ascii="仿宋_GB2312" w:hAnsi="方正仿宋_GBK" w:eastAsia="仿宋_GB2312"/>
          <w:sz w:val="32"/>
          <w:szCs w:val="32"/>
        </w:rPr>
        <w:t>进一步加强对</w:t>
      </w:r>
      <w:r>
        <w:rPr>
          <w:rFonts w:hint="eastAsia" w:ascii="仿宋_GB2312" w:hAnsi="Times New Roman" w:eastAsia="仿宋_GB2312" w:cs="Times New Roman"/>
          <w:sz w:val="32"/>
          <w:szCs w:val="32"/>
        </w:rPr>
        <w:t>生物质</w:t>
      </w:r>
      <w:r>
        <w:rPr>
          <w:rFonts w:hint="eastAsia" w:ascii="仿宋_GB2312" w:hAnsi="方正仿宋_GBK" w:eastAsia="仿宋_GB2312" w:cs="方正仿宋_GBK"/>
          <w:sz w:val="32"/>
          <w:szCs w:val="32"/>
        </w:rPr>
        <w:t>锅炉的安装、维修、改造、使用管理，督促使用主体严格遵守操作规程，定期开展检验维修。</w:t>
      </w:r>
    </w:p>
    <w:p w14:paraId="09C72017">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（三）持证作业人员流失，维护保养不够</w:t>
      </w:r>
    </w:p>
    <w:p w14:paraId="34762F84">
      <w:pPr>
        <w:ind w:firstLine="643" w:firstLineChars="200"/>
        <w:rPr>
          <w:rFonts w:ascii="仿宋_GB2312" w:hAnsi="方正仿宋_GBK" w:eastAsia="仿宋_GB2312" w:cs="方正仿宋_GBK"/>
          <w:sz w:val="32"/>
          <w:szCs w:val="32"/>
        </w:rPr>
      </w:pPr>
      <w:r>
        <w:rPr>
          <w:rFonts w:hint="eastAsia" w:ascii="仿宋_GB2312" w:hAnsi="Times New Roman" w:eastAsia="仿宋_GB2312" w:cs="Times New Roman"/>
          <w:b/>
          <w:sz w:val="32"/>
          <w:szCs w:val="32"/>
        </w:rPr>
        <w:t>主要风险：</w:t>
      </w:r>
      <w:r>
        <w:rPr>
          <w:rFonts w:hint="eastAsia" w:ascii="仿宋_GB2312" w:hAnsi="方正仿宋_GBK" w:eastAsia="仿宋_GB2312" w:cs="方正仿宋_GBK"/>
          <w:sz w:val="32"/>
          <w:szCs w:val="32"/>
        </w:rPr>
        <w:t>受新冠疫情影响，大型游乐设施使用单位经营状况不佳，持证作业人员流失严重，设备维护保养不能保证及时到位。电梯等设备无法及时维护保养、实施定期检验。</w:t>
      </w:r>
    </w:p>
    <w:p w14:paraId="7550529B">
      <w:pPr>
        <w:ind w:firstLine="643" w:firstLineChars="200"/>
        <w:rPr>
          <w:rFonts w:ascii="仿宋_GB2312" w:hAnsi="方正仿宋_GBK" w:eastAsia="仿宋_GB2312" w:cs="方正仿宋_GBK"/>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w:t>
      </w:r>
      <w:r>
        <w:rPr>
          <w:rFonts w:hint="eastAsia" w:ascii="仿宋_GB2312" w:hAnsi="方正仿宋_GBK" w:eastAsia="仿宋_GB2312" w:cs="方正仿宋_GBK"/>
          <w:sz w:val="32"/>
          <w:szCs w:val="32"/>
        </w:rPr>
        <w:t>强化乘客安全束缚装置检查，督促企业确保设备运行期间，必须有持证安全管理人员在岗，每台在用设备持 证作业人员必须配备到位。</w:t>
      </w:r>
      <w:r>
        <w:rPr>
          <w:rFonts w:hint="eastAsia" w:ascii="仿宋_GB2312" w:hAnsi="Times New Roman" w:eastAsia="仿宋_GB2312" w:cs="Times New Roman"/>
          <w:sz w:val="32"/>
          <w:szCs w:val="32"/>
        </w:rPr>
        <w:t>二是</w:t>
      </w:r>
      <w:r>
        <w:rPr>
          <w:rFonts w:hint="eastAsia" w:ascii="仿宋_GB2312" w:hAnsi="方正仿宋_GBK" w:eastAsia="仿宋_GB2312" w:cs="方正仿宋_GBK"/>
          <w:sz w:val="32"/>
          <w:szCs w:val="32"/>
        </w:rPr>
        <w:t>通过信息提醒电梯维保单位落实安全责任，保障电梯运行安全。</w:t>
      </w:r>
    </w:p>
    <w:p w14:paraId="6895CA54">
      <w:pPr>
        <w:adjustRightInd w:val="0"/>
        <w:ind w:firstLine="640" w:firstLineChars="200"/>
        <w:contextualSpacing/>
        <w:rPr>
          <w:rFonts w:ascii="黑体" w:hAnsi="黑体" w:eastAsia="黑体" w:cs="Times New Roman"/>
          <w:sz w:val="32"/>
          <w:szCs w:val="32"/>
        </w:rPr>
      </w:pPr>
      <w:r>
        <w:rPr>
          <w:rFonts w:hint="eastAsia" w:ascii="黑体" w:hAnsi="黑体" w:eastAsia="黑体" w:cs="Times New Roman"/>
          <w:sz w:val="32"/>
          <w:szCs w:val="32"/>
        </w:rPr>
        <w:t>八、消防领域</w:t>
      </w:r>
    </w:p>
    <w:p w14:paraId="4CD80681">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一是夏季用电高峰，各类电气火灾风险加剧，特别是高层建筑、“三合一”场所、群租房以及人员密集场所等重点部位极易发生“小火亡人”事故。二是疫情过后，各类生产经营企业及建设工地将迎来集中复产复工高峰期，容易忽视消防安全、忙中出乱，导致发生火灾事故。</w:t>
      </w:r>
    </w:p>
    <w:p w14:paraId="7BA3D2F3">
      <w:pPr>
        <w:adjustRightInd w:val="0"/>
        <w:ind w:firstLine="643" w:firstLineChars="200"/>
        <w:contextualSpacing/>
        <w:rPr>
          <w:rFonts w:ascii="仿宋_GB2312" w:hAnsi="Times New Roman" w:eastAsia="仿宋_GB2312" w:cs="Times New Roman"/>
          <w:bCs/>
          <w:snapToGrid w:val="0"/>
          <w:kern w:val="0"/>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w:t>
      </w:r>
      <w:r>
        <w:rPr>
          <w:rFonts w:hint="eastAsia" w:ascii="仿宋_GB2312" w:hAnsi="Times New Roman" w:eastAsia="仿宋_GB2312" w:cs="Times New Roman"/>
          <w:bCs/>
          <w:kern w:val="0"/>
          <w:sz w:val="32"/>
          <w:szCs w:val="32"/>
        </w:rPr>
        <w:t>全面推行单位自查、行业排查、监督抽查、重点检查、专家协查</w:t>
      </w:r>
      <w:r>
        <w:rPr>
          <w:rFonts w:hint="eastAsia" w:ascii="仿宋_GB2312" w:hAnsi="方正仿宋_GBK" w:eastAsia="仿宋_GB2312" w:cs="方正仿宋_GBK"/>
          <w:bCs/>
          <w:kern w:val="0"/>
          <w:sz w:val="32"/>
          <w:szCs w:val="32"/>
        </w:rPr>
        <w:t>“五查”</w:t>
      </w:r>
      <w:r>
        <w:rPr>
          <w:rFonts w:hint="eastAsia" w:ascii="仿宋_GB2312" w:hAnsi="Times New Roman" w:eastAsia="仿宋_GB2312" w:cs="Times New Roman"/>
          <w:bCs/>
          <w:kern w:val="0"/>
          <w:sz w:val="32"/>
          <w:szCs w:val="32"/>
        </w:rPr>
        <w:t>机制，深入开展消防安全大检查。特别是要紧盯电气线路及电气设备设施，开展专项整治行动，严查电气设备设施、电气线路敷设不规范以及老化等问题。</w:t>
      </w:r>
      <w:r>
        <w:rPr>
          <w:rFonts w:hint="eastAsia" w:ascii="仿宋_GB2312" w:hAnsi="Times New Roman" w:eastAsia="仿宋_GB2312" w:cs="Times New Roman"/>
          <w:sz w:val="32"/>
          <w:szCs w:val="32"/>
        </w:rPr>
        <w:t>二是</w:t>
      </w:r>
      <w:r>
        <w:rPr>
          <w:rFonts w:hint="eastAsia" w:ascii="仿宋_GB2312" w:hAnsi="Times New Roman" w:eastAsia="仿宋_GB2312" w:cs="Times New Roman"/>
          <w:bCs/>
          <w:kern w:val="0"/>
          <w:sz w:val="32"/>
          <w:szCs w:val="32"/>
        </w:rPr>
        <w:t>紧盯</w:t>
      </w:r>
      <w:r>
        <w:rPr>
          <w:rFonts w:hint="eastAsia" w:ascii="仿宋_GB2312" w:hAnsi="Times New Roman" w:eastAsia="仿宋_GB2312" w:cs="Times New Roman"/>
          <w:sz w:val="32"/>
          <w:szCs w:val="32"/>
        </w:rPr>
        <w:t>高层建筑、大型商业综合体、文博单位、学校、养老院等重点场所，加大排查整治、监督执法、宣传教育和失信惩戒，落实重大隐患约谈警示、媒体曝光和挂牌督办。三是</w:t>
      </w:r>
      <w:r>
        <w:rPr>
          <w:rFonts w:hint="eastAsia" w:ascii="仿宋_GB2312" w:hAnsi="Times New Roman" w:eastAsia="仿宋_GB2312" w:cs="Times New Roman"/>
          <w:bCs/>
          <w:kern w:val="0"/>
          <w:sz w:val="32"/>
          <w:szCs w:val="32"/>
        </w:rPr>
        <w:t>大力宣贯</w:t>
      </w:r>
      <w:r>
        <w:fldChar w:fldCharType="begin"/>
      </w:r>
      <w:r>
        <w:instrText xml:space="preserve"> HYPERLINK "http://59.201.118.150:8119/fire/7_c_2cbc0a025b4c460ea2151dc343b38541.html" \t "_blank" </w:instrText>
      </w:r>
      <w:r>
        <w:fldChar w:fldCharType="separate"/>
      </w:r>
      <w:r>
        <w:rPr>
          <w:rFonts w:hint="eastAsia" w:ascii="仿宋_GB2312" w:hAnsi="Times New Roman" w:eastAsia="仿宋_GB2312" w:cs="Times New Roman"/>
          <w:kern w:val="0"/>
          <w:sz w:val="32"/>
          <w:szCs w:val="32"/>
        </w:rPr>
        <w:t>《江苏省住宅物业消防安全管理规定》</w:t>
      </w:r>
      <w:r>
        <w:rPr>
          <w:rFonts w:hint="eastAsia" w:ascii="仿宋_GB2312" w:hAnsi="Times New Roman" w:eastAsia="仿宋_GB2312" w:cs="Times New Roman"/>
          <w:kern w:val="0"/>
          <w:sz w:val="32"/>
          <w:szCs w:val="32"/>
        </w:rPr>
        <w:fldChar w:fldCharType="end"/>
      </w:r>
      <w:r>
        <w:rPr>
          <w:rFonts w:hint="eastAsia" w:ascii="仿宋_GB2312" w:hAnsi="Times New Roman" w:eastAsia="仿宋_GB2312" w:cs="Times New Roman"/>
          <w:bCs/>
          <w:kern w:val="0"/>
          <w:sz w:val="32"/>
          <w:szCs w:val="32"/>
        </w:rPr>
        <w:t>，组织开展居民住宅小区消防安全治</w:t>
      </w:r>
      <w:r>
        <w:rPr>
          <w:rFonts w:hint="eastAsia" w:ascii="仿宋_GB2312" w:hAnsi="方正仿宋_GBK" w:eastAsia="仿宋_GB2312" w:cs="方正仿宋_GBK"/>
          <w:bCs/>
          <w:kern w:val="0"/>
          <w:sz w:val="32"/>
          <w:szCs w:val="32"/>
        </w:rPr>
        <w:t>理“百日攻坚行动”，深化</w:t>
      </w:r>
      <w:r>
        <w:rPr>
          <w:rFonts w:hint="eastAsia" w:ascii="仿宋_GB2312" w:hAnsi="Times New Roman" w:eastAsia="仿宋_GB2312" w:cs="Times New Roman"/>
          <w:bCs/>
          <w:kern w:val="0"/>
          <w:sz w:val="32"/>
          <w:szCs w:val="32"/>
        </w:rPr>
        <w:t>生产经营租住村民自建房重大火灾风险综合治理，有效遏制“小火亡人”火灾多发势头。</w:t>
      </w:r>
    </w:p>
    <w:p w14:paraId="54BBD42F">
      <w:pPr>
        <w:adjustRightInd w:val="0"/>
        <w:ind w:firstLine="640" w:firstLineChars="200"/>
        <w:contextualSpacing/>
        <w:rPr>
          <w:rFonts w:ascii="黑体" w:hAnsi="黑体" w:eastAsia="黑体" w:cs="Times New Roman"/>
          <w:bCs/>
          <w:snapToGrid w:val="0"/>
          <w:kern w:val="0"/>
          <w:sz w:val="32"/>
          <w:szCs w:val="32"/>
        </w:rPr>
      </w:pPr>
      <w:r>
        <w:rPr>
          <w:rFonts w:hint="eastAsia" w:ascii="黑体" w:hAnsi="黑体" w:eastAsia="黑体" w:cs="Times New Roman"/>
          <w:bCs/>
          <w:snapToGrid w:val="0"/>
          <w:kern w:val="0"/>
          <w:sz w:val="32"/>
          <w:szCs w:val="32"/>
        </w:rPr>
        <w:t>九、渔业船舶领域</w:t>
      </w:r>
    </w:p>
    <w:p w14:paraId="3250F5DC">
      <w:pPr>
        <w:pStyle w:val="19"/>
        <w:spacing w:after="0"/>
        <w:ind w:left="0" w:leftChars="0" w:firstLine="643"/>
        <w:jc w:val="both"/>
        <w:rPr>
          <w:rFonts w:ascii="仿宋_GB2312" w:hAnsi="Times New Roman" w:eastAsia="仿宋_GB2312" w:cs="Times New Roman"/>
          <w:color w:val="auto"/>
          <w:kern w:val="2"/>
          <w:sz w:val="32"/>
          <w:szCs w:val="32"/>
          <w:lang w:eastAsia="zh-CN"/>
        </w:rPr>
      </w:pPr>
      <w:r>
        <w:rPr>
          <w:rFonts w:hint="eastAsia" w:ascii="仿宋_GB2312" w:hAnsi="Times New Roman" w:eastAsia="仿宋_GB2312" w:cs="Times New Roman"/>
          <w:b/>
          <w:color w:val="auto"/>
          <w:sz w:val="32"/>
          <w:szCs w:val="32"/>
          <w:lang w:eastAsia="zh-CN"/>
        </w:rPr>
        <w:t>主要风险</w:t>
      </w:r>
      <w:r>
        <w:rPr>
          <w:rFonts w:hint="eastAsia" w:ascii="仿宋_GB2312" w:hAnsi="Times New Roman" w:eastAsia="仿宋_GB2312" w:cs="Times New Roman"/>
          <w:color w:val="auto"/>
          <w:sz w:val="32"/>
          <w:szCs w:val="32"/>
          <w:lang w:eastAsia="zh-CN"/>
        </w:rPr>
        <w:t>：一是</w:t>
      </w:r>
      <w:r>
        <w:rPr>
          <w:rFonts w:hint="eastAsia" w:ascii="仿宋_GB2312" w:hAnsi="Times New Roman" w:eastAsia="仿宋_GB2312" w:cs="Times New Roman"/>
          <w:color w:val="auto"/>
          <w:kern w:val="2"/>
          <w:sz w:val="32"/>
          <w:szCs w:val="32"/>
          <w:lang w:eastAsia="zh-CN" w:bidi="ar-SA"/>
        </w:rPr>
        <w:t>伏休开始后，受利益驱使，“三无”船舶、少数渔船冒险出海偷捕，这部分船只往往安全责任淡薄、安全设备差，顶风作案，极易发生事故。二是伏休期间，养殖渔船、浒苔打捞渔船、毛虾特许捕捞渔船等正常可以在不同时段出海，存在一定的自然和生产风险。三是伏休期间，渔船集中停靠，网具集中堆放，受少数船东擅自在渔港进行明火作业维修渔船和风暴增水影响，渔港存在火灾和汛期风险。渔港闸外停放船舶和开放渔港内船舶安全管理措施不到位，容易出现失管情况。</w:t>
      </w:r>
    </w:p>
    <w:p w14:paraId="62FECE20">
      <w:pPr>
        <w:pStyle w:val="2"/>
        <w:adjustRightInd w:val="0"/>
        <w:snapToGrid w:val="0"/>
        <w:spacing w:after="0" w:line="620" w:lineRule="exact"/>
        <w:ind w:left="0" w:leftChars="0" w:firstLine="643"/>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扎实开展安全生产大检查，全面、深入、细致开展自查自纠，完善更新问题隐患清单，做到立查立改、标本兼治。全面开展商渔船安全检修，规范渔船检修检测行为，保障渔船检修检测质量。二是落实伏休日报制，加强渔港封闭管理，安排渔政船渔港出口24小时值班，落实移泊制度、定人联船制度，每日清点伏休渔船在港情况。严厉打击“三无”船舶，严厉打击非法捕捞行为。三是深入贯彻《南通市防御台风应急预案》，聚焦会商研判、应急处置、抢险救援、人员转移、巡查防守、队伍物资调度、信息报送等环节，进一步强化分级响应和防范应对。四是压实浒苔打捞船属地监管责任。对养殖集中区域定期组织养殖渔船安全检查，加强进出港报告事后监督。采取物理隔离、强化日常巡查等多种手段落实渔船封闭管理，重点加强对外地停靠我市渔船的进出港管理和沿海自然河汊的日常管理。五是密切跟踪气象预警预报，及时作出提示提醒。加强渔港基础建设分析，完善相关对策，加强渔船网格化管理，提升信息化管理水平。利用伏季休渔人员相对集中有利时机，分类开展船员培训，增强海上安全生产技能和安全防范意识。</w:t>
      </w:r>
    </w:p>
    <w:p w14:paraId="7228CD2D">
      <w:pPr>
        <w:adjustRightInd w:val="0"/>
        <w:spacing w:line="620" w:lineRule="exact"/>
        <w:ind w:firstLine="640" w:firstLineChars="200"/>
        <w:contextualSpacing/>
        <w:rPr>
          <w:rFonts w:ascii="黑体" w:hAnsi="黑体" w:eastAsia="黑体" w:cs="Times New Roman"/>
          <w:bCs/>
          <w:snapToGrid w:val="0"/>
          <w:kern w:val="0"/>
          <w:sz w:val="32"/>
          <w:szCs w:val="32"/>
        </w:rPr>
      </w:pPr>
      <w:r>
        <w:rPr>
          <w:rFonts w:hint="eastAsia" w:ascii="黑体" w:hAnsi="黑体" w:eastAsia="黑体" w:cs="Times New Roman"/>
          <w:bCs/>
          <w:snapToGrid w:val="0"/>
          <w:kern w:val="0"/>
          <w:sz w:val="32"/>
          <w:szCs w:val="32"/>
        </w:rPr>
        <w:t>十、海上风电领域</w:t>
      </w:r>
    </w:p>
    <w:p w14:paraId="15F25109">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：目前，我市沿海风电场已进入运维期，风电场基础冲刷修复、风机齿轮箱维修、风机叶片更换等维修项目较多，参与的船舶和人员较前阶段有所增加，风电运维通航安全监管仍面临巨大压力。</w:t>
      </w:r>
    </w:p>
    <w:p w14:paraId="278673A1">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严格落实《关于加强沿海海上活动安全管理的实施意见》《加强全市水上应急能力建设实施方案》等文件精神，推动风电场业主单位将所有运维单位、船舶和人员纳入统一管理，实行统一调度制度。督促风电场业主单位加强海上风电安全风险管控和隐患排查治理。二是推动风电业主单位与专门公司签订服务协议，通过无人艇、无人机、警戒船，加强风电场主海缆廊道区域保护。加强对渔业船舶安全航行的宣传，规范渔船航行作业行为，引导渔船及时避开风电场海缆路由。</w:t>
      </w:r>
    </w:p>
    <w:p w14:paraId="185746EE">
      <w:pPr>
        <w:overflowPunct w:val="0"/>
        <w:ind w:firstLine="640" w:firstLineChars="200"/>
        <w:contextualSpacing/>
        <w:rPr>
          <w:rFonts w:ascii="黑体" w:hAnsi="黑体" w:eastAsia="黑体" w:cs="Times New Roman"/>
          <w:sz w:val="32"/>
          <w:szCs w:val="32"/>
        </w:rPr>
      </w:pPr>
      <w:r>
        <w:rPr>
          <w:rFonts w:hint="eastAsia" w:ascii="黑体" w:hAnsi="黑体" w:eastAsia="黑体" w:cs="Times New Roman"/>
          <w:sz w:val="32"/>
          <w:szCs w:val="32"/>
        </w:rPr>
        <w:t>十一、自然灾害领域</w:t>
      </w:r>
    </w:p>
    <w:p w14:paraId="08C061D7">
      <w:pPr>
        <w:ind w:firstLine="643"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主要风险：</w:t>
      </w:r>
      <w:r>
        <w:rPr>
          <w:rFonts w:hint="eastAsia" w:ascii="仿宋_GB2312" w:hAnsi="Times New Roman" w:eastAsia="仿宋_GB2312" w:cs="Times New Roman"/>
          <w:sz w:val="32"/>
          <w:szCs w:val="32"/>
        </w:rPr>
        <w:t>预计今年我市汛期气候总体为一般到偏差。总降水量比常年偏多1～2成，气温偏高1～2℃。一是高温日数（日最高气温≥35℃）较常年偏多，有阶段性高温天气；二是入梅正常略早，出梅接近常年，梅雨期长度略长，梅雨量正常略偏多。如遭遇强降雨，出现局地性城市内涝的可能性较大；三是影响我市的台风为2～4个，可能有1～2个影响较重，需关注对海边设施、海上作业平台和各类船舶的安全影响。</w:t>
      </w:r>
    </w:p>
    <w:p w14:paraId="085A71A8">
      <w:pPr>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防控措施：</w:t>
      </w:r>
      <w:r>
        <w:rPr>
          <w:rFonts w:hint="eastAsia" w:ascii="仿宋_GB2312" w:hAnsi="Times New Roman" w:eastAsia="仿宋_GB2312" w:cs="Times New Roman"/>
          <w:sz w:val="32"/>
          <w:szCs w:val="32"/>
        </w:rPr>
        <w:t>一是加强监测预警和会商研判。按照分类监测、分级预警原则，加强精密观测和精准分析，着力提升强对流等极端天气的监测预报预警水平。定期开展自然灾害综合风险形势会商，强化趋势分析和提前防范，及时下发气象灾害应对工作提示，提高防范应对效率。二是加强对流等灾害性天气防范应对工作。对危险房屋、临时搭建建筑、户外设施、交通运输、建筑施工、高空作业、港口和海上作业平台、各类水上船舶等重点领域开展隐患排查整治，持续消险除险，加强安全作业管理，及时采取停产停工、防风避风、转移避险等应急措施。三是高度重视汛期低洼地区以及涵洞等地下空间安全防范，组织开展短临天气监测预警，及时进行除险加固，组织开展防渗水、防倒灌等类型应急演练。持续抓好森林火灾防控，强化</w:t>
      </w:r>
      <w:r>
        <w:rPr>
          <w:rFonts w:hint="eastAsia" w:ascii="仿宋_GB2312" w:hAnsi="Times New Roman" w:eastAsia="仿宋_GB2312" w:cs="Times New Roman"/>
          <w:kern w:val="32"/>
          <w:sz w:val="32"/>
          <w:szCs w:val="32"/>
        </w:rPr>
        <w:t>森林火险监测、一线巡查和防灭火设施维护，加大野外露营地火源管控和</w:t>
      </w:r>
      <w:r>
        <w:rPr>
          <w:rFonts w:hint="eastAsia" w:ascii="仿宋_GB2312" w:hAnsi="Times New Roman" w:eastAsia="仿宋_GB2312" w:cs="Times New Roman"/>
          <w:sz w:val="32"/>
          <w:szCs w:val="32"/>
        </w:rPr>
        <w:t>违规用火行为查处力度，提高火情火险早期发现和处置能力。四是全力做好防汛抗旱抗台风各项工作。及时准确掌握雨水情信息，强化洪水预报联合会商。特别要关注上游客水的影响，结合灾害风险普查成果，开展应急抢险实战演练，落实物资储备保障和抢险装备配备，做好防汛抢险准备。五是强化应急准备。严格落实领导在岗带班和24小时值班值守制度，强化信息报送，确保信息通畅。做好队伍、物资、装备等准备，确保一旦发生灾害，快速启动响应，有力有效处置。</w:t>
      </w:r>
    </w:p>
    <w:p w14:paraId="3E925030">
      <w:pPr>
        <w:ind w:firstLine="640" w:firstLineChars="200"/>
        <w:rPr>
          <w:rFonts w:ascii="仿宋_GB2312" w:hAnsi="Times New Roman" w:eastAsia="仿宋_GB2312" w:cs="Times New Roman"/>
          <w:sz w:val="32"/>
          <w:szCs w:val="32"/>
        </w:rPr>
      </w:pPr>
    </w:p>
    <w:p w14:paraId="0D5BE808">
      <w:pPr>
        <w:pStyle w:val="2"/>
        <w:spacing w:after="0"/>
        <w:ind w:left="0" w:leftChars="0" w:firstLine="640"/>
        <w:rPr>
          <w:rFonts w:ascii="仿宋_GB2312" w:eastAsia="仿宋_GB2312"/>
          <w:sz w:val="32"/>
          <w:szCs w:val="32"/>
        </w:rPr>
      </w:pPr>
    </w:p>
    <w:p w14:paraId="7A3F79BD">
      <w:pPr>
        <w:ind w:firstLine="4160" w:firstLineChars="1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海安市安全生产委员会办公室</w:t>
      </w:r>
    </w:p>
    <w:p w14:paraId="6C5F2922">
      <w:pPr>
        <w:ind w:firstLine="4960" w:firstLineChars="155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2022年6月20日</w:t>
      </w:r>
    </w:p>
    <w:p w14:paraId="3E01AEE2">
      <w:pPr>
        <w:spacing w:line="480" w:lineRule="exact"/>
        <w:rPr>
          <w:rFonts w:ascii="仿宋_GB2312"/>
          <w:szCs w:val="32"/>
        </w:rPr>
      </w:pPr>
    </w:p>
    <w:p w14:paraId="38F7676A">
      <w:pPr>
        <w:spacing w:line="480" w:lineRule="exact"/>
        <w:rPr>
          <w:rFonts w:ascii="仿宋_GB2312"/>
          <w:szCs w:val="32"/>
        </w:rPr>
      </w:pPr>
    </w:p>
    <w:p w14:paraId="738BB859">
      <w:pPr>
        <w:spacing w:line="480" w:lineRule="exact"/>
        <w:rPr>
          <w:rFonts w:ascii="仿宋_GB2312"/>
          <w:szCs w:val="32"/>
        </w:rPr>
      </w:pPr>
    </w:p>
    <w:p w14:paraId="480B783B">
      <w:pPr>
        <w:spacing w:line="480" w:lineRule="exact"/>
        <w:rPr>
          <w:rFonts w:ascii="仿宋_GB2312"/>
          <w:szCs w:val="32"/>
        </w:rPr>
      </w:pPr>
    </w:p>
    <w:p w14:paraId="59117F72">
      <w:pPr>
        <w:spacing w:line="480" w:lineRule="exact"/>
        <w:rPr>
          <w:rFonts w:ascii="仿宋_GB2312"/>
          <w:szCs w:val="32"/>
        </w:rPr>
      </w:pPr>
    </w:p>
    <w:p w14:paraId="1390F2E1">
      <w:pPr>
        <w:spacing w:line="480" w:lineRule="exact"/>
        <w:rPr>
          <w:rFonts w:ascii="仿宋_GB2312"/>
          <w:szCs w:val="32"/>
        </w:rPr>
      </w:pPr>
    </w:p>
    <w:p w14:paraId="1DC00A66">
      <w:pPr>
        <w:spacing w:line="480" w:lineRule="exact"/>
        <w:rPr>
          <w:rFonts w:ascii="仿宋_GB2312"/>
          <w:szCs w:val="32"/>
        </w:rPr>
      </w:pPr>
    </w:p>
    <w:p w14:paraId="63607CF7">
      <w:pPr>
        <w:pStyle w:val="2"/>
        <w:spacing w:after="0"/>
        <w:ind w:left="0" w:leftChars="0" w:firstLine="0" w:firstLineChars="0"/>
      </w:pPr>
    </w:p>
    <w:p w14:paraId="4D66252E">
      <w:pPr>
        <w:spacing w:line="480" w:lineRule="exact"/>
        <w:rPr>
          <w:rFonts w:ascii="仿宋_GB2312"/>
          <w:szCs w:val="32"/>
        </w:rPr>
      </w:pPr>
    </w:p>
    <w:p w14:paraId="6C8D14BA">
      <w:pPr>
        <w:pStyle w:val="2"/>
        <w:spacing w:after="0"/>
        <w:ind w:left="0" w:leftChars="0" w:firstLine="0" w:firstLineChars="0"/>
      </w:pPr>
    </w:p>
    <w:p w14:paraId="5ABD4FD3"/>
    <w:p w14:paraId="511F2045">
      <w:pPr>
        <w:pStyle w:val="2"/>
        <w:spacing w:after="0"/>
        <w:ind w:left="0" w:leftChars="0" w:firstLine="0" w:firstLineChars="0"/>
      </w:pPr>
    </w:p>
    <w:p w14:paraId="55F41262"/>
    <w:p w14:paraId="0277387F">
      <w:pPr>
        <w:spacing w:line="480" w:lineRule="exact"/>
        <w:rPr>
          <w:rFonts w:ascii="仿宋_GB2312"/>
          <w:szCs w:val="32"/>
        </w:rPr>
      </w:pPr>
    </w:p>
    <w:p w14:paraId="6697257A">
      <w:pPr>
        <w:pStyle w:val="2"/>
        <w:spacing w:after="0"/>
        <w:ind w:left="0" w:leftChars="0" w:firstLine="0" w:firstLineChars="0"/>
      </w:pPr>
    </w:p>
    <w:p w14:paraId="15F272BF"/>
    <w:p w14:paraId="07CA723B"/>
    <w:p w14:paraId="1A77A913">
      <w:pPr>
        <w:spacing w:line="480" w:lineRule="exact"/>
        <w:rPr>
          <w:rFonts w:ascii="仿宋_GB2312"/>
          <w:szCs w:val="32"/>
        </w:rPr>
      </w:pPr>
    </w:p>
    <w:p w14:paraId="06C58122">
      <w:pPr>
        <w:spacing w:line="480" w:lineRule="exact"/>
        <w:rPr>
          <w:rFonts w:ascii="仿宋_GB2312"/>
          <w:szCs w:val="32"/>
        </w:rPr>
      </w:pPr>
    </w:p>
    <w:p w14:paraId="299A83FB">
      <w:pPr>
        <w:spacing w:line="480" w:lineRule="exact"/>
        <w:rPr>
          <w:rFonts w:ascii="仿宋_GB2312"/>
          <w:szCs w:val="32"/>
        </w:rPr>
      </w:pPr>
    </w:p>
    <w:p w14:paraId="6F37A886">
      <w:pPr>
        <w:spacing w:line="480" w:lineRule="exact"/>
        <w:rPr>
          <w:rFonts w:ascii="仿宋_GB2312"/>
          <w:szCs w:val="32"/>
        </w:rPr>
      </w:pPr>
    </w:p>
    <w:p w14:paraId="2E39C780">
      <w:pPr>
        <w:spacing w:line="480" w:lineRule="exact"/>
        <w:rPr>
          <w:rFonts w:ascii="仿宋_GB2312"/>
          <w:szCs w:val="32"/>
        </w:rPr>
      </w:pPr>
    </w:p>
    <w:p w14:paraId="264AC491">
      <w:pPr>
        <w:spacing w:line="480" w:lineRule="exact"/>
        <w:rPr>
          <w:rFonts w:ascii="仿宋_GB2312"/>
          <w:szCs w:val="32"/>
        </w:rPr>
      </w:pPr>
    </w:p>
    <w:p w14:paraId="41BBBC1F">
      <w:pPr>
        <w:spacing w:line="480" w:lineRule="exact"/>
        <w:rPr>
          <w:rFonts w:ascii="仿宋_GB2312"/>
          <w:szCs w:val="32"/>
        </w:rPr>
      </w:pPr>
    </w:p>
    <w:p w14:paraId="73861582">
      <w:pPr>
        <w:spacing w:line="480" w:lineRule="exact"/>
        <w:rPr>
          <w:rFonts w:ascii="仿宋_GB2312"/>
          <w:szCs w:val="32"/>
        </w:rPr>
      </w:pPr>
    </w:p>
    <w:p w14:paraId="15917D5F">
      <w:pPr>
        <w:spacing w:line="480" w:lineRule="exact"/>
        <w:rPr>
          <w:rFonts w:ascii="仿宋_GB2312"/>
          <w:szCs w:val="32"/>
        </w:rPr>
      </w:pPr>
    </w:p>
    <w:p w14:paraId="492665C6">
      <w:pPr>
        <w:spacing w:line="480" w:lineRule="exact"/>
        <w:rPr>
          <w:rFonts w:ascii="仿宋_GB2312"/>
          <w:szCs w:val="32"/>
        </w:rPr>
      </w:pPr>
    </w:p>
    <w:p w14:paraId="5CCA56D9">
      <w:pPr>
        <w:pStyle w:val="2"/>
      </w:pPr>
    </w:p>
    <w:p w14:paraId="71B32AC9"/>
    <w:p w14:paraId="0F76A347">
      <w:pPr>
        <w:pStyle w:val="2"/>
      </w:pPr>
    </w:p>
    <w:p w14:paraId="41F0C377"/>
    <w:p w14:paraId="0D5EEA42">
      <w:pPr>
        <w:pStyle w:val="2"/>
      </w:pPr>
    </w:p>
    <w:p w14:paraId="1A72CAD2"/>
    <w:p w14:paraId="48003367">
      <w:pPr>
        <w:pStyle w:val="2"/>
      </w:pPr>
    </w:p>
    <w:p w14:paraId="29DD33E8">
      <w:pPr>
        <w:spacing w:line="480" w:lineRule="exact"/>
        <w:rPr>
          <w:rFonts w:ascii="仿宋_GB2312"/>
          <w:szCs w:val="32"/>
        </w:rPr>
      </w:pPr>
    </w:p>
    <w:p w14:paraId="19FF0AF6">
      <w:pPr>
        <w:spacing w:line="480" w:lineRule="exact"/>
        <w:rPr>
          <w:rFonts w:ascii="仿宋_GB2312"/>
          <w:szCs w:val="32"/>
        </w:rPr>
      </w:pPr>
    </w:p>
    <w:p w14:paraId="4BE032D1">
      <w:pPr>
        <w:pStyle w:val="2"/>
      </w:pPr>
    </w:p>
    <w:p w14:paraId="217966A7">
      <w:pPr>
        <w:widowControl/>
        <w:spacing w:line="500" w:lineRule="exact"/>
        <w:rPr>
          <w:rFonts w:ascii="仿宋_GB2312" w:hAnsi="宋体" w:cs="仿宋_GB2312"/>
          <w:sz w:val="28"/>
          <w:szCs w:val="28"/>
          <w:u w:val="single"/>
        </w:rPr>
      </w:pPr>
      <w:r>
        <w:rPr>
          <w:rFonts w:hint="eastAsia" w:ascii="仿宋_GB2312" w:hAnsi="宋体" w:cs="仿宋_GB2312"/>
          <w:sz w:val="28"/>
          <w:szCs w:val="28"/>
          <w:u w:val="single"/>
        </w:rPr>
        <w:t xml:space="preserve">                                                                </w:t>
      </w:r>
    </w:p>
    <w:p w14:paraId="6FAB87AC">
      <w:pPr>
        <w:widowControl/>
        <w:spacing w:line="440" w:lineRule="exact"/>
        <w:ind w:left="1261" w:leftChars="67" w:right="-40" w:hanging="1120" w:hangingChars="400"/>
        <w:rPr>
          <w:rFonts w:ascii="仿宋_GB2312" w:eastAsia="仿宋_GB2312"/>
          <w:sz w:val="28"/>
          <w:szCs w:val="28"/>
        </w:rPr>
      </w:pPr>
      <w:r>
        <w:rPr>
          <w:rFonts w:hint="eastAsia" w:ascii="仿宋_GB2312" w:hAnsi="宋体" w:eastAsia="仿宋_GB2312" w:cs="仿宋_GB2312"/>
          <w:sz w:val="28"/>
          <w:szCs w:val="28"/>
        </w:rPr>
        <w:t>抄  送：南通</w:t>
      </w:r>
      <w:r>
        <w:rPr>
          <w:rFonts w:hint="eastAsia" w:ascii="仿宋_GB2312" w:eastAsia="仿宋_GB2312" w:cs="仿宋_GB2312"/>
          <w:sz w:val="28"/>
          <w:szCs w:val="28"/>
        </w:rPr>
        <w:t>市安委会、应急管理局，海安市委办公室、人大办公室、政府办公室、政协办公室，市人武部，各区镇街道安监局</w:t>
      </w:r>
    </w:p>
    <w:p w14:paraId="473359E5">
      <w:pPr>
        <w:widowControl/>
        <w:spacing w:line="440" w:lineRule="exact"/>
        <w:ind w:right="-40" w:firstLine="1260" w:firstLineChars="450"/>
        <w:rPr>
          <w:rFonts w:ascii="仿宋_GB2312" w:eastAsia="仿宋_GB2312"/>
          <w:sz w:val="28"/>
          <w:szCs w:val="28"/>
        </w:rPr>
      </w:pPr>
      <w:r>
        <w:rPr>
          <w:rFonts w:hint="eastAsia" w:ascii="仿宋_GB2312" w:eastAsia="仿宋_GB2312" w:cs="仿宋_GB2312"/>
          <w:sz w:val="28"/>
          <w:szCs w:val="28"/>
        </w:rPr>
        <w:t>于立忠书记、谭真市长及各位副市长</w:t>
      </w:r>
    </w:p>
    <w:p w14:paraId="0258C7E6">
      <w:pPr>
        <w:widowControl/>
        <w:spacing w:line="100" w:lineRule="exact"/>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 xml:space="preserve">                                                                 </w:t>
      </w:r>
    </w:p>
    <w:p w14:paraId="10588E11">
      <w:pPr>
        <w:widowControl/>
        <w:tabs>
          <w:tab w:val="left" w:pos="8460"/>
        </w:tabs>
        <w:spacing w:line="500" w:lineRule="exact"/>
        <w:ind w:right="-40" w:firstLine="140" w:firstLineChars="50"/>
        <w:rPr>
          <w:rFonts w:ascii="仿宋_GB2312" w:hAnsi="宋体" w:eastAsia="仿宋_GB2312"/>
          <w:sz w:val="28"/>
          <w:szCs w:val="28"/>
        </w:rPr>
      </w:pPr>
      <w:r>
        <w:rPr>
          <w:rFonts w:hint="eastAsia" w:ascii="仿宋_GB2312" w:hAnsi="宋体" w:eastAsia="仿宋_GB2312" w:cs="仿宋_GB2312"/>
          <w:sz w:val="28"/>
          <w:szCs w:val="28"/>
        </w:rPr>
        <w:t>海安市安全生产委员会办公室               2022年6月20日印发</w:t>
      </w:r>
    </w:p>
    <w:p w14:paraId="38323F35">
      <w:pPr>
        <w:tabs>
          <w:tab w:val="left" w:pos="6660"/>
          <w:tab w:val="left" w:pos="7020"/>
        </w:tabs>
        <w:spacing w:line="100" w:lineRule="exact"/>
        <w:jc w:val="left"/>
        <w:rPr>
          <w:rFonts w:ascii="仿宋_GB2312" w:eastAsia="仿宋_GB2312"/>
          <w:sz w:val="32"/>
          <w:szCs w:val="32"/>
          <w:u w:val="single"/>
        </w:rPr>
      </w:pPr>
      <w:r>
        <w:rPr>
          <w:rFonts w:hint="eastAsia" w:ascii="仿宋_GB2312" w:eastAsia="仿宋_GB2312"/>
          <w:sz w:val="32"/>
          <w:szCs w:val="32"/>
          <w:u w:val="single"/>
        </w:rPr>
        <w:t xml:space="preserve">                                                        </w:t>
      </w:r>
    </w:p>
    <w:sectPr>
      <w:footerReference r:id="rId3" w:type="default"/>
      <w:footerReference r:id="rId4" w:type="even"/>
      <w:pgSz w:w="11906" w:h="16838"/>
      <w:pgMar w:top="1985" w:right="1531" w:bottom="1701" w:left="1531" w:header="964"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97415F-D369-4FF5-A34F-2D792F8269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9977318-0F2F-46FC-AF04-90426F5A00D3}"/>
  </w:font>
  <w:font w:name="方正小标宋_GBK">
    <w:panose1 w:val="03000509000000000000"/>
    <w:charset w:val="86"/>
    <w:family w:val="script"/>
    <w:pitch w:val="default"/>
    <w:sig w:usb0="00000001" w:usb1="080E0000" w:usb2="00000000" w:usb3="00000000" w:csb0="00040000" w:csb1="00000000"/>
    <w:embedRegular r:id="rId3" w:fontKey="{A5641DDF-B826-40D1-84CF-E4AA44645ECD}"/>
  </w:font>
  <w:font w:name="方正小标宋简体">
    <w:panose1 w:val="03000509000000000000"/>
    <w:charset w:val="86"/>
    <w:family w:val="auto"/>
    <w:pitch w:val="default"/>
    <w:sig w:usb0="00000001" w:usb1="080E0000" w:usb2="00000000" w:usb3="00000000" w:csb0="00040000" w:csb1="00000000"/>
    <w:embedRegular r:id="rId4" w:fontKey="{EC7F72B2-BA46-4496-A036-E4811B152D47}"/>
  </w:font>
  <w:font w:name="方正仿宋_GBK">
    <w:panose1 w:val="03000509000000000000"/>
    <w:charset w:val="86"/>
    <w:family w:val="script"/>
    <w:pitch w:val="default"/>
    <w:sig w:usb0="00000001" w:usb1="080E0000" w:usb2="00000000" w:usb3="00000000" w:csb0="00040000" w:csb1="00000000"/>
    <w:embedRegular r:id="rId5" w:fontKey="{5D86ED0B-4413-4292-BFDA-E48F32471CD5}"/>
  </w:font>
  <w:font w:name="楷体_GB2312">
    <w:panose1 w:val="02010609030101010101"/>
    <w:charset w:val="86"/>
    <w:family w:val="modern"/>
    <w:pitch w:val="default"/>
    <w:sig w:usb0="00000001" w:usb1="080E0000" w:usb2="00000000" w:usb3="00000000" w:csb0="00040000" w:csb1="00000000"/>
    <w:embedRegular r:id="rId6" w:fontKey="{77E080E7-8872-4ECC-9260-7D1AE3D83A36}"/>
  </w:font>
  <w:font w:name="方正黑体_GBK">
    <w:panose1 w:val="03000509000000000000"/>
    <w:charset w:val="86"/>
    <w:family w:val="script"/>
    <w:pitch w:val="default"/>
    <w:sig w:usb0="00000001" w:usb1="080E0000" w:usb2="00000000" w:usb3="00000000" w:csb0="00040000" w:csb1="00000000"/>
    <w:embedRegular r:id="rId7" w:fontKey="{C14AA32E-8F23-415E-9304-BA458ECE99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759840"/>
    </w:sdtPr>
    <w:sdtContent>
      <w:p w14:paraId="06066027">
        <w:pPr>
          <w:pStyle w:val="10"/>
          <w:jc w:val="right"/>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759846"/>
    </w:sdtPr>
    <w:sdtEndPr>
      <w:rPr>
        <w:rFonts w:ascii="宋体" w:hAnsi="宋体" w:eastAsia="宋体"/>
        <w:sz w:val="28"/>
        <w:szCs w:val="28"/>
      </w:rPr>
    </w:sdtEndPr>
    <w:sdtContent>
      <w:p w14:paraId="560B8043">
        <w:pPr>
          <w:pStyle w:val="1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18 -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hNzYyYjgwOTk0YzFjOTgzMWRhNzY4NWUyMDI4NWEifQ=="/>
  </w:docVars>
  <w:rsids>
    <w:rsidRoot w:val="006E1960"/>
    <w:rsid w:val="000876AE"/>
    <w:rsid w:val="000C770A"/>
    <w:rsid w:val="003347C4"/>
    <w:rsid w:val="003A604E"/>
    <w:rsid w:val="005D56AB"/>
    <w:rsid w:val="006E1960"/>
    <w:rsid w:val="00733DAE"/>
    <w:rsid w:val="00972666"/>
    <w:rsid w:val="00A921BE"/>
    <w:rsid w:val="00C7046D"/>
    <w:rsid w:val="00C75678"/>
    <w:rsid w:val="00C815D8"/>
    <w:rsid w:val="00CC3A11"/>
    <w:rsid w:val="00EA7420"/>
    <w:rsid w:val="00F50AD6"/>
    <w:rsid w:val="00F52A8D"/>
    <w:rsid w:val="00F709F6"/>
    <w:rsid w:val="01026949"/>
    <w:rsid w:val="013B1551"/>
    <w:rsid w:val="02427F54"/>
    <w:rsid w:val="025260F3"/>
    <w:rsid w:val="03C2759E"/>
    <w:rsid w:val="04387522"/>
    <w:rsid w:val="04A227A1"/>
    <w:rsid w:val="04AE5430"/>
    <w:rsid w:val="04B14F1D"/>
    <w:rsid w:val="04C410F4"/>
    <w:rsid w:val="04E13BDF"/>
    <w:rsid w:val="0571591B"/>
    <w:rsid w:val="05976809"/>
    <w:rsid w:val="05D23C1C"/>
    <w:rsid w:val="062E1176"/>
    <w:rsid w:val="073626C5"/>
    <w:rsid w:val="075C5614"/>
    <w:rsid w:val="07D94EB6"/>
    <w:rsid w:val="07DC6A29"/>
    <w:rsid w:val="07F65A68"/>
    <w:rsid w:val="080E5BC2"/>
    <w:rsid w:val="08A2174C"/>
    <w:rsid w:val="08D33B11"/>
    <w:rsid w:val="08E12275"/>
    <w:rsid w:val="093B3E38"/>
    <w:rsid w:val="09C767ED"/>
    <w:rsid w:val="0A5E78F5"/>
    <w:rsid w:val="0AE545D7"/>
    <w:rsid w:val="0C601702"/>
    <w:rsid w:val="0CA67622"/>
    <w:rsid w:val="0CDF4D1D"/>
    <w:rsid w:val="0D5F761B"/>
    <w:rsid w:val="0D677EB8"/>
    <w:rsid w:val="0E0472C9"/>
    <w:rsid w:val="0E2B5D40"/>
    <w:rsid w:val="0E5232CD"/>
    <w:rsid w:val="0E560603"/>
    <w:rsid w:val="0F1E111D"/>
    <w:rsid w:val="0F563291"/>
    <w:rsid w:val="0F5C226A"/>
    <w:rsid w:val="0FE268D2"/>
    <w:rsid w:val="108300B5"/>
    <w:rsid w:val="10C5422A"/>
    <w:rsid w:val="10D329BE"/>
    <w:rsid w:val="10D75D0B"/>
    <w:rsid w:val="10D93795"/>
    <w:rsid w:val="11272801"/>
    <w:rsid w:val="11673533"/>
    <w:rsid w:val="12757B60"/>
    <w:rsid w:val="12773DC8"/>
    <w:rsid w:val="12955E7E"/>
    <w:rsid w:val="12A72CD1"/>
    <w:rsid w:val="132478A2"/>
    <w:rsid w:val="13393679"/>
    <w:rsid w:val="13A12DDD"/>
    <w:rsid w:val="145D4406"/>
    <w:rsid w:val="147F4525"/>
    <w:rsid w:val="14852D95"/>
    <w:rsid w:val="14B55EC5"/>
    <w:rsid w:val="14D5412E"/>
    <w:rsid w:val="154A7A02"/>
    <w:rsid w:val="15A5287C"/>
    <w:rsid w:val="15BF53DD"/>
    <w:rsid w:val="16443E43"/>
    <w:rsid w:val="16454DF3"/>
    <w:rsid w:val="165322D8"/>
    <w:rsid w:val="1687517E"/>
    <w:rsid w:val="168B5440"/>
    <w:rsid w:val="169E2814"/>
    <w:rsid w:val="16E82A20"/>
    <w:rsid w:val="178500C5"/>
    <w:rsid w:val="17A9207A"/>
    <w:rsid w:val="17AA5F28"/>
    <w:rsid w:val="17C34B6A"/>
    <w:rsid w:val="181A30AD"/>
    <w:rsid w:val="187622AE"/>
    <w:rsid w:val="18AB63FB"/>
    <w:rsid w:val="190A1374"/>
    <w:rsid w:val="19BB441C"/>
    <w:rsid w:val="19EC2827"/>
    <w:rsid w:val="1A494EBB"/>
    <w:rsid w:val="1A9609E5"/>
    <w:rsid w:val="1AF972E8"/>
    <w:rsid w:val="1B373F76"/>
    <w:rsid w:val="1B925650"/>
    <w:rsid w:val="1BE7774A"/>
    <w:rsid w:val="1C6E7E6B"/>
    <w:rsid w:val="1C863D74"/>
    <w:rsid w:val="1CC12590"/>
    <w:rsid w:val="1D5D57EA"/>
    <w:rsid w:val="1DB95116"/>
    <w:rsid w:val="1E3663E7"/>
    <w:rsid w:val="1E627576"/>
    <w:rsid w:val="1E9D2342"/>
    <w:rsid w:val="1F5E5F75"/>
    <w:rsid w:val="1FC664CD"/>
    <w:rsid w:val="1FF14949"/>
    <w:rsid w:val="200E2C82"/>
    <w:rsid w:val="2060367F"/>
    <w:rsid w:val="208512E0"/>
    <w:rsid w:val="20AF2801"/>
    <w:rsid w:val="21313216"/>
    <w:rsid w:val="214165FF"/>
    <w:rsid w:val="2197737F"/>
    <w:rsid w:val="21AA36F4"/>
    <w:rsid w:val="222F1482"/>
    <w:rsid w:val="22877591"/>
    <w:rsid w:val="22882EF9"/>
    <w:rsid w:val="229B128E"/>
    <w:rsid w:val="22C5234C"/>
    <w:rsid w:val="23C14D25"/>
    <w:rsid w:val="245F747A"/>
    <w:rsid w:val="24645763"/>
    <w:rsid w:val="24E0742D"/>
    <w:rsid w:val="256B30FF"/>
    <w:rsid w:val="256E67E6"/>
    <w:rsid w:val="25A338F3"/>
    <w:rsid w:val="25BF1398"/>
    <w:rsid w:val="25C24D84"/>
    <w:rsid w:val="264D464E"/>
    <w:rsid w:val="26DD1E76"/>
    <w:rsid w:val="274F1E8D"/>
    <w:rsid w:val="27C46B92"/>
    <w:rsid w:val="284A688A"/>
    <w:rsid w:val="2859377E"/>
    <w:rsid w:val="288307FB"/>
    <w:rsid w:val="28CA01D8"/>
    <w:rsid w:val="28FE60D3"/>
    <w:rsid w:val="291B4ED7"/>
    <w:rsid w:val="29A910B0"/>
    <w:rsid w:val="29AF6DCB"/>
    <w:rsid w:val="2A9442F1"/>
    <w:rsid w:val="2AB949A8"/>
    <w:rsid w:val="2B255B99"/>
    <w:rsid w:val="2B6F5066"/>
    <w:rsid w:val="2B756C60"/>
    <w:rsid w:val="2C4402A1"/>
    <w:rsid w:val="2D430559"/>
    <w:rsid w:val="2D6D3827"/>
    <w:rsid w:val="2D7B3C78"/>
    <w:rsid w:val="2DD41AF8"/>
    <w:rsid w:val="2E4C168F"/>
    <w:rsid w:val="2EB25BF6"/>
    <w:rsid w:val="2F713AA3"/>
    <w:rsid w:val="2F745341"/>
    <w:rsid w:val="2F8337D6"/>
    <w:rsid w:val="2FB11C59"/>
    <w:rsid w:val="2FF865E0"/>
    <w:rsid w:val="300541EB"/>
    <w:rsid w:val="302B62F5"/>
    <w:rsid w:val="302F1268"/>
    <w:rsid w:val="30AE281B"/>
    <w:rsid w:val="30EE4C7F"/>
    <w:rsid w:val="313B4368"/>
    <w:rsid w:val="314503BE"/>
    <w:rsid w:val="314A75F1"/>
    <w:rsid w:val="31D37A7D"/>
    <w:rsid w:val="32584AA6"/>
    <w:rsid w:val="327A3A86"/>
    <w:rsid w:val="33242BDA"/>
    <w:rsid w:val="33437504"/>
    <w:rsid w:val="337C6572"/>
    <w:rsid w:val="339715FE"/>
    <w:rsid w:val="33997124"/>
    <w:rsid w:val="33EF31E8"/>
    <w:rsid w:val="33F26834"/>
    <w:rsid w:val="34597F94"/>
    <w:rsid w:val="358E6A31"/>
    <w:rsid w:val="35A10512"/>
    <w:rsid w:val="36394BEF"/>
    <w:rsid w:val="366542C6"/>
    <w:rsid w:val="36AC716F"/>
    <w:rsid w:val="36D73260"/>
    <w:rsid w:val="36EF34FF"/>
    <w:rsid w:val="385775AE"/>
    <w:rsid w:val="39755F3E"/>
    <w:rsid w:val="39883A1B"/>
    <w:rsid w:val="39B051C8"/>
    <w:rsid w:val="39D569DC"/>
    <w:rsid w:val="3B456CB9"/>
    <w:rsid w:val="3B684331"/>
    <w:rsid w:val="3B6E70E8"/>
    <w:rsid w:val="3BE9676F"/>
    <w:rsid w:val="3BF41EAF"/>
    <w:rsid w:val="3C53563A"/>
    <w:rsid w:val="3C65673D"/>
    <w:rsid w:val="3C6C41D1"/>
    <w:rsid w:val="3CB13731"/>
    <w:rsid w:val="3CCA65A0"/>
    <w:rsid w:val="3CCD20F0"/>
    <w:rsid w:val="3CCF4048"/>
    <w:rsid w:val="3CD63197"/>
    <w:rsid w:val="3D29776B"/>
    <w:rsid w:val="3D3E16DE"/>
    <w:rsid w:val="3DAC214A"/>
    <w:rsid w:val="3E5062AF"/>
    <w:rsid w:val="3ED82BDB"/>
    <w:rsid w:val="3F3B5B2E"/>
    <w:rsid w:val="3F55678C"/>
    <w:rsid w:val="3FDB6AA1"/>
    <w:rsid w:val="3FEE07F8"/>
    <w:rsid w:val="40CA1BEA"/>
    <w:rsid w:val="4125649B"/>
    <w:rsid w:val="41DB2FFE"/>
    <w:rsid w:val="421B789E"/>
    <w:rsid w:val="42254279"/>
    <w:rsid w:val="425F59DD"/>
    <w:rsid w:val="42737BFC"/>
    <w:rsid w:val="42975177"/>
    <w:rsid w:val="42F06635"/>
    <w:rsid w:val="42F73E67"/>
    <w:rsid w:val="43252782"/>
    <w:rsid w:val="433E0A86"/>
    <w:rsid w:val="438F117D"/>
    <w:rsid w:val="440305EA"/>
    <w:rsid w:val="44C10289"/>
    <w:rsid w:val="44DE708D"/>
    <w:rsid w:val="44F84BAC"/>
    <w:rsid w:val="451F6EAE"/>
    <w:rsid w:val="45232CF2"/>
    <w:rsid w:val="454A4722"/>
    <w:rsid w:val="455B392B"/>
    <w:rsid w:val="459E681C"/>
    <w:rsid w:val="45AB2CE7"/>
    <w:rsid w:val="46324186"/>
    <w:rsid w:val="46357180"/>
    <w:rsid w:val="46CD50F0"/>
    <w:rsid w:val="475D50C5"/>
    <w:rsid w:val="47D04E1A"/>
    <w:rsid w:val="48482A6F"/>
    <w:rsid w:val="48AE4FC8"/>
    <w:rsid w:val="48F84495"/>
    <w:rsid w:val="49060960"/>
    <w:rsid w:val="492054AB"/>
    <w:rsid w:val="49227764"/>
    <w:rsid w:val="495A6EFE"/>
    <w:rsid w:val="499441BE"/>
    <w:rsid w:val="49A60395"/>
    <w:rsid w:val="49EA2030"/>
    <w:rsid w:val="49F25388"/>
    <w:rsid w:val="4A3851DE"/>
    <w:rsid w:val="4B1754F9"/>
    <w:rsid w:val="4B315A3D"/>
    <w:rsid w:val="4C1B2975"/>
    <w:rsid w:val="4C8147A2"/>
    <w:rsid w:val="4CAC181F"/>
    <w:rsid w:val="4D115B26"/>
    <w:rsid w:val="4D585B97"/>
    <w:rsid w:val="4D6C0FAE"/>
    <w:rsid w:val="4DD724F2"/>
    <w:rsid w:val="4DE54E2E"/>
    <w:rsid w:val="4DF41807"/>
    <w:rsid w:val="4DFA43BE"/>
    <w:rsid w:val="4EE94FAC"/>
    <w:rsid w:val="4F021BCA"/>
    <w:rsid w:val="4F4A21B0"/>
    <w:rsid w:val="4F547A5D"/>
    <w:rsid w:val="4F735055"/>
    <w:rsid w:val="500F5E36"/>
    <w:rsid w:val="50527F03"/>
    <w:rsid w:val="508D1967"/>
    <w:rsid w:val="50BE5FC4"/>
    <w:rsid w:val="50E61077"/>
    <w:rsid w:val="50ED2406"/>
    <w:rsid w:val="516158F3"/>
    <w:rsid w:val="51EE6435"/>
    <w:rsid w:val="520E5DD7"/>
    <w:rsid w:val="525C390A"/>
    <w:rsid w:val="526C6986"/>
    <w:rsid w:val="52A66D10"/>
    <w:rsid w:val="52B753C1"/>
    <w:rsid w:val="52EA6BFD"/>
    <w:rsid w:val="532A5B93"/>
    <w:rsid w:val="53852DC9"/>
    <w:rsid w:val="5397283B"/>
    <w:rsid w:val="53C27B7A"/>
    <w:rsid w:val="53DF11DE"/>
    <w:rsid w:val="543F11CA"/>
    <w:rsid w:val="546155E5"/>
    <w:rsid w:val="5488491F"/>
    <w:rsid w:val="551171D8"/>
    <w:rsid w:val="553357A3"/>
    <w:rsid w:val="553A71AB"/>
    <w:rsid w:val="55546983"/>
    <w:rsid w:val="55A0038E"/>
    <w:rsid w:val="562316F8"/>
    <w:rsid w:val="565338CD"/>
    <w:rsid w:val="56581F0E"/>
    <w:rsid w:val="56667CDF"/>
    <w:rsid w:val="567C6706"/>
    <w:rsid w:val="569021B1"/>
    <w:rsid w:val="56F00EA2"/>
    <w:rsid w:val="56FB3ACE"/>
    <w:rsid w:val="572B1EDA"/>
    <w:rsid w:val="574F35FA"/>
    <w:rsid w:val="57743881"/>
    <w:rsid w:val="5783624D"/>
    <w:rsid w:val="57BF181E"/>
    <w:rsid w:val="57D8657A"/>
    <w:rsid w:val="57E21159"/>
    <w:rsid w:val="58003366"/>
    <w:rsid w:val="588B14B5"/>
    <w:rsid w:val="58C92520"/>
    <w:rsid w:val="58E91DEB"/>
    <w:rsid w:val="58EC4F9A"/>
    <w:rsid w:val="58FD3E80"/>
    <w:rsid w:val="5921329A"/>
    <w:rsid w:val="59BA6CC4"/>
    <w:rsid w:val="59FC7CE0"/>
    <w:rsid w:val="5A74576F"/>
    <w:rsid w:val="5B3516F4"/>
    <w:rsid w:val="5C0E0AC2"/>
    <w:rsid w:val="5D7874FB"/>
    <w:rsid w:val="5D7C32AA"/>
    <w:rsid w:val="5DCC7A9A"/>
    <w:rsid w:val="5DEE664D"/>
    <w:rsid w:val="5DF9063C"/>
    <w:rsid w:val="5ED02DC4"/>
    <w:rsid w:val="5EF157B7"/>
    <w:rsid w:val="5EFD0600"/>
    <w:rsid w:val="5F214D64"/>
    <w:rsid w:val="5F304531"/>
    <w:rsid w:val="5F7A755A"/>
    <w:rsid w:val="5F8C5E0F"/>
    <w:rsid w:val="5FCD2910"/>
    <w:rsid w:val="5FFD1401"/>
    <w:rsid w:val="60522285"/>
    <w:rsid w:val="60DF5C82"/>
    <w:rsid w:val="613D4CE3"/>
    <w:rsid w:val="6145436B"/>
    <w:rsid w:val="614B11AE"/>
    <w:rsid w:val="62287742"/>
    <w:rsid w:val="628C7A3F"/>
    <w:rsid w:val="6370314E"/>
    <w:rsid w:val="63742E4A"/>
    <w:rsid w:val="638906B4"/>
    <w:rsid w:val="63906F86"/>
    <w:rsid w:val="63AD7295"/>
    <w:rsid w:val="63F71137"/>
    <w:rsid w:val="64166090"/>
    <w:rsid w:val="646802C9"/>
    <w:rsid w:val="64C25C2B"/>
    <w:rsid w:val="64D21BE7"/>
    <w:rsid w:val="64E42B60"/>
    <w:rsid w:val="653308D7"/>
    <w:rsid w:val="658B24C1"/>
    <w:rsid w:val="65F30067"/>
    <w:rsid w:val="65F7043E"/>
    <w:rsid w:val="663761A5"/>
    <w:rsid w:val="66430FEE"/>
    <w:rsid w:val="66587DA5"/>
    <w:rsid w:val="67356513"/>
    <w:rsid w:val="67643143"/>
    <w:rsid w:val="67876CB8"/>
    <w:rsid w:val="681104F2"/>
    <w:rsid w:val="68BE670A"/>
    <w:rsid w:val="69DD1B0B"/>
    <w:rsid w:val="69E63437"/>
    <w:rsid w:val="6A026ACA"/>
    <w:rsid w:val="6A8918CF"/>
    <w:rsid w:val="6A975EC1"/>
    <w:rsid w:val="6AA302AD"/>
    <w:rsid w:val="6B19056F"/>
    <w:rsid w:val="6B982E91"/>
    <w:rsid w:val="6BC73B27"/>
    <w:rsid w:val="6C2221E2"/>
    <w:rsid w:val="6C30791F"/>
    <w:rsid w:val="6C3311BD"/>
    <w:rsid w:val="6C3D028D"/>
    <w:rsid w:val="6C4B6506"/>
    <w:rsid w:val="6C705F6D"/>
    <w:rsid w:val="6CC462B9"/>
    <w:rsid w:val="6D0945D7"/>
    <w:rsid w:val="6E1B45FE"/>
    <w:rsid w:val="6F272FAB"/>
    <w:rsid w:val="6F2A2D4B"/>
    <w:rsid w:val="6F5435AD"/>
    <w:rsid w:val="6F73521B"/>
    <w:rsid w:val="6FD44A65"/>
    <w:rsid w:val="702C466D"/>
    <w:rsid w:val="70550690"/>
    <w:rsid w:val="70760DD6"/>
    <w:rsid w:val="718304F0"/>
    <w:rsid w:val="7218332F"/>
    <w:rsid w:val="721B4BCD"/>
    <w:rsid w:val="723074CC"/>
    <w:rsid w:val="724F76D8"/>
    <w:rsid w:val="725507EE"/>
    <w:rsid w:val="72C31B49"/>
    <w:rsid w:val="72FD2525"/>
    <w:rsid w:val="740F42BD"/>
    <w:rsid w:val="74145D78"/>
    <w:rsid w:val="741A03AB"/>
    <w:rsid w:val="741A342A"/>
    <w:rsid w:val="742A7349"/>
    <w:rsid w:val="744D3038"/>
    <w:rsid w:val="74580950"/>
    <w:rsid w:val="74A72F8C"/>
    <w:rsid w:val="74D50292"/>
    <w:rsid w:val="7530273D"/>
    <w:rsid w:val="755768CD"/>
    <w:rsid w:val="75926B54"/>
    <w:rsid w:val="75BB4714"/>
    <w:rsid w:val="76204137"/>
    <w:rsid w:val="768C7E47"/>
    <w:rsid w:val="7802369D"/>
    <w:rsid w:val="780E4775"/>
    <w:rsid w:val="79532E9E"/>
    <w:rsid w:val="79CB0C87"/>
    <w:rsid w:val="79DE0C4C"/>
    <w:rsid w:val="7A2D7B93"/>
    <w:rsid w:val="7A6D1D3E"/>
    <w:rsid w:val="7B0F1047"/>
    <w:rsid w:val="7BB51BEE"/>
    <w:rsid w:val="7D690EE2"/>
    <w:rsid w:val="7D741635"/>
    <w:rsid w:val="7DB859C6"/>
    <w:rsid w:val="7E316A2F"/>
    <w:rsid w:val="7E3C60AD"/>
    <w:rsid w:val="7E511ED1"/>
    <w:rsid w:val="7E7713DD"/>
    <w:rsid w:val="7E8D29AE"/>
    <w:rsid w:val="7F0F1615"/>
    <w:rsid w:val="7F4A08A0"/>
    <w:rsid w:val="7F6F6558"/>
    <w:rsid w:val="7FAA31D6"/>
    <w:rsid w:val="7FD665D7"/>
    <w:rsid w:val="7FE24F7C"/>
    <w:rsid w:val="7FFA1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outlineLvl w:val="0"/>
    </w:pPr>
    <w:rPr>
      <w:rFonts w:eastAsia="黑体"/>
      <w:bCs/>
      <w:kern w:val="44"/>
      <w:szCs w:val="4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Normal Indent"/>
    <w:basedOn w:val="1"/>
    <w:next w:val="1"/>
    <w:qFormat/>
    <w:uiPriority w:val="0"/>
    <w:pPr>
      <w:ind w:firstLine="420" w:firstLineChars="200"/>
    </w:pPr>
    <w:rPr>
      <w:rFonts w:eastAsia="仿宋"/>
      <w:sz w:val="32"/>
    </w:rPr>
  </w:style>
  <w:style w:type="paragraph" w:styleId="6">
    <w:name w:val="Body Text"/>
    <w:basedOn w:val="1"/>
    <w:next w:val="7"/>
    <w:unhideWhenUsed/>
    <w:qFormat/>
    <w:uiPriority w:val="0"/>
    <w:pPr>
      <w:widowControl/>
      <w:spacing w:before="100" w:beforeAutospacing="1" w:after="100" w:afterAutospacing="1"/>
      <w:jc w:val="left"/>
    </w:pPr>
    <w:rPr>
      <w:rFonts w:ascii="宋体" w:hAnsi="宋体"/>
      <w:sz w:val="24"/>
    </w:rPr>
  </w:style>
  <w:style w:type="paragraph" w:styleId="7">
    <w:name w:val="Body Text First Indent"/>
    <w:basedOn w:val="6"/>
    <w:next w:val="6"/>
    <w:qFormat/>
    <w:uiPriority w:val="0"/>
    <w:pPr>
      <w:ind w:firstLine="720"/>
    </w:pPr>
    <w:rPr>
      <w:rFonts w:ascii="Calibri" w:hAnsi="Calibri" w:cs="Times New Roman"/>
    </w:rPr>
  </w:style>
  <w:style w:type="paragraph" w:styleId="8">
    <w:name w:val="Date"/>
    <w:basedOn w:val="1"/>
    <w:next w:val="1"/>
    <w:link w:val="21"/>
    <w:qFormat/>
    <w:uiPriority w:val="0"/>
    <w:pPr>
      <w:ind w:left="100" w:leftChars="2500"/>
    </w:pPr>
  </w:style>
  <w:style w:type="paragraph" w:styleId="9">
    <w:name w:val="Balloon Text"/>
    <w:basedOn w:val="1"/>
    <w:link w:val="22"/>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paragraph" w:customStyle="1" w:styleId="16">
    <w:name w:val="正文1"/>
    <w:qFormat/>
    <w:uiPriority w:val="0"/>
    <w:pPr>
      <w:jc w:val="both"/>
    </w:pPr>
    <w:rPr>
      <w:rFonts w:ascii="Calibri" w:hAnsi="Calibri" w:eastAsia="宋体" w:cs="宋体"/>
      <w:kern w:val="2"/>
      <w:sz w:val="21"/>
      <w:szCs w:val="21"/>
      <w:lang w:val="en-US" w:eastAsia="zh-CN" w:bidi="ar-SA"/>
    </w:rPr>
  </w:style>
  <w:style w:type="paragraph" w:customStyle="1" w:styleId="17">
    <w:name w:val="Body Text First Indent1"/>
    <w:basedOn w:val="6"/>
    <w:next w:val="11"/>
    <w:qFormat/>
    <w:uiPriority w:val="99"/>
    <w:pPr>
      <w:ind w:firstLine="420" w:firstLineChars="100"/>
    </w:pPr>
    <w:rPr>
      <w:rFonts w:ascii="Calibri" w:hAnsi="Calibri" w:cs="Calibri"/>
      <w:szCs w:val="21"/>
    </w:rPr>
  </w:style>
  <w:style w:type="character" w:customStyle="1" w:styleId="18">
    <w:name w:val="NormalCharacter"/>
    <w:semiHidden/>
    <w:qFormat/>
    <w:uiPriority w:val="0"/>
  </w:style>
  <w:style w:type="paragraph" w:customStyle="1" w:styleId="19">
    <w:name w:val="BodyText1I2"/>
    <w:basedOn w:val="1"/>
    <w:qFormat/>
    <w:uiPriority w:val="0"/>
    <w:pPr>
      <w:spacing w:after="120"/>
      <w:ind w:left="200" w:leftChars="200" w:firstLine="200" w:firstLineChars="200"/>
      <w:jc w:val="left"/>
      <w:textAlignment w:val="baseline"/>
    </w:pPr>
    <w:rPr>
      <w:color w:val="000000"/>
      <w:kern w:val="0"/>
      <w:sz w:val="24"/>
      <w:lang w:eastAsia="en-US" w:bidi="en-US"/>
    </w:rPr>
  </w:style>
  <w:style w:type="character" w:customStyle="1" w:styleId="20">
    <w:name w:val="页脚 Char"/>
    <w:basedOn w:val="14"/>
    <w:link w:val="10"/>
    <w:qFormat/>
    <w:uiPriority w:val="99"/>
    <w:rPr>
      <w:rFonts w:asciiTheme="minorHAnsi" w:hAnsiTheme="minorHAnsi" w:eastAsiaTheme="minorEastAsia" w:cstheme="minorBidi"/>
      <w:kern w:val="2"/>
      <w:sz w:val="18"/>
      <w:szCs w:val="24"/>
    </w:rPr>
  </w:style>
  <w:style w:type="character" w:customStyle="1" w:styleId="21">
    <w:name w:val="日期 Char"/>
    <w:basedOn w:val="14"/>
    <w:link w:val="8"/>
    <w:qFormat/>
    <w:uiPriority w:val="0"/>
    <w:rPr>
      <w:rFonts w:asciiTheme="minorHAnsi" w:hAnsiTheme="minorHAnsi" w:eastAsiaTheme="minorEastAsia" w:cstheme="minorBidi"/>
      <w:kern w:val="2"/>
      <w:sz w:val="21"/>
      <w:szCs w:val="24"/>
    </w:rPr>
  </w:style>
  <w:style w:type="character" w:customStyle="1" w:styleId="22">
    <w:name w:val="批注框文本 Char"/>
    <w:basedOn w:val="14"/>
    <w:link w:val="9"/>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8635</Words>
  <Characters>8697</Characters>
  <Lines>64</Lines>
  <Paragraphs>18</Paragraphs>
  <TotalTime>48</TotalTime>
  <ScaleCrop>false</ScaleCrop>
  <LinksUpToDate>false</LinksUpToDate>
  <CharactersWithSpaces>8902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2022-06-17T08:22:00Z</dcterms:created>
  <dc:creator>LXL</dc:creator>
  <cp:lastModifiedBy>郑晓敏</cp:lastModifiedBy>
  <cp:lastPrinted>2022-06-22T00:52:00Z</cp:lastPrinted>
  <dcterms:modified xsi:type="dcterms:W3CDTF">2025-11-10T08:43:52Z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6B1852EFF78246DFA2B71EE724333C0C</vt:lpwstr>
  </property>
</Properties>
</file>