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55DB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center"/>
        <w:rPr>
          <w:rFonts w:ascii="微软雅黑" w:hAnsi="微软雅黑" w:eastAsia="微软雅黑" w:cs="微软雅黑"/>
          <w:i w:val="0"/>
          <w:iCs w:val="0"/>
          <w:caps w:val="0"/>
          <w:color w:val="auto"/>
          <w:spacing w:val="0"/>
          <w:sz w:val="39"/>
          <w:szCs w:val="39"/>
        </w:rPr>
      </w:pPr>
      <w:r>
        <w:rPr>
          <w:rFonts w:hint="eastAsia" w:ascii="微软雅黑" w:hAnsi="微软雅黑" w:eastAsia="微软雅黑" w:cs="微软雅黑"/>
          <w:i w:val="0"/>
          <w:iCs w:val="0"/>
          <w:caps w:val="0"/>
          <w:color w:val="auto"/>
          <w:spacing w:val="0"/>
          <w:sz w:val="39"/>
          <w:szCs w:val="39"/>
          <w:shd w:val="clear" w:fill="FFFFFF"/>
          <w:lang w:val="en-US" w:eastAsia="zh-CN"/>
        </w:rPr>
        <w:t>海安</w:t>
      </w:r>
      <w:bookmarkStart w:id="0" w:name="_GoBack"/>
      <w:bookmarkEnd w:id="0"/>
      <w:r>
        <w:rPr>
          <w:rFonts w:hint="eastAsia" w:ascii="微软雅黑" w:hAnsi="微软雅黑" w:eastAsia="微软雅黑" w:cs="微软雅黑"/>
          <w:i w:val="0"/>
          <w:iCs w:val="0"/>
          <w:caps w:val="0"/>
          <w:color w:val="auto"/>
          <w:spacing w:val="0"/>
          <w:sz w:val="39"/>
          <w:szCs w:val="39"/>
          <w:shd w:val="clear" w:fill="FFFFFF"/>
          <w:lang w:eastAsia="zh-CN"/>
        </w:rPr>
        <w:t>市</w:t>
      </w:r>
      <w:r>
        <w:rPr>
          <w:rFonts w:hint="eastAsia" w:ascii="微软雅黑" w:hAnsi="微软雅黑" w:eastAsia="微软雅黑" w:cs="微软雅黑"/>
          <w:i w:val="0"/>
          <w:iCs w:val="0"/>
          <w:caps w:val="0"/>
          <w:color w:val="auto"/>
          <w:spacing w:val="0"/>
          <w:sz w:val="39"/>
          <w:szCs w:val="39"/>
          <w:shd w:val="clear" w:fill="FFFFFF"/>
        </w:rPr>
        <w:t>卫生健康领域行政检查事项和依据</w:t>
      </w:r>
    </w:p>
    <w:tbl>
      <w:tblPr>
        <w:tblStyle w:val="4"/>
        <w:tblW w:w="14888"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770"/>
        <w:gridCol w:w="1470"/>
        <w:gridCol w:w="1365"/>
        <w:gridCol w:w="1185"/>
        <w:gridCol w:w="1513"/>
        <w:gridCol w:w="7442"/>
        <w:gridCol w:w="1143"/>
      </w:tblGrid>
      <w:tr w14:paraId="0B04B48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35" w:hRule="atLeast"/>
        </w:trPr>
        <w:tc>
          <w:tcPr>
            <w:tcW w:w="770" w:type="dxa"/>
            <w:vMerge w:val="restart"/>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3500A6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ascii="Calibri" w:hAnsi="Calibri" w:cs="Calibri"/>
                <w:color w:val="auto"/>
                <w:sz w:val="21"/>
                <w:szCs w:val="21"/>
              </w:rPr>
            </w:pPr>
            <w:r>
              <w:rPr>
                <w:rFonts w:ascii="黑体" w:hAnsi="宋体" w:eastAsia="黑体" w:cs="黑体"/>
                <w:i w:val="0"/>
                <w:iCs w:val="0"/>
                <w:caps w:val="0"/>
                <w:color w:val="auto"/>
                <w:spacing w:val="0"/>
                <w:sz w:val="24"/>
                <w:szCs w:val="24"/>
              </w:rPr>
              <w:t>序号</w:t>
            </w:r>
          </w:p>
        </w:tc>
        <w:tc>
          <w:tcPr>
            <w:tcW w:w="1470" w:type="dxa"/>
            <w:vMerge w:val="restart"/>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1864A0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color w:val="auto"/>
                <w:sz w:val="21"/>
                <w:szCs w:val="21"/>
              </w:rPr>
            </w:pPr>
            <w:r>
              <w:rPr>
                <w:rFonts w:hint="eastAsia" w:ascii="黑体" w:hAnsi="宋体" w:eastAsia="黑体" w:cs="黑体"/>
                <w:i w:val="0"/>
                <w:iCs w:val="0"/>
                <w:caps w:val="0"/>
                <w:color w:val="auto"/>
                <w:spacing w:val="0"/>
                <w:sz w:val="24"/>
                <w:szCs w:val="24"/>
              </w:rPr>
              <w:t>检查事项</w:t>
            </w:r>
          </w:p>
        </w:tc>
        <w:tc>
          <w:tcPr>
            <w:tcW w:w="1365" w:type="dxa"/>
            <w:vMerge w:val="restart"/>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676BC5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color w:val="auto"/>
                <w:sz w:val="21"/>
                <w:szCs w:val="21"/>
              </w:rPr>
            </w:pPr>
            <w:r>
              <w:rPr>
                <w:rFonts w:hint="eastAsia" w:ascii="黑体" w:hAnsi="宋体" w:eastAsia="黑体" w:cs="黑体"/>
                <w:i w:val="0"/>
                <w:iCs w:val="0"/>
                <w:caps w:val="0"/>
                <w:color w:val="auto"/>
                <w:spacing w:val="0"/>
                <w:sz w:val="24"/>
                <w:szCs w:val="24"/>
              </w:rPr>
              <w:t>检查主体</w:t>
            </w:r>
          </w:p>
        </w:tc>
        <w:tc>
          <w:tcPr>
            <w:tcW w:w="1185" w:type="dxa"/>
            <w:vMerge w:val="restart"/>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47B2CD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color w:val="auto"/>
                <w:sz w:val="21"/>
                <w:szCs w:val="21"/>
              </w:rPr>
            </w:pPr>
            <w:r>
              <w:rPr>
                <w:rFonts w:hint="eastAsia" w:ascii="黑体" w:hAnsi="宋体" w:eastAsia="黑体" w:cs="黑体"/>
                <w:i w:val="0"/>
                <w:iCs w:val="0"/>
                <w:caps w:val="0"/>
                <w:color w:val="auto"/>
                <w:spacing w:val="0"/>
                <w:sz w:val="24"/>
                <w:szCs w:val="24"/>
              </w:rPr>
              <w:t>检查机构</w:t>
            </w:r>
          </w:p>
        </w:tc>
        <w:tc>
          <w:tcPr>
            <w:tcW w:w="1513" w:type="dxa"/>
            <w:vMerge w:val="restart"/>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25FD24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color w:val="auto"/>
                <w:sz w:val="21"/>
                <w:szCs w:val="21"/>
              </w:rPr>
            </w:pPr>
            <w:r>
              <w:rPr>
                <w:rFonts w:hint="eastAsia" w:ascii="黑体" w:hAnsi="宋体" w:eastAsia="黑体" w:cs="黑体"/>
                <w:i w:val="0"/>
                <w:iCs w:val="0"/>
                <w:caps w:val="0"/>
                <w:color w:val="auto"/>
                <w:spacing w:val="0"/>
                <w:sz w:val="24"/>
                <w:szCs w:val="24"/>
              </w:rPr>
              <w:t>检查对象</w:t>
            </w:r>
          </w:p>
        </w:tc>
        <w:tc>
          <w:tcPr>
            <w:tcW w:w="7442" w:type="dxa"/>
            <w:vMerge w:val="restart"/>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7C903A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color w:val="auto"/>
                <w:sz w:val="21"/>
                <w:szCs w:val="21"/>
              </w:rPr>
            </w:pPr>
            <w:r>
              <w:rPr>
                <w:rFonts w:hint="eastAsia" w:ascii="黑体" w:hAnsi="宋体" w:eastAsia="黑体" w:cs="黑体"/>
                <w:i w:val="0"/>
                <w:iCs w:val="0"/>
                <w:caps w:val="0"/>
                <w:color w:val="auto"/>
                <w:spacing w:val="0"/>
                <w:sz w:val="24"/>
                <w:szCs w:val="24"/>
              </w:rPr>
              <w:t>检查依据</w:t>
            </w:r>
          </w:p>
        </w:tc>
        <w:tc>
          <w:tcPr>
            <w:tcW w:w="1143" w:type="dxa"/>
            <w:vMerge w:val="restart"/>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65CD5F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color w:val="auto"/>
                <w:sz w:val="21"/>
                <w:szCs w:val="21"/>
              </w:rPr>
            </w:pPr>
            <w:r>
              <w:rPr>
                <w:rFonts w:hint="eastAsia" w:ascii="黑体" w:hAnsi="宋体" w:eastAsia="黑体" w:cs="黑体"/>
                <w:i w:val="0"/>
                <w:iCs w:val="0"/>
                <w:caps w:val="0"/>
                <w:color w:val="auto"/>
                <w:spacing w:val="0"/>
                <w:sz w:val="24"/>
                <w:szCs w:val="24"/>
              </w:rPr>
              <w:t>检查方式</w:t>
            </w:r>
          </w:p>
        </w:tc>
      </w:tr>
      <w:tr w14:paraId="7277C63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16" w:hRule="atLeast"/>
        </w:trPr>
        <w:tc>
          <w:tcPr>
            <w:tcW w:w="770" w:type="dxa"/>
            <w:vMerge w:val="continue"/>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652879B1">
            <w:pPr>
              <w:rPr>
                <w:rFonts w:hint="eastAsia" w:ascii="微软雅黑" w:hAnsi="微软雅黑" w:eastAsia="微软雅黑" w:cs="微软雅黑"/>
                <w:i w:val="0"/>
                <w:iCs w:val="0"/>
                <w:caps w:val="0"/>
                <w:color w:val="auto"/>
                <w:spacing w:val="0"/>
                <w:sz w:val="24"/>
                <w:szCs w:val="24"/>
              </w:rPr>
            </w:pPr>
          </w:p>
        </w:tc>
        <w:tc>
          <w:tcPr>
            <w:tcW w:w="1470" w:type="dxa"/>
            <w:vMerge w:val="continue"/>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3F64B64E">
            <w:pPr>
              <w:rPr>
                <w:rFonts w:hint="eastAsia" w:ascii="微软雅黑" w:hAnsi="微软雅黑" w:eastAsia="微软雅黑" w:cs="微软雅黑"/>
                <w:i w:val="0"/>
                <w:iCs w:val="0"/>
                <w:caps w:val="0"/>
                <w:color w:val="auto"/>
                <w:spacing w:val="0"/>
                <w:sz w:val="24"/>
                <w:szCs w:val="24"/>
              </w:rPr>
            </w:pPr>
          </w:p>
        </w:tc>
        <w:tc>
          <w:tcPr>
            <w:tcW w:w="1365" w:type="dxa"/>
            <w:vMerge w:val="continue"/>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5E011480">
            <w:pPr>
              <w:rPr>
                <w:rFonts w:hint="eastAsia" w:ascii="微软雅黑" w:hAnsi="微软雅黑" w:eastAsia="微软雅黑" w:cs="微软雅黑"/>
                <w:i w:val="0"/>
                <w:iCs w:val="0"/>
                <w:caps w:val="0"/>
                <w:color w:val="auto"/>
                <w:spacing w:val="0"/>
                <w:sz w:val="24"/>
                <w:szCs w:val="24"/>
              </w:rPr>
            </w:pPr>
          </w:p>
        </w:tc>
        <w:tc>
          <w:tcPr>
            <w:tcW w:w="1185" w:type="dxa"/>
            <w:vMerge w:val="continue"/>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4B590555">
            <w:pPr>
              <w:rPr>
                <w:rFonts w:hint="eastAsia" w:ascii="微软雅黑" w:hAnsi="微软雅黑" w:eastAsia="微软雅黑" w:cs="微软雅黑"/>
                <w:i w:val="0"/>
                <w:iCs w:val="0"/>
                <w:caps w:val="0"/>
                <w:color w:val="auto"/>
                <w:spacing w:val="0"/>
                <w:sz w:val="24"/>
                <w:szCs w:val="24"/>
              </w:rPr>
            </w:pPr>
          </w:p>
        </w:tc>
        <w:tc>
          <w:tcPr>
            <w:tcW w:w="1513" w:type="dxa"/>
            <w:vMerge w:val="continue"/>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07839215">
            <w:pPr>
              <w:rPr>
                <w:rFonts w:hint="eastAsia" w:ascii="微软雅黑" w:hAnsi="微软雅黑" w:eastAsia="微软雅黑" w:cs="微软雅黑"/>
                <w:i w:val="0"/>
                <w:iCs w:val="0"/>
                <w:caps w:val="0"/>
                <w:color w:val="auto"/>
                <w:spacing w:val="0"/>
                <w:sz w:val="24"/>
                <w:szCs w:val="24"/>
              </w:rPr>
            </w:pPr>
          </w:p>
        </w:tc>
        <w:tc>
          <w:tcPr>
            <w:tcW w:w="7442" w:type="dxa"/>
            <w:vMerge w:val="continue"/>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46A31BFD">
            <w:pPr>
              <w:rPr>
                <w:rFonts w:hint="eastAsia" w:ascii="微软雅黑" w:hAnsi="微软雅黑" w:eastAsia="微软雅黑" w:cs="微软雅黑"/>
                <w:i w:val="0"/>
                <w:iCs w:val="0"/>
                <w:caps w:val="0"/>
                <w:color w:val="auto"/>
                <w:spacing w:val="0"/>
                <w:sz w:val="24"/>
                <w:szCs w:val="24"/>
              </w:rPr>
            </w:pPr>
          </w:p>
        </w:tc>
        <w:tc>
          <w:tcPr>
            <w:tcW w:w="1143" w:type="dxa"/>
            <w:vMerge w:val="continue"/>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16EA57F9">
            <w:pPr>
              <w:rPr>
                <w:rFonts w:hint="eastAsia" w:ascii="微软雅黑" w:hAnsi="微软雅黑" w:eastAsia="微软雅黑" w:cs="微软雅黑"/>
                <w:i w:val="0"/>
                <w:iCs w:val="0"/>
                <w:caps w:val="0"/>
                <w:color w:val="auto"/>
                <w:spacing w:val="0"/>
                <w:sz w:val="24"/>
                <w:szCs w:val="24"/>
              </w:rPr>
            </w:pPr>
          </w:p>
        </w:tc>
      </w:tr>
      <w:tr w14:paraId="07872BC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641"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258B71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1</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673887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对预防接种的行政检查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288123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14C901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711803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各级政府、各相关部门及其工作人员、相关医疗卫生机构及其工作人员</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123BCEC9">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rPr>
            </w:pPr>
            <w:r>
              <w:rPr>
                <w:rFonts w:hint="eastAsia" w:ascii="仿宋" w:hAnsi="仿宋" w:eastAsia="仿宋" w:cs="仿宋"/>
                <w:i w:val="0"/>
                <w:iCs w:val="0"/>
                <w:caps w:val="0"/>
                <w:color w:val="auto"/>
                <w:spacing w:val="0"/>
                <w:sz w:val="21"/>
                <w:szCs w:val="21"/>
                <w:shd w:val="clear" w:fill="FFFFFF"/>
              </w:rPr>
              <w:t>【法律】《中华人民共和国疫苗管理法》第八条　国务院药品监督管理部门负责全国疫苗监督管理工作。国务院卫生健康主管部门负责全国预防接种监督管理工作。国务院其他有关部门在各自职责范围内负责与疫苗有关的监督管理工作。</w:t>
            </w:r>
          </w:p>
          <w:p w14:paraId="12DCE18B">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省、自治区、直辖市人民政府药品监督管理部门负责本行政区域疫苗监督管理工作。设区的市级、县级人民政府承担药品监督管理职责的部门（以下称药品监督管理部门）负责本行政区域疫苗监督管理工作。县级以上地方人民政府卫生健康主管部门负责本行政区域预防接种监督管理工作。县级以上地方人民政府其他有关部门在各自职责范围内负责与疫苗有关的监督管理工作。</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39139E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2D0DE90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20" w:hRule="atLeast"/>
        </w:trPr>
        <w:tc>
          <w:tcPr>
            <w:tcW w:w="770" w:type="dxa"/>
            <w:vMerge w:val="restart"/>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790FAC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2</w:t>
            </w:r>
          </w:p>
        </w:tc>
        <w:tc>
          <w:tcPr>
            <w:tcW w:w="1470" w:type="dxa"/>
            <w:vMerge w:val="restart"/>
            <w:tcBorders>
              <w:top w:val="nil"/>
              <w:left w:val="nil"/>
              <w:bottom w:val="single" w:color="auto" w:sz="8" w:space="0"/>
              <w:right w:val="single" w:color="auto" w:sz="8" w:space="0"/>
            </w:tcBorders>
            <w:shd w:val="clear" w:color="auto" w:fill="FFFFFF"/>
            <w:tcMar>
              <w:left w:w="108" w:type="dxa"/>
              <w:right w:w="108" w:type="dxa"/>
            </w:tcMar>
            <w:vAlign w:val="center"/>
          </w:tcPr>
          <w:p w14:paraId="72264A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对护士执业的</w:t>
            </w:r>
            <w:r>
              <w:rPr>
                <w:rFonts w:hint="eastAsia" w:ascii="仿宋" w:hAnsi="仿宋" w:eastAsia="仿宋" w:cs="仿宋"/>
                <w:i w:val="0"/>
                <w:iCs w:val="0"/>
                <w:caps w:val="0"/>
                <w:color w:val="auto"/>
                <w:spacing w:val="0"/>
                <w:sz w:val="21"/>
                <w:szCs w:val="21"/>
              </w:rPr>
              <w:t>行政</w:t>
            </w:r>
            <w:r>
              <w:rPr>
                <w:rFonts w:hint="eastAsia" w:ascii="仿宋" w:hAnsi="仿宋" w:eastAsia="仿宋" w:cs="仿宋"/>
                <w:i w:val="0"/>
                <w:iCs w:val="0"/>
                <w:caps w:val="0"/>
                <w:color w:val="auto"/>
                <w:spacing w:val="0"/>
                <w:sz w:val="21"/>
                <w:szCs w:val="21"/>
                <w:shd w:val="clear" w:fill="FFFFFF"/>
              </w:rPr>
              <w:t>检查</w:t>
            </w:r>
          </w:p>
        </w:tc>
        <w:tc>
          <w:tcPr>
            <w:tcW w:w="1365" w:type="dxa"/>
            <w:vMerge w:val="restart"/>
            <w:tcBorders>
              <w:top w:val="nil"/>
              <w:left w:val="nil"/>
              <w:bottom w:val="single" w:color="auto" w:sz="8" w:space="0"/>
              <w:right w:val="single" w:color="auto" w:sz="8" w:space="0"/>
            </w:tcBorders>
            <w:shd w:val="clear" w:color="auto" w:fill="FFFFFF"/>
            <w:tcMar>
              <w:left w:w="108" w:type="dxa"/>
              <w:right w:w="108" w:type="dxa"/>
            </w:tcMar>
            <w:vAlign w:val="center"/>
          </w:tcPr>
          <w:p w14:paraId="7278D3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vMerge w:val="restart"/>
            <w:tcBorders>
              <w:top w:val="nil"/>
              <w:left w:val="nil"/>
              <w:bottom w:val="single" w:color="auto" w:sz="8" w:space="0"/>
              <w:right w:val="single" w:color="auto" w:sz="8" w:space="0"/>
            </w:tcBorders>
            <w:shd w:val="clear" w:color="auto" w:fill="FFFFFF"/>
            <w:tcMar>
              <w:left w:w="108" w:type="dxa"/>
              <w:right w:w="108" w:type="dxa"/>
            </w:tcMar>
            <w:vAlign w:val="center"/>
          </w:tcPr>
          <w:p w14:paraId="2B7BAD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vMerge w:val="restart"/>
            <w:tcBorders>
              <w:top w:val="nil"/>
              <w:left w:val="nil"/>
              <w:bottom w:val="single" w:color="auto" w:sz="8" w:space="0"/>
              <w:right w:val="single" w:color="auto" w:sz="8" w:space="0"/>
            </w:tcBorders>
            <w:shd w:val="clear" w:color="auto" w:fill="FFFFFF"/>
            <w:tcMar>
              <w:left w:w="108" w:type="dxa"/>
              <w:right w:w="108" w:type="dxa"/>
            </w:tcMar>
            <w:vAlign w:val="center"/>
          </w:tcPr>
          <w:p w14:paraId="1E9E98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医疗机构中的护士</w:t>
            </w:r>
          </w:p>
        </w:tc>
        <w:tc>
          <w:tcPr>
            <w:tcW w:w="7442" w:type="dxa"/>
            <w:vMerge w:val="restart"/>
            <w:tcBorders>
              <w:top w:val="nil"/>
              <w:left w:val="nil"/>
              <w:bottom w:val="single" w:color="auto" w:sz="8" w:space="0"/>
              <w:right w:val="single" w:color="auto" w:sz="8" w:space="0"/>
            </w:tcBorders>
            <w:shd w:val="clear" w:color="auto" w:fill="FFFFFF"/>
            <w:tcMar>
              <w:left w:w="108" w:type="dxa"/>
              <w:right w:w="108" w:type="dxa"/>
            </w:tcMar>
            <w:vAlign w:val="center"/>
          </w:tcPr>
          <w:p w14:paraId="525C5A0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【行政法规】《护士条例》第五条　国务院卫生主管部门负责全国的护士监督管理工作。县级以上地方人民政府卫生主管部门负责本行政区域的护士监督管理工作。</w:t>
            </w:r>
          </w:p>
        </w:tc>
        <w:tc>
          <w:tcPr>
            <w:tcW w:w="1143" w:type="dxa"/>
            <w:vMerge w:val="restart"/>
            <w:tcBorders>
              <w:top w:val="nil"/>
              <w:left w:val="nil"/>
              <w:bottom w:val="single" w:color="auto" w:sz="8" w:space="0"/>
              <w:right w:val="single" w:color="auto" w:sz="8" w:space="0"/>
            </w:tcBorders>
            <w:shd w:val="clear" w:color="auto" w:fill="FFFFFF"/>
            <w:tcMar>
              <w:left w:w="108" w:type="dxa"/>
              <w:right w:w="108" w:type="dxa"/>
            </w:tcMar>
            <w:vAlign w:val="center"/>
          </w:tcPr>
          <w:p w14:paraId="188F7A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32E9438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12" w:hRule="atLeast"/>
        </w:trPr>
        <w:tc>
          <w:tcPr>
            <w:tcW w:w="77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24E5A29F">
            <w:pPr>
              <w:rPr>
                <w:rFonts w:hint="eastAsia" w:ascii="仿宋" w:hAnsi="仿宋" w:eastAsia="仿宋" w:cs="仿宋"/>
                <w:i w:val="0"/>
                <w:iCs w:val="0"/>
                <w:caps w:val="0"/>
                <w:color w:val="auto"/>
                <w:spacing w:val="0"/>
                <w:sz w:val="24"/>
                <w:szCs w:val="24"/>
              </w:rPr>
            </w:pPr>
          </w:p>
        </w:tc>
        <w:tc>
          <w:tcPr>
            <w:tcW w:w="1470" w:type="dxa"/>
            <w:vMerge w:val="continue"/>
            <w:tcBorders>
              <w:top w:val="nil"/>
              <w:left w:val="nil"/>
              <w:bottom w:val="single" w:color="auto" w:sz="8" w:space="0"/>
              <w:right w:val="single" w:color="auto" w:sz="8" w:space="0"/>
            </w:tcBorders>
            <w:shd w:val="clear" w:color="auto" w:fill="FFFFFF"/>
            <w:tcMar>
              <w:left w:w="108" w:type="dxa"/>
              <w:right w:w="108" w:type="dxa"/>
            </w:tcMar>
            <w:vAlign w:val="center"/>
          </w:tcPr>
          <w:p w14:paraId="4F59C17D">
            <w:pPr>
              <w:rPr>
                <w:rFonts w:hint="eastAsia" w:ascii="仿宋" w:hAnsi="仿宋" w:eastAsia="仿宋" w:cs="仿宋"/>
                <w:i w:val="0"/>
                <w:iCs w:val="0"/>
                <w:caps w:val="0"/>
                <w:color w:val="auto"/>
                <w:spacing w:val="0"/>
                <w:sz w:val="24"/>
                <w:szCs w:val="24"/>
              </w:rPr>
            </w:pPr>
          </w:p>
        </w:tc>
        <w:tc>
          <w:tcPr>
            <w:tcW w:w="1365" w:type="dxa"/>
            <w:vMerge w:val="continue"/>
            <w:tcBorders>
              <w:top w:val="nil"/>
              <w:left w:val="nil"/>
              <w:bottom w:val="single" w:color="auto" w:sz="8" w:space="0"/>
              <w:right w:val="single" w:color="auto" w:sz="8" w:space="0"/>
            </w:tcBorders>
            <w:shd w:val="clear" w:color="auto" w:fill="FFFFFF"/>
            <w:tcMar>
              <w:left w:w="108" w:type="dxa"/>
              <w:right w:w="108" w:type="dxa"/>
            </w:tcMar>
            <w:vAlign w:val="center"/>
          </w:tcPr>
          <w:p w14:paraId="1BD01724">
            <w:pPr>
              <w:rPr>
                <w:rFonts w:hint="eastAsia" w:ascii="仿宋" w:hAnsi="仿宋" w:eastAsia="仿宋" w:cs="仿宋"/>
                <w:i w:val="0"/>
                <w:iCs w:val="0"/>
                <w:caps w:val="0"/>
                <w:color w:val="auto"/>
                <w:spacing w:val="0"/>
                <w:sz w:val="24"/>
                <w:szCs w:val="24"/>
              </w:rPr>
            </w:pPr>
          </w:p>
        </w:tc>
        <w:tc>
          <w:tcPr>
            <w:tcW w:w="1185" w:type="dxa"/>
            <w:vMerge w:val="continue"/>
            <w:tcBorders>
              <w:top w:val="nil"/>
              <w:left w:val="nil"/>
              <w:bottom w:val="single" w:color="auto" w:sz="8" w:space="0"/>
              <w:right w:val="single" w:color="auto" w:sz="8" w:space="0"/>
            </w:tcBorders>
            <w:shd w:val="clear" w:color="auto" w:fill="FFFFFF"/>
            <w:tcMar>
              <w:left w:w="108" w:type="dxa"/>
              <w:right w:w="108" w:type="dxa"/>
            </w:tcMar>
            <w:vAlign w:val="center"/>
          </w:tcPr>
          <w:p w14:paraId="50715F2F">
            <w:pPr>
              <w:rPr>
                <w:rFonts w:hint="eastAsia" w:ascii="仿宋" w:hAnsi="仿宋" w:eastAsia="仿宋" w:cs="仿宋"/>
                <w:i w:val="0"/>
                <w:iCs w:val="0"/>
                <w:caps w:val="0"/>
                <w:color w:val="auto"/>
                <w:spacing w:val="0"/>
                <w:sz w:val="24"/>
                <w:szCs w:val="24"/>
              </w:rPr>
            </w:pPr>
          </w:p>
        </w:tc>
        <w:tc>
          <w:tcPr>
            <w:tcW w:w="1513" w:type="dxa"/>
            <w:vMerge w:val="continue"/>
            <w:tcBorders>
              <w:top w:val="nil"/>
              <w:left w:val="nil"/>
              <w:bottom w:val="single" w:color="auto" w:sz="8" w:space="0"/>
              <w:right w:val="single" w:color="auto" w:sz="8" w:space="0"/>
            </w:tcBorders>
            <w:shd w:val="clear" w:color="auto" w:fill="FFFFFF"/>
            <w:tcMar>
              <w:left w:w="108" w:type="dxa"/>
              <w:right w:w="108" w:type="dxa"/>
            </w:tcMar>
            <w:vAlign w:val="center"/>
          </w:tcPr>
          <w:p w14:paraId="1D7E9482">
            <w:pPr>
              <w:rPr>
                <w:rFonts w:hint="eastAsia" w:ascii="仿宋" w:hAnsi="仿宋" w:eastAsia="仿宋" w:cs="仿宋"/>
                <w:i w:val="0"/>
                <w:iCs w:val="0"/>
                <w:caps w:val="0"/>
                <w:color w:val="auto"/>
                <w:spacing w:val="0"/>
                <w:sz w:val="24"/>
                <w:szCs w:val="24"/>
              </w:rPr>
            </w:pPr>
          </w:p>
        </w:tc>
        <w:tc>
          <w:tcPr>
            <w:tcW w:w="7442" w:type="dxa"/>
            <w:vMerge w:val="continue"/>
            <w:tcBorders>
              <w:top w:val="nil"/>
              <w:left w:val="nil"/>
              <w:bottom w:val="single" w:color="auto" w:sz="8" w:space="0"/>
              <w:right w:val="single" w:color="auto" w:sz="8" w:space="0"/>
            </w:tcBorders>
            <w:shd w:val="clear" w:color="auto" w:fill="FFFFFF"/>
            <w:tcMar>
              <w:left w:w="108" w:type="dxa"/>
              <w:right w:w="108" w:type="dxa"/>
            </w:tcMar>
            <w:vAlign w:val="center"/>
          </w:tcPr>
          <w:p w14:paraId="73CDC9E4">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auto"/>
                <w:spacing w:val="0"/>
                <w:sz w:val="24"/>
                <w:szCs w:val="24"/>
              </w:rPr>
            </w:pPr>
          </w:p>
        </w:tc>
        <w:tc>
          <w:tcPr>
            <w:tcW w:w="1143" w:type="dxa"/>
            <w:vMerge w:val="continue"/>
            <w:tcBorders>
              <w:top w:val="nil"/>
              <w:left w:val="nil"/>
              <w:bottom w:val="single" w:color="auto" w:sz="8" w:space="0"/>
              <w:right w:val="single" w:color="auto" w:sz="8" w:space="0"/>
            </w:tcBorders>
            <w:shd w:val="clear" w:color="auto" w:fill="FFFFFF"/>
            <w:tcMar>
              <w:left w:w="108" w:type="dxa"/>
              <w:right w:w="108" w:type="dxa"/>
            </w:tcMar>
            <w:vAlign w:val="center"/>
          </w:tcPr>
          <w:p w14:paraId="62671E58">
            <w:pPr>
              <w:rPr>
                <w:rFonts w:hint="eastAsia" w:ascii="仿宋" w:hAnsi="仿宋" w:eastAsia="仿宋" w:cs="仿宋"/>
                <w:i w:val="0"/>
                <w:iCs w:val="0"/>
                <w:caps w:val="0"/>
                <w:color w:val="auto"/>
                <w:spacing w:val="0"/>
                <w:sz w:val="24"/>
                <w:szCs w:val="24"/>
              </w:rPr>
            </w:pPr>
          </w:p>
        </w:tc>
      </w:tr>
      <w:tr w14:paraId="329C20C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020" w:hRule="atLeast"/>
        </w:trPr>
        <w:tc>
          <w:tcPr>
            <w:tcW w:w="770" w:type="dxa"/>
            <w:vMerge w:val="restart"/>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148066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3</w:t>
            </w:r>
          </w:p>
        </w:tc>
        <w:tc>
          <w:tcPr>
            <w:tcW w:w="1470" w:type="dxa"/>
            <w:vMerge w:val="restart"/>
            <w:tcBorders>
              <w:top w:val="nil"/>
              <w:left w:val="nil"/>
              <w:bottom w:val="single" w:color="auto" w:sz="8" w:space="0"/>
              <w:right w:val="single" w:color="auto" w:sz="8" w:space="0"/>
            </w:tcBorders>
            <w:shd w:val="clear" w:color="auto" w:fill="FFFFFF"/>
            <w:tcMar>
              <w:left w:w="108" w:type="dxa"/>
              <w:right w:w="108" w:type="dxa"/>
            </w:tcMar>
            <w:vAlign w:val="center"/>
          </w:tcPr>
          <w:p w14:paraId="259E88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对医师执业的</w:t>
            </w:r>
            <w:r>
              <w:rPr>
                <w:rFonts w:hint="eastAsia" w:ascii="仿宋" w:hAnsi="仿宋" w:eastAsia="仿宋" w:cs="仿宋"/>
                <w:i w:val="0"/>
                <w:iCs w:val="0"/>
                <w:caps w:val="0"/>
                <w:color w:val="auto"/>
                <w:spacing w:val="0"/>
                <w:sz w:val="21"/>
                <w:szCs w:val="21"/>
              </w:rPr>
              <w:t>行政</w:t>
            </w:r>
            <w:r>
              <w:rPr>
                <w:rFonts w:hint="eastAsia" w:ascii="仿宋" w:hAnsi="仿宋" w:eastAsia="仿宋" w:cs="仿宋"/>
                <w:i w:val="0"/>
                <w:iCs w:val="0"/>
                <w:caps w:val="0"/>
                <w:color w:val="auto"/>
                <w:spacing w:val="0"/>
                <w:sz w:val="21"/>
                <w:szCs w:val="21"/>
                <w:shd w:val="clear" w:fill="FFFFFF"/>
              </w:rPr>
              <w:t>检查</w:t>
            </w:r>
          </w:p>
        </w:tc>
        <w:tc>
          <w:tcPr>
            <w:tcW w:w="1365" w:type="dxa"/>
            <w:vMerge w:val="restart"/>
            <w:tcBorders>
              <w:top w:val="nil"/>
              <w:left w:val="nil"/>
              <w:bottom w:val="single" w:color="auto" w:sz="8" w:space="0"/>
              <w:right w:val="single" w:color="auto" w:sz="8" w:space="0"/>
            </w:tcBorders>
            <w:shd w:val="clear" w:color="auto" w:fill="FFFFFF"/>
            <w:tcMar>
              <w:left w:w="108" w:type="dxa"/>
              <w:right w:w="108" w:type="dxa"/>
            </w:tcMar>
            <w:vAlign w:val="center"/>
          </w:tcPr>
          <w:p w14:paraId="4F0A60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vMerge w:val="restart"/>
            <w:tcBorders>
              <w:top w:val="nil"/>
              <w:left w:val="nil"/>
              <w:bottom w:val="single" w:color="auto" w:sz="8" w:space="0"/>
              <w:right w:val="single" w:color="auto" w:sz="8" w:space="0"/>
            </w:tcBorders>
            <w:shd w:val="clear" w:color="auto" w:fill="FFFFFF"/>
            <w:tcMar>
              <w:left w:w="108" w:type="dxa"/>
              <w:right w:w="108" w:type="dxa"/>
            </w:tcMar>
            <w:vAlign w:val="center"/>
          </w:tcPr>
          <w:p w14:paraId="5A11DB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vMerge w:val="restart"/>
            <w:tcBorders>
              <w:top w:val="nil"/>
              <w:left w:val="nil"/>
              <w:bottom w:val="single" w:color="auto" w:sz="8" w:space="0"/>
              <w:right w:val="single" w:color="auto" w:sz="8" w:space="0"/>
            </w:tcBorders>
            <w:shd w:val="clear" w:color="auto" w:fill="FFFFFF"/>
            <w:tcMar>
              <w:left w:w="108" w:type="dxa"/>
              <w:right w:w="108" w:type="dxa"/>
            </w:tcMar>
            <w:vAlign w:val="center"/>
          </w:tcPr>
          <w:p w14:paraId="240426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医疗机构中的医师</w:t>
            </w:r>
          </w:p>
        </w:tc>
        <w:tc>
          <w:tcPr>
            <w:tcW w:w="7442" w:type="dxa"/>
            <w:vMerge w:val="restart"/>
            <w:tcBorders>
              <w:top w:val="nil"/>
              <w:left w:val="nil"/>
              <w:bottom w:val="single" w:color="auto" w:sz="8" w:space="0"/>
              <w:right w:val="single" w:color="auto" w:sz="8" w:space="0"/>
            </w:tcBorders>
            <w:shd w:val="clear" w:color="auto" w:fill="FFFFFF"/>
            <w:tcMar>
              <w:left w:w="108" w:type="dxa"/>
              <w:right w:w="108" w:type="dxa"/>
            </w:tcMar>
            <w:vAlign w:val="center"/>
          </w:tcPr>
          <w:p w14:paraId="039C05D9">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【法律】《中华人民共和国医师法》第四条　国务院卫生健康主管部门负责全国的医师管理工作。国务院教育、人力资源社会保障、中医药等有关部门在各自职责范围内负责有关的医师管理工作。</w:t>
            </w:r>
          </w:p>
          <w:p w14:paraId="32A26AED">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80"/>
              <w:jc w:val="both"/>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1"/>
                <w:szCs w:val="21"/>
                <w:shd w:val="clear" w:fill="FFFFFF"/>
              </w:rPr>
              <w:t>县级以上地方人民政府卫生健康主管部门负责本行政区域内的医师管理工作。县级以上地方人民政府教育、人力资源社会保障、中医药等有关部门在各自职责范围内负责有关的医师管理工作。</w:t>
            </w:r>
          </w:p>
        </w:tc>
        <w:tc>
          <w:tcPr>
            <w:tcW w:w="1143" w:type="dxa"/>
            <w:vMerge w:val="restart"/>
            <w:tcBorders>
              <w:top w:val="nil"/>
              <w:left w:val="nil"/>
              <w:bottom w:val="single" w:color="auto" w:sz="8" w:space="0"/>
              <w:right w:val="single" w:color="auto" w:sz="8" w:space="0"/>
            </w:tcBorders>
            <w:shd w:val="clear" w:color="auto" w:fill="FFFFFF"/>
            <w:tcMar>
              <w:left w:w="108" w:type="dxa"/>
              <w:right w:w="108" w:type="dxa"/>
            </w:tcMar>
            <w:vAlign w:val="center"/>
          </w:tcPr>
          <w:p w14:paraId="51412A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5DB8DBE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0" w:hRule="atLeast"/>
        </w:trPr>
        <w:tc>
          <w:tcPr>
            <w:tcW w:w="77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52CF6F48">
            <w:pPr>
              <w:rPr>
                <w:rFonts w:hint="eastAsia" w:ascii="仿宋" w:hAnsi="仿宋" w:eastAsia="仿宋" w:cs="仿宋"/>
                <w:i w:val="0"/>
                <w:iCs w:val="0"/>
                <w:caps w:val="0"/>
                <w:color w:val="auto"/>
                <w:spacing w:val="0"/>
                <w:sz w:val="24"/>
                <w:szCs w:val="24"/>
              </w:rPr>
            </w:pPr>
          </w:p>
        </w:tc>
        <w:tc>
          <w:tcPr>
            <w:tcW w:w="1470" w:type="dxa"/>
            <w:vMerge w:val="continue"/>
            <w:tcBorders>
              <w:top w:val="nil"/>
              <w:left w:val="nil"/>
              <w:bottom w:val="single" w:color="auto" w:sz="8" w:space="0"/>
              <w:right w:val="single" w:color="auto" w:sz="8" w:space="0"/>
            </w:tcBorders>
            <w:shd w:val="clear" w:color="auto" w:fill="FFFFFF"/>
            <w:tcMar>
              <w:left w:w="108" w:type="dxa"/>
              <w:right w:w="108" w:type="dxa"/>
            </w:tcMar>
            <w:vAlign w:val="center"/>
          </w:tcPr>
          <w:p w14:paraId="55CAEF28">
            <w:pPr>
              <w:rPr>
                <w:rFonts w:hint="eastAsia" w:ascii="仿宋" w:hAnsi="仿宋" w:eastAsia="仿宋" w:cs="仿宋"/>
                <w:i w:val="0"/>
                <w:iCs w:val="0"/>
                <w:caps w:val="0"/>
                <w:color w:val="auto"/>
                <w:spacing w:val="0"/>
                <w:sz w:val="24"/>
                <w:szCs w:val="24"/>
              </w:rPr>
            </w:pPr>
          </w:p>
        </w:tc>
        <w:tc>
          <w:tcPr>
            <w:tcW w:w="1365" w:type="dxa"/>
            <w:vMerge w:val="continue"/>
            <w:tcBorders>
              <w:top w:val="nil"/>
              <w:left w:val="nil"/>
              <w:bottom w:val="single" w:color="auto" w:sz="8" w:space="0"/>
              <w:right w:val="single" w:color="auto" w:sz="8" w:space="0"/>
            </w:tcBorders>
            <w:shd w:val="clear" w:color="auto" w:fill="FFFFFF"/>
            <w:tcMar>
              <w:left w:w="108" w:type="dxa"/>
              <w:right w:w="108" w:type="dxa"/>
            </w:tcMar>
            <w:vAlign w:val="center"/>
          </w:tcPr>
          <w:p w14:paraId="30105AA6">
            <w:pPr>
              <w:rPr>
                <w:rFonts w:hint="eastAsia" w:ascii="仿宋" w:hAnsi="仿宋" w:eastAsia="仿宋" w:cs="仿宋"/>
                <w:i w:val="0"/>
                <w:iCs w:val="0"/>
                <w:caps w:val="0"/>
                <w:color w:val="auto"/>
                <w:spacing w:val="0"/>
                <w:sz w:val="24"/>
                <w:szCs w:val="24"/>
              </w:rPr>
            </w:pPr>
          </w:p>
        </w:tc>
        <w:tc>
          <w:tcPr>
            <w:tcW w:w="1185" w:type="dxa"/>
            <w:vMerge w:val="continue"/>
            <w:tcBorders>
              <w:top w:val="nil"/>
              <w:left w:val="nil"/>
              <w:bottom w:val="single" w:color="auto" w:sz="8" w:space="0"/>
              <w:right w:val="single" w:color="auto" w:sz="8" w:space="0"/>
            </w:tcBorders>
            <w:shd w:val="clear" w:color="auto" w:fill="FFFFFF"/>
            <w:tcMar>
              <w:left w:w="108" w:type="dxa"/>
              <w:right w:w="108" w:type="dxa"/>
            </w:tcMar>
            <w:vAlign w:val="center"/>
          </w:tcPr>
          <w:p w14:paraId="62543F2D">
            <w:pPr>
              <w:rPr>
                <w:rFonts w:hint="eastAsia" w:ascii="仿宋" w:hAnsi="仿宋" w:eastAsia="仿宋" w:cs="仿宋"/>
                <w:i w:val="0"/>
                <w:iCs w:val="0"/>
                <w:caps w:val="0"/>
                <w:color w:val="auto"/>
                <w:spacing w:val="0"/>
                <w:sz w:val="24"/>
                <w:szCs w:val="24"/>
              </w:rPr>
            </w:pPr>
          </w:p>
        </w:tc>
        <w:tc>
          <w:tcPr>
            <w:tcW w:w="1513" w:type="dxa"/>
            <w:vMerge w:val="continue"/>
            <w:tcBorders>
              <w:top w:val="nil"/>
              <w:left w:val="nil"/>
              <w:bottom w:val="single" w:color="auto" w:sz="8" w:space="0"/>
              <w:right w:val="single" w:color="auto" w:sz="8" w:space="0"/>
            </w:tcBorders>
            <w:shd w:val="clear" w:color="auto" w:fill="FFFFFF"/>
            <w:tcMar>
              <w:left w:w="108" w:type="dxa"/>
              <w:right w:w="108" w:type="dxa"/>
            </w:tcMar>
            <w:vAlign w:val="center"/>
          </w:tcPr>
          <w:p w14:paraId="6D206FD0">
            <w:pPr>
              <w:rPr>
                <w:rFonts w:hint="eastAsia" w:ascii="仿宋" w:hAnsi="仿宋" w:eastAsia="仿宋" w:cs="仿宋"/>
                <w:i w:val="0"/>
                <w:iCs w:val="0"/>
                <w:caps w:val="0"/>
                <w:color w:val="auto"/>
                <w:spacing w:val="0"/>
                <w:sz w:val="24"/>
                <w:szCs w:val="24"/>
              </w:rPr>
            </w:pPr>
          </w:p>
        </w:tc>
        <w:tc>
          <w:tcPr>
            <w:tcW w:w="7442" w:type="dxa"/>
            <w:vMerge w:val="continue"/>
            <w:tcBorders>
              <w:top w:val="nil"/>
              <w:left w:val="nil"/>
              <w:bottom w:val="single" w:color="auto" w:sz="8" w:space="0"/>
              <w:right w:val="single" w:color="auto" w:sz="8" w:space="0"/>
            </w:tcBorders>
            <w:shd w:val="clear" w:color="auto" w:fill="FFFFFF"/>
            <w:tcMar>
              <w:left w:w="108" w:type="dxa"/>
              <w:right w:w="108" w:type="dxa"/>
            </w:tcMar>
            <w:vAlign w:val="center"/>
          </w:tcPr>
          <w:p w14:paraId="7618BA9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auto"/>
                <w:spacing w:val="0"/>
                <w:sz w:val="24"/>
                <w:szCs w:val="24"/>
              </w:rPr>
            </w:pPr>
          </w:p>
        </w:tc>
        <w:tc>
          <w:tcPr>
            <w:tcW w:w="1143" w:type="dxa"/>
            <w:vMerge w:val="continue"/>
            <w:tcBorders>
              <w:top w:val="nil"/>
              <w:left w:val="nil"/>
              <w:bottom w:val="single" w:color="auto" w:sz="8" w:space="0"/>
              <w:right w:val="single" w:color="auto" w:sz="8" w:space="0"/>
            </w:tcBorders>
            <w:shd w:val="clear" w:color="auto" w:fill="FFFFFF"/>
            <w:tcMar>
              <w:left w:w="108" w:type="dxa"/>
              <w:right w:w="108" w:type="dxa"/>
            </w:tcMar>
            <w:vAlign w:val="center"/>
          </w:tcPr>
          <w:p w14:paraId="4899020F">
            <w:pPr>
              <w:rPr>
                <w:rFonts w:hint="eastAsia" w:ascii="仿宋" w:hAnsi="仿宋" w:eastAsia="仿宋" w:cs="仿宋"/>
                <w:i w:val="0"/>
                <w:iCs w:val="0"/>
                <w:caps w:val="0"/>
                <w:color w:val="auto"/>
                <w:spacing w:val="0"/>
                <w:sz w:val="24"/>
                <w:szCs w:val="24"/>
              </w:rPr>
            </w:pPr>
          </w:p>
        </w:tc>
      </w:tr>
      <w:tr w14:paraId="579C2A5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116" w:hRule="atLeast"/>
        </w:trPr>
        <w:tc>
          <w:tcPr>
            <w:tcW w:w="770" w:type="dxa"/>
            <w:vMerge w:val="restart"/>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7FC296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4</w:t>
            </w:r>
          </w:p>
        </w:tc>
        <w:tc>
          <w:tcPr>
            <w:tcW w:w="1470" w:type="dxa"/>
            <w:vMerge w:val="restart"/>
            <w:tcBorders>
              <w:top w:val="nil"/>
              <w:left w:val="nil"/>
              <w:bottom w:val="single" w:color="auto" w:sz="8" w:space="0"/>
              <w:right w:val="single" w:color="auto" w:sz="8" w:space="0"/>
            </w:tcBorders>
            <w:shd w:val="clear" w:color="auto" w:fill="FFFFFF"/>
            <w:tcMar>
              <w:left w:w="108" w:type="dxa"/>
              <w:right w:w="108" w:type="dxa"/>
            </w:tcMar>
            <w:vAlign w:val="center"/>
          </w:tcPr>
          <w:p w14:paraId="407BC9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对医疗机构执业的</w:t>
            </w:r>
            <w:r>
              <w:rPr>
                <w:rFonts w:hint="eastAsia" w:ascii="仿宋" w:hAnsi="仿宋" w:eastAsia="仿宋" w:cs="仿宋"/>
                <w:i w:val="0"/>
                <w:iCs w:val="0"/>
                <w:caps w:val="0"/>
                <w:color w:val="auto"/>
                <w:spacing w:val="0"/>
                <w:sz w:val="21"/>
                <w:szCs w:val="21"/>
              </w:rPr>
              <w:t>行政</w:t>
            </w:r>
            <w:r>
              <w:rPr>
                <w:rFonts w:hint="eastAsia" w:ascii="仿宋" w:hAnsi="仿宋" w:eastAsia="仿宋" w:cs="仿宋"/>
                <w:i w:val="0"/>
                <w:iCs w:val="0"/>
                <w:caps w:val="0"/>
                <w:color w:val="auto"/>
                <w:spacing w:val="0"/>
                <w:sz w:val="21"/>
                <w:szCs w:val="21"/>
                <w:shd w:val="clear" w:fill="FFFFFF"/>
              </w:rPr>
              <w:t>检查</w:t>
            </w:r>
          </w:p>
        </w:tc>
        <w:tc>
          <w:tcPr>
            <w:tcW w:w="1365" w:type="dxa"/>
            <w:vMerge w:val="restart"/>
            <w:tcBorders>
              <w:top w:val="nil"/>
              <w:left w:val="nil"/>
              <w:bottom w:val="single" w:color="auto" w:sz="8" w:space="0"/>
              <w:right w:val="single" w:color="auto" w:sz="8" w:space="0"/>
            </w:tcBorders>
            <w:shd w:val="clear" w:color="auto" w:fill="FFFFFF"/>
            <w:tcMar>
              <w:left w:w="108" w:type="dxa"/>
              <w:right w:w="108" w:type="dxa"/>
            </w:tcMar>
            <w:vAlign w:val="center"/>
          </w:tcPr>
          <w:p w14:paraId="5EC676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vMerge w:val="restart"/>
            <w:tcBorders>
              <w:top w:val="nil"/>
              <w:left w:val="nil"/>
              <w:bottom w:val="single" w:color="auto" w:sz="8" w:space="0"/>
              <w:right w:val="single" w:color="auto" w:sz="8" w:space="0"/>
            </w:tcBorders>
            <w:shd w:val="clear" w:color="auto" w:fill="FFFFFF"/>
            <w:tcMar>
              <w:left w:w="108" w:type="dxa"/>
              <w:right w:w="108" w:type="dxa"/>
            </w:tcMar>
            <w:vAlign w:val="center"/>
          </w:tcPr>
          <w:p w14:paraId="270908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vMerge w:val="restart"/>
            <w:tcBorders>
              <w:top w:val="nil"/>
              <w:left w:val="nil"/>
              <w:bottom w:val="single" w:color="auto" w:sz="8" w:space="0"/>
              <w:right w:val="single" w:color="auto" w:sz="8" w:space="0"/>
            </w:tcBorders>
            <w:shd w:val="clear" w:color="auto" w:fill="FFFFFF"/>
            <w:tcMar>
              <w:left w:w="108" w:type="dxa"/>
              <w:right w:w="108" w:type="dxa"/>
            </w:tcMar>
            <w:vAlign w:val="center"/>
          </w:tcPr>
          <w:p w14:paraId="34B568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医疗机构</w:t>
            </w:r>
          </w:p>
        </w:tc>
        <w:tc>
          <w:tcPr>
            <w:tcW w:w="7442" w:type="dxa"/>
            <w:vMerge w:val="restart"/>
            <w:tcBorders>
              <w:top w:val="nil"/>
              <w:left w:val="nil"/>
              <w:bottom w:val="single" w:color="auto" w:sz="8" w:space="0"/>
              <w:right w:val="single" w:color="auto" w:sz="8" w:space="0"/>
            </w:tcBorders>
            <w:shd w:val="clear" w:color="auto" w:fill="FFFFFF"/>
            <w:tcMar>
              <w:left w:w="108" w:type="dxa"/>
              <w:right w:w="108" w:type="dxa"/>
            </w:tcMar>
            <w:vAlign w:val="center"/>
          </w:tcPr>
          <w:p w14:paraId="20923C2C">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【行政法规】《医疗机构管理条例》第五条　国务院卫生行政部门负责全国医疗机构的监督管理工作。</w:t>
            </w:r>
          </w:p>
          <w:p w14:paraId="491044E9">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2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县级以上地方人民政府卫生行政部门负责本行政区域内医疗机构的监督管理工作。</w:t>
            </w:r>
          </w:p>
          <w:p w14:paraId="47D3D47D">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第三十九条　县级以上人民政府卫生行政部门行使下列监督管理职权：</w:t>
            </w:r>
          </w:p>
          <w:p w14:paraId="1944F139">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（一）负责医疗机构的设置审批、执业登记、备案和校验；</w:t>
            </w:r>
          </w:p>
          <w:p w14:paraId="71E30B65">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（二）对医疗机构的执业活动进行检查指导；</w:t>
            </w:r>
          </w:p>
          <w:p w14:paraId="2DD4FE4C">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（三）负责组织对医疗机构的评审；</w:t>
            </w:r>
          </w:p>
          <w:p w14:paraId="4FD37C06">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（四）对违反本条例的行为给予处罚。</w:t>
            </w:r>
          </w:p>
          <w:p w14:paraId="079BB160">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【部门规章】《放射诊疗管理规定》第三条卫生部负责全国放射诊疗工作的监督管理。县级以上地方人民政府卫生行政部门负责本行政区域内放射诊疗工作的监督管理。</w:t>
            </w:r>
          </w:p>
          <w:p w14:paraId="6D074105">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第三十四条　县级以上地方人民政府卫生行政部门应当定期对本行政区域内开展放射诊疗活动的医疗机构进行监督检查。检查内容包括：</w:t>
            </w:r>
          </w:p>
          <w:p w14:paraId="66DFECBD">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（一）执行法律、法规、规章、标准和规范等情况;</w:t>
            </w:r>
          </w:p>
          <w:p w14:paraId="361B3C59">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（二）放射诊疗规章制度和工作人员岗位责任制等制度的落实情况;</w:t>
            </w:r>
          </w:p>
          <w:p w14:paraId="7FD6FBA4">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（三）健康监护制度和防护措施的落实情况;</w:t>
            </w:r>
          </w:p>
          <w:p w14:paraId="44C3150A">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（四）放射事件调查处理和报告情况。</w:t>
            </w:r>
          </w:p>
        </w:tc>
        <w:tc>
          <w:tcPr>
            <w:tcW w:w="1143" w:type="dxa"/>
            <w:vMerge w:val="restart"/>
            <w:tcBorders>
              <w:top w:val="nil"/>
              <w:left w:val="nil"/>
              <w:bottom w:val="single" w:color="auto" w:sz="8" w:space="0"/>
              <w:right w:val="single" w:color="auto" w:sz="8" w:space="0"/>
            </w:tcBorders>
            <w:shd w:val="clear" w:color="auto" w:fill="FFFFFF"/>
            <w:tcMar>
              <w:left w:w="108" w:type="dxa"/>
              <w:right w:w="108" w:type="dxa"/>
            </w:tcMar>
            <w:vAlign w:val="center"/>
          </w:tcPr>
          <w:p w14:paraId="744810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p w14:paraId="5CE8F4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p>
        </w:tc>
      </w:tr>
      <w:tr w14:paraId="0224365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176" w:hRule="atLeast"/>
        </w:trPr>
        <w:tc>
          <w:tcPr>
            <w:tcW w:w="77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3B9EE8C4">
            <w:pPr>
              <w:rPr>
                <w:rFonts w:hint="eastAsia" w:ascii="仿宋" w:hAnsi="仿宋" w:eastAsia="仿宋" w:cs="仿宋"/>
                <w:i w:val="0"/>
                <w:iCs w:val="0"/>
                <w:caps w:val="0"/>
                <w:color w:val="auto"/>
                <w:spacing w:val="0"/>
                <w:sz w:val="24"/>
                <w:szCs w:val="24"/>
              </w:rPr>
            </w:pPr>
          </w:p>
        </w:tc>
        <w:tc>
          <w:tcPr>
            <w:tcW w:w="1470" w:type="dxa"/>
            <w:vMerge w:val="continue"/>
            <w:tcBorders>
              <w:top w:val="nil"/>
              <w:left w:val="nil"/>
              <w:bottom w:val="single" w:color="auto" w:sz="8" w:space="0"/>
              <w:right w:val="single" w:color="auto" w:sz="8" w:space="0"/>
            </w:tcBorders>
            <w:shd w:val="clear" w:color="auto" w:fill="FFFFFF"/>
            <w:tcMar>
              <w:left w:w="108" w:type="dxa"/>
              <w:right w:w="108" w:type="dxa"/>
            </w:tcMar>
            <w:vAlign w:val="center"/>
          </w:tcPr>
          <w:p w14:paraId="07C5EF34">
            <w:pPr>
              <w:rPr>
                <w:rFonts w:hint="eastAsia" w:ascii="仿宋" w:hAnsi="仿宋" w:eastAsia="仿宋" w:cs="仿宋"/>
                <w:i w:val="0"/>
                <w:iCs w:val="0"/>
                <w:caps w:val="0"/>
                <w:color w:val="auto"/>
                <w:spacing w:val="0"/>
                <w:sz w:val="24"/>
                <w:szCs w:val="24"/>
              </w:rPr>
            </w:pPr>
          </w:p>
        </w:tc>
        <w:tc>
          <w:tcPr>
            <w:tcW w:w="1365" w:type="dxa"/>
            <w:vMerge w:val="continue"/>
            <w:tcBorders>
              <w:top w:val="nil"/>
              <w:left w:val="nil"/>
              <w:bottom w:val="single" w:color="auto" w:sz="8" w:space="0"/>
              <w:right w:val="single" w:color="auto" w:sz="8" w:space="0"/>
            </w:tcBorders>
            <w:shd w:val="clear" w:color="auto" w:fill="FFFFFF"/>
            <w:tcMar>
              <w:left w:w="108" w:type="dxa"/>
              <w:right w:w="108" w:type="dxa"/>
            </w:tcMar>
            <w:vAlign w:val="center"/>
          </w:tcPr>
          <w:p w14:paraId="36575B31">
            <w:pPr>
              <w:rPr>
                <w:rFonts w:hint="eastAsia" w:ascii="仿宋" w:hAnsi="仿宋" w:eastAsia="仿宋" w:cs="仿宋"/>
                <w:i w:val="0"/>
                <w:iCs w:val="0"/>
                <w:caps w:val="0"/>
                <w:color w:val="auto"/>
                <w:spacing w:val="0"/>
                <w:sz w:val="24"/>
                <w:szCs w:val="24"/>
              </w:rPr>
            </w:pPr>
          </w:p>
        </w:tc>
        <w:tc>
          <w:tcPr>
            <w:tcW w:w="1185" w:type="dxa"/>
            <w:vMerge w:val="continue"/>
            <w:tcBorders>
              <w:top w:val="nil"/>
              <w:left w:val="nil"/>
              <w:bottom w:val="single" w:color="auto" w:sz="8" w:space="0"/>
              <w:right w:val="single" w:color="auto" w:sz="8" w:space="0"/>
            </w:tcBorders>
            <w:shd w:val="clear" w:color="auto" w:fill="FFFFFF"/>
            <w:tcMar>
              <w:left w:w="108" w:type="dxa"/>
              <w:right w:w="108" w:type="dxa"/>
            </w:tcMar>
            <w:vAlign w:val="center"/>
          </w:tcPr>
          <w:p w14:paraId="0E1ABB0C">
            <w:pPr>
              <w:rPr>
                <w:rFonts w:hint="eastAsia" w:ascii="仿宋" w:hAnsi="仿宋" w:eastAsia="仿宋" w:cs="仿宋"/>
                <w:i w:val="0"/>
                <w:iCs w:val="0"/>
                <w:caps w:val="0"/>
                <w:color w:val="auto"/>
                <w:spacing w:val="0"/>
                <w:sz w:val="24"/>
                <w:szCs w:val="24"/>
              </w:rPr>
            </w:pPr>
          </w:p>
        </w:tc>
        <w:tc>
          <w:tcPr>
            <w:tcW w:w="1513" w:type="dxa"/>
            <w:vMerge w:val="continue"/>
            <w:tcBorders>
              <w:top w:val="nil"/>
              <w:left w:val="nil"/>
              <w:bottom w:val="single" w:color="auto" w:sz="8" w:space="0"/>
              <w:right w:val="single" w:color="auto" w:sz="8" w:space="0"/>
            </w:tcBorders>
            <w:shd w:val="clear" w:color="auto" w:fill="FFFFFF"/>
            <w:tcMar>
              <w:left w:w="108" w:type="dxa"/>
              <w:right w:w="108" w:type="dxa"/>
            </w:tcMar>
            <w:vAlign w:val="center"/>
          </w:tcPr>
          <w:p w14:paraId="22F53C17">
            <w:pPr>
              <w:rPr>
                <w:rFonts w:hint="eastAsia" w:ascii="仿宋" w:hAnsi="仿宋" w:eastAsia="仿宋" w:cs="仿宋"/>
                <w:i w:val="0"/>
                <w:iCs w:val="0"/>
                <w:caps w:val="0"/>
                <w:color w:val="auto"/>
                <w:spacing w:val="0"/>
                <w:sz w:val="24"/>
                <w:szCs w:val="24"/>
              </w:rPr>
            </w:pPr>
          </w:p>
        </w:tc>
        <w:tc>
          <w:tcPr>
            <w:tcW w:w="7442" w:type="dxa"/>
            <w:vMerge w:val="continue"/>
            <w:tcBorders>
              <w:top w:val="nil"/>
              <w:left w:val="nil"/>
              <w:bottom w:val="single" w:color="auto" w:sz="8" w:space="0"/>
              <w:right w:val="single" w:color="auto" w:sz="8" w:space="0"/>
            </w:tcBorders>
            <w:shd w:val="clear" w:color="auto" w:fill="FFFFFF"/>
            <w:tcMar>
              <w:left w:w="108" w:type="dxa"/>
              <w:right w:w="108" w:type="dxa"/>
            </w:tcMar>
            <w:vAlign w:val="center"/>
          </w:tcPr>
          <w:p w14:paraId="1E4F7F1C">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auto"/>
                <w:spacing w:val="0"/>
                <w:sz w:val="24"/>
                <w:szCs w:val="24"/>
              </w:rPr>
            </w:pPr>
          </w:p>
        </w:tc>
        <w:tc>
          <w:tcPr>
            <w:tcW w:w="1143" w:type="dxa"/>
            <w:vMerge w:val="continue"/>
            <w:tcBorders>
              <w:top w:val="nil"/>
              <w:left w:val="nil"/>
              <w:bottom w:val="single" w:color="auto" w:sz="8" w:space="0"/>
              <w:right w:val="single" w:color="auto" w:sz="8" w:space="0"/>
            </w:tcBorders>
            <w:shd w:val="clear" w:color="auto" w:fill="FFFFFF"/>
            <w:tcMar>
              <w:left w:w="108" w:type="dxa"/>
              <w:right w:w="108" w:type="dxa"/>
            </w:tcMar>
            <w:vAlign w:val="center"/>
          </w:tcPr>
          <w:p w14:paraId="74B583DB">
            <w:pPr>
              <w:rPr>
                <w:rFonts w:hint="eastAsia" w:ascii="仿宋" w:hAnsi="仿宋" w:eastAsia="仿宋" w:cs="仿宋"/>
                <w:i w:val="0"/>
                <w:iCs w:val="0"/>
                <w:caps w:val="0"/>
                <w:color w:val="auto"/>
                <w:spacing w:val="0"/>
                <w:sz w:val="24"/>
                <w:szCs w:val="24"/>
              </w:rPr>
            </w:pPr>
          </w:p>
        </w:tc>
      </w:tr>
      <w:tr w14:paraId="4D92C82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960"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5CAB66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5</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587BA6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对餐具、饮具集中消毒服务单位的行政检查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6FA275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3E5B49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4E574D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对餐具、饮具集中消毒服务单位的监管</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77E90244">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【法律】《中华人民共和国食品安全法》第一百二十六条  餐具、饮具集中消毒服务单位违反本法规定用水，使用洗涤剂、消毒剂，或者出厂的餐具、饮具未按规定检验合格并随附消毒合格证明，或者未按规定在独立包装上标注相关内容的，由县级以上人民政府卫生行政部门依照前款规定给予处罚。</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46C004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564ECC1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891"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321E81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6</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4A6E3C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对血吸虫病防治工作的行政检查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7CA2A5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055978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3F5DE1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各级政府、各相关部门及其工作人员、相关医疗卫生机构及其工作人员</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43EBDB6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【行政法规】《血吸虫病防治条例》第三十九条　县级以上人民政府卫生主管部门负责血吸虫病监测、预防、控制、治疗和疫情的管理工作，对杀灭钉螺药物的使用情况进行监督检查。</w:t>
            </w:r>
          </w:p>
          <w:p w14:paraId="6C32DC35">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第四十条　县级以上人民政府农业或者兽医主管部门对下列事项进行监督检查：</w:t>
            </w:r>
          </w:p>
          <w:p w14:paraId="229344B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（一）本条例第十六条规定的血吸虫病防治措施的实施情况；</w:t>
            </w:r>
          </w:p>
          <w:p w14:paraId="7A89F31D">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（二）家畜血吸虫病监测、预防、控制、治疗和疫情管理工作情况；</w:t>
            </w:r>
          </w:p>
          <w:p w14:paraId="3D198671">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（三）治疗家畜血吸虫病药物的管理、使用情况；</w:t>
            </w:r>
          </w:p>
          <w:p w14:paraId="0C985D1F">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（四）农业工程项目中执行血吸虫病防治技术规范情况。</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3391BC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406ACB1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356"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080BCB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7</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490F36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对突发事件应急处理中医疗机构的行政检查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3EBA35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530BD1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283CE1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应急处理突发事件的医疗卫生机构</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0CC5F85E">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【行政法规】《突发公共卫生事件应急条例》第三条　突发事件发生后，国务院设立全国突发事件应急处理指挥部，由国务院有关部门和军队有关部门组成，国务院主管领导人担任总指挥，负责对全国突发事件应急处理的统一领导、统一指挥。国务院卫生行政主管部门和其他有关部门，在各自的职责范围内做好突发事件应急处理的有关工作。</w:t>
            </w:r>
          </w:p>
          <w:p w14:paraId="316D102F">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第四条　突发事件发生后，省、自治区、直辖市人民政府成立地方突发事件应急处理指挥部，省、自治区、直辖市人民政府主要领导人担任总指挥，负责领导、指挥本行政区域内突发事件应急处理工作。县级以上地方人民政府卫生行政主管部门，具体负责组织突发事件的调查、控制和医疗救治工作。县级以上地方人民政府有关部门，在各自的职责范围内做好突发事件应急处理的有关工作。</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3B3EF2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38C7FA3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651"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100EE7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8</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00A2C0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对艾滋病预防控制的行政检查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669914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1A7029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1D1C75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各级政府、各相关部门及其工作人员、相关医疗卫生机构及其工作人员、艾滋病患者</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3B3FC4A6">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行政法规】《艾滋病防治条例》第四十九条县级以上地方人民政府按照本级政府的职责，负责艾滋病预防、控制、监督工作所需经费。国务院卫生主管部门会同国务院其他有关部门，根据艾滋病流行趋势，确定全国与艾滋病防治相关的宣传、培训、监测、检测、流行病学调查、医疗救治、应急处置以及监督检查等项目。</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79F873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0B3DC1C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185"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65F59D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9</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25D104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对医疗机构抗菌药物临床应用的行政检查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0D95CE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534495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4E3171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医疗机构</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7B13009F">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【部门规章】《抗菌药物临床应用管理办法》第三条　卫生部负责全国医疗机构抗菌药物临床应用的监督管理。县级以上地方卫生行政部门负责本行政区域内医疗机构抗菌药物临床应用的监督管理。</w:t>
            </w:r>
          </w:p>
          <w:p w14:paraId="065EA289">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第五十七条　国家中医药管理部门在职责范围内负责中医医疗机构抗菌药物临床应用的监督管理。</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55625C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1CABFD7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865"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591525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10</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295AB2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对具备使用有毒物品、粉尘超标等易导致职业病因素的作业场所的行政检查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4D0381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529BCF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0B9E6E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对具备使用有毒物品、粉尘超标等易导致职业病因素的作业场所的监管</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2E77D4F3">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【法律】《中华人民共和国职业病防治法》第九条　国家实行职业卫生监督制度。国务院卫生行政部门、劳动保障行政部门依照本法和国务院确定的职责，负责全国职业病防治的监督管理工作。国务院有关部门在各自的职责范围内负责职业病防治的有关监督管理工作。县级以上地方人民政府卫生行政部门、劳动保障行政部门依据各自职责，负责本行政区域内职业病防治的监督管理工作。县级以上地方人民政府有关部门在各自的职责范围内负责职业病防治的有关监督管理工作。县级以上人民政府卫生行政部门、劳动保障行政部门（以下统称职业卫生监督管理部门）应当加强沟通，密切配合，按照各自职责分工，依法行使职权，承担责任。</w:t>
            </w:r>
          </w:p>
          <w:p w14:paraId="5222D4BC">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【行政法规】《使用有毒物品作业场所劳动保护条例》第九条　县级以上人民政府卫生行政部门及其他有关行政部门应当依据各自的职责，监督用人单位严格遵守本条例和其他有关法律、法规的规定，加强作业场所使用有毒物品的劳动保护，防止职业中毒事故发生，确保劳动者依法享有的权利。</w:t>
            </w:r>
          </w:p>
          <w:p w14:paraId="57DA3E5A">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【行政法规】《中华人民共和国尘肺病防治条例》第十五条　卫生行政部门、劳动部门和工会组织分工协作，互相配合，对企业、事业单位的尘肺病防治工作进行监督。</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54240A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3C53196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06"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71CA45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11</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775D64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对疾病预防控制机构、医疗机构传染病防控工作的行政检查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0974E9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6F5817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20529B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各级政府、医疗机构、国家卫生检疫机关、动物防疫机构铁路、交通、民用航空经营单位、采供血机构等</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429A7300">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【法律】《中华人民共和国传染病防治法》第六条　国务院卫生行政部门主管全国传染病防治及其监督管理工作。县级以上地方人民政府卫生行政部门负责本行政区域内的传染病防治及其监督管理工作。县级以上人民政府其他部门在各自的职责范围内负责传染病防治工作。军队的传染病防治工作，依照本法和国家有关规定办理，由中国人民解放军卫生主管部门实施监督管理。</w:t>
            </w:r>
          </w:p>
          <w:p w14:paraId="09137A41">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第五十三条　县级以上人民政府卫生行政部门对传染病防治工作履行下列监督检查职责：</w:t>
            </w:r>
          </w:p>
          <w:p w14:paraId="443E43B8">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（一）对下级人民政府卫生行政部门履行本法规定的传染病防治职责进行监督检查；</w:t>
            </w:r>
          </w:p>
          <w:p w14:paraId="4E6707CC">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（二）对疾病预防控制机构、医疗机构的传染病防治工作进行监督检查；</w:t>
            </w:r>
          </w:p>
          <w:p w14:paraId="1C3BB081">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（三）对采供血机构的采供血活动进行监督检查；（四）对用于传染病防治的消毒产品及其生产单位进行监督检查，并对饮用水供水单位从事生产或者供应活动以及涉及饮用水卫生安全的产品进行监督检查；</w:t>
            </w:r>
          </w:p>
          <w:p w14:paraId="357E8E84">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（五）对传染病菌种、毒种和传染病检测样本的采集、保藏、携带、运输、使用进行监督检查；</w:t>
            </w:r>
          </w:p>
          <w:p w14:paraId="53F63F7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（六）对公共场所和有关单位的卫生条件和传染病预防、控制措施进行监督检查。</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7E4C9E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537BF1C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91"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75BF88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12</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52D6FF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对女职工劳动保护的行政检查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380624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29A20E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3BE60A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对女职工劳动保护的监管</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04BD6E49">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行政法规】《女职工劳动保护特别规定》第四条女职工禁忌从事的劳动范围由本规定附录列示。国务院安全生产监督管理部门会同国务院人力资源社会保障行政部门、国务院卫生行政部门根据经济社会发展情况，对女职工禁忌从事的劳动范围进行调整。</w:t>
            </w:r>
          </w:p>
          <w:p w14:paraId="520FC3AD">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第十二条县级以上人民政府人力资源社会保障行政部门、安全生产监督管理部门按照各自职责负责对用人单位遵守本规定的情况进行监督检查。</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3A288F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583F3A1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516"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64A9DC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13</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278F9D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对医疗废物收集、运送、贮存、处置活动中的疾病防治工作的行政检查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7A50D2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4A1D1B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07756E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医疗机构</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6881E62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【行政法规】《医疗废物管理条例》第五条　县级以上各级人民政府卫生行政主管部门，对医疗废物收集、运送、贮存、处置活动中的疾病防治工作实施统一监督管理；环境保护行政主管部门，对医疗废物收集、运送、贮存、处置活动中的环境污染防治工作实施统一监督管理。县级以上各级人民政府其他有关部门在各自的职责范围内负责与医疗废物处置有关的监督管理工作。</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435F28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0C54DAE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306"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741D7B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14</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3FDD73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对中医药工作的行政检查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49DDEA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549057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01F131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中医医疗机构/中医医师、中医药从业人员</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19D525E8">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【法律】《中华人民共和国中医药法》第五条　国务院中医药主管部门负责全国的中医药管理工作。国务院其他有关部门在各自职责范围内负责与中医药管理有关的工作。县级以上地方人民政府中医药主管部门负责本行政区域的中医药管理工作。县级以上地方人民政府其他有关部门在各自职责范围内负责与中医药管理有关的工作。</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3FF9F4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720A634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185"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004830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15</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6490A9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对学校卫生、托幼机构卫生工作的行政检查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4909E7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070C0A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13CD99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学校，托幼机构</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7A5117FD">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【行政法规】《学校卫生工作条例》第四条　教育行政部门负责学校卫生工作的行政管理。卫生行政部门负责对学校卫生工作的监督指导。</w:t>
            </w:r>
          </w:p>
          <w:p w14:paraId="4DAE64CF">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第六条　学校教学建筑、环境噪声、室内微小气候、采光、照明等环境质量以及黑板、课桌椅的设置应当符合国家有关标准。新建、改建、扩建校舍，其选址、设计应当符合国家的卫生标准，并取得当地卫生行政部门的许可。竣工验收应当有当地卫生行政部门参加。</w:t>
            </w:r>
          </w:p>
          <w:p w14:paraId="78D93594">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第七条　学校应当按照有关规定为学生设置厕所和洗手设施。寄宿制学校应当为学生提供相应的洗漱、洗澡等卫生设施。学校应当为学生提供充足的符合卫生标准的饮用水。</w:t>
            </w:r>
          </w:p>
          <w:p w14:paraId="46EC109E">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第十条　学校体育场地和器材应当符合卫生和安全要求。运动项目和运动强度应当适合学生的生</w:t>
            </w:r>
          </w:p>
          <w:p w14:paraId="08721960">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理承受能力和体质健康状况，防止发生伤害事故。第十一条　学校应当根据学生的年龄，组织学生参加适当的劳动，并对参加劳动的学生，进行安全教育，提供必要的安全和卫生防护措施。</w:t>
            </w:r>
          </w:p>
          <w:p w14:paraId="6E1F0C57">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第二十七条　供学生使用的文具、娱乐器具、保健用品，必须符合国家有关卫生标准。</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2439FC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75061A9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51"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799CC1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16</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17029B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对精神卫生工作的行政检查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13854F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02A9F5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365941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各级政府、各相关部门及其工作人员、相关医疗卫生机构及其工作人员、患者监护人</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5FAD37C7">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【法律】《中华人民共和国精神卫生法》第八条　国务院卫生行政部门主管全国的精神卫生工作。县级以上地方人民政府卫生行政部门主管本行政区域的精神卫生工作。</w:t>
            </w:r>
          </w:p>
          <w:p w14:paraId="46C0A010">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县级以上人民政府司法行政、民政、公安、教育、医疗保障等部门在各自职责范围内负责有关的精神卫生工作。</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2338A6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01133B6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651"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27979F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17</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69324A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对医疗机构设置和执业的行政检查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164735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4F2A9D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6E25A0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医疗机构</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7405A4C6">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【行政法规】《医疗机构管理条例》第三十九条　县级以上人民政府卫生行政部门行使下列监督管理职权：</w:t>
            </w:r>
          </w:p>
          <w:p w14:paraId="630643F6">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（一）负责医疗机构的设置审批、执业登记、备案和校验；</w:t>
            </w:r>
          </w:p>
          <w:p w14:paraId="3F8A718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（二）对医疗机构的执业活动进行检查指导；</w:t>
            </w:r>
          </w:p>
          <w:p w14:paraId="54D3315C">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（三）负责组织对医疗机构的评审；</w:t>
            </w:r>
          </w:p>
          <w:p w14:paraId="616AE6A3">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（四）对违反本条例的行为给予处罚。</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0E4D28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2934BDC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606"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13D6E0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18</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798608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对职业健康检查机构的行政检查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49B28D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53A9EF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7AB501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对职业健康检查机构的监管</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4314AACE">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【法律】《中华人民共和国职业病防治法》第九条  国家实行职业卫生监督制度。国务院卫生行政部门、劳动保障行政部门依照本法和国务院确定的职责，负责全国职业病防治的监督管理工作。国务院有关部门在各自的职责范围内负责职业病防治的有关监督管理工作。县级以上地方人民政府卫生行政部门、劳动保障行政部门依据各自职责，负责本行政区域内职业病防治的监督管理工作。县级以上地方人民政府有关部门在各自的职责范围内负责职业病防治的有关监督管理工作。</w:t>
            </w:r>
          </w:p>
          <w:p w14:paraId="6630FA6F">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第三十五条对从事接触职业病危害的作业的劳动者，用人单位应当按照国务院卫生行政部门的规定组织上岗前、在岗期间和离岗时的职业健康检查…职业健康检查应当由取得《医疗机构执业许可证》的医疗卫生机构承担。卫生行政部门应当加强对职业健康检查工作的规范管理，具体管理办法由国务院卫生行政部门制定。</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4DAC6A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495F6CD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926"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78943C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19</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79F1AF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对原微生物实验的行政检查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7E5D2C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22088B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635DC8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疾病预防机构、医疗卫生机构、教学科研机构、保藏机构及其它单位设立的与人体健康有关的病原微生物实验室</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1808812A">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【行政法规】《病原微生物实验室生物安全管理条例》第三条　国务院卫生主管部门主管与人体健康有关的实验室及其实验活动的生物安全监督工作。</w:t>
            </w:r>
          </w:p>
          <w:p w14:paraId="2A27073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国务院兽医主管部门主管与动物有关的实验室及其实验活动的生物安全监督工作。</w:t>
            </w:r>
          </w:p>
          <w:p w14:paraId="5C3D72CA">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国务院其他有关部门在各自职责范围内负责实验室及其实验活动的生物安全管理工作。</w:t>
            </w:r>
          </w:p>
          <w:p w14:paraId="71863C2A">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县级以上地方人民政府及其有关部门在各自职责范围内负责实验室及其实验活动的生物安全管理工作。</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3485D9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166C59C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116"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07614C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20</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173433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对麻醉药品和第一类精神药品的行政检查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147D4D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75F179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398042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医疗机构</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64FFD4CA">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【行政法规】《麻醉药品和精神药品管理条例》第三十六条　医疗机构需要使用麻醉药品和第一类精神药品的，应当经所在地设区的市级人民政府卫生主管部门批准，取得麻醉药品、第一类精神药品购用印鉴卡（以下称印鉴卡）。医疗机构应当凭印鉴卡向本省、自治区、直辖市行政区域内的定点批发企业购买麻醉药品和第一类精神药品。设区的市级人民政府卫生主管部门发给医疗机构印鉴卡时，应当将取得印鉴卡的医疗机构情况抄送所在地设区的市级药品监督管理部门，并报省、自治区、直辖市人民政府卫生主管部门备案。省、自治区、直辖市人民政府卫生主管部门应当将取得印鉴卡的医疗机构名单向本行政区域内的定点批发企业通报。</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1F728E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75AF381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191"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5B75FC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21</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1BC873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对互联网医疗保健信息服务的行政检查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4EC8A1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7AF011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180F2D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医疗机构</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4A3B74FC">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部门规章】《互联网诊疗管理办法（试行）》第四条国务院卫生健康行政部门和中医药主管部门负责全国互联网诊疗活动的监督管理。地方各级卫生健康行政部门(含中医药主管部门，下同)负责辖区内互联网诊疗活动的监督管理。</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2FAB64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非现场检查</w:t>
            </w:r>
          </w:p>
        </w:tc>
      </w:tr>
      <w:tr w14:paraId="7E07B47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855"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3554C3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22</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31B9E2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对母婴保健和计划生育技术服务的行政检查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61C0D2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56DAB6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589AEE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对从事助产、计划生育技术服务的医疗机构的监管</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1B03EA6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【法律】《中华人民共和国母婴保健法》第四条国务院卫生行政部门主管全国母婴保健工作，根据不同地区情况提出分类指导原则，并对全国母婴保健工作实施监督管理。</w:t>
            </w:r>
          </w:p>
          <w:p w14:paraId="72290360">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【行政法规】《母婴保健法实施办法》第三十四条县级以上地方人民政府卫生行政部门负责本区域内的母婴保健工作，履行下列监督管理职责：</w:t>
            </w:r>
          </w:p>
          <w:p w14:paraId="7429E0A5">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（二）对母婴保健法和本办法的执行情况进行监督检查；</w:t>
            </w:r>
          </w:p>
          <w:p w14:paraId="5E3D50A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（三）违反母婴保健法和本办法的行为，依法予以行政处罚；</w:t>
            </w:r>
          </w:p>
          <w:p w14:paraId="6489AC6F">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（四）负责母婴保健工作监督管理其他事项。</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536D6E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0DA1995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041"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0AF85F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仿宋" w:hAnsi="仿宋" w:eastAsia="仿宋" w:cs="仿宋"/>
                <w:color w:val="auto"/>
                <w:sz w:val="21"/>
                <w:szCs w:val="21"/>
                <w:lang w:val="en-US" w:eastAsia="zh-CN"/>
              </w:rPr>
            </w:pPr>
            <w:r>
              <w:rPr>
                <w:rFonts w:hint="eastAsia" w:ascii="仿宋" w:hAnsi="仿宋" w:eastAsia="仿宋" w:cs="仿宋"/>
                <w:i w:val="0"/>
                <w:iCs w:val="0"/>
                <w:caps w:val="0"/>
                <w:color w:val="auto"/>
                <w:spacing w:val="0"/>
                <w:sz w:val="21"/>
                <w:szCs w:val="21"/>
                <w:lang w:val="en-US" w:eastAsia="zh-CN"/>
              </w:rPr>
              <w:t>23</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5BD3A7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对消毒剂和消毒器械及其生产经营使用单位的行政检查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41645A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221301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5F9021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消毒产品生产经营和使用单位</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1B0C2A6C">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【法律】《中华人民共和国传染病防治法》第五十三条县级以上人民政府卫生行政部门对传染病防治工作履行下列监督检查职责：</w:t>
            </w:r>
          </w:p>
          <w:p w14:paraId="5EB2D9AB">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（四）对用于传染病防治的消毒产品及其生产单位进行监督检查。</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0A3F68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5D3187B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870"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5F9189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仿宋" w:hAnsi="仿宋" w:eastAsia="仿宋" w:cs="仿宋"/>
                <w:color w:val="auto"/>
                <w:sz w:val="21"/>
                <w:szCs w:val="21"/>
                <w:lang w:val="en-US" w:eastAsia="zh-CN"/>
              </w:rPr>
            </w:pPr>
            <w:r>
              <w:rPr>
                <w:rFonts w:hint="eastAsia" w:ascii="仿宋" w:hAnsi="仿宋" w:eastAsia="仿宋" w:cs="仿宋"/>
                <w:i w:val="0"/>
                <w:iCs w:val="0"/>
                <w:caps w:val="0"/>
                <w:color w:val="auto"/>
                <w:spacing w:val="0"/>
                <w:sz w:val="21"/>
                <w:szCs w:val="21"/>
                <w:lang w:val="en-US" w:eastAsia="zh-CN"/>
              </w:rPr>
              <w:t>24</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797336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对医疗机构临床使用境外来源血液的行政检查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76A630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2738BE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15137D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医疗机构</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2F6EEFD7">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【法律】《中华人民共和国献血法》第四条 县级以上各级人民政府卫生行政部门监督管理献血工作。各级红十字会依法参与、推动献血工作。</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341899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55823EA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630"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68A72E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lang w:eastAsia="zh-CN"/>
              </w:rPr>
            </w:pPr>
            <w:r>
              <w:rPr>
                <w:rFonts w:hint="eastAsia" w:ascii="仿宋" w:hAnsi="仿宋" w:eastAsia="仿宋" w:cs="仿宋"/>
                <w:i w:val="0"/>
                <w:iCs w:val="0"/>
                <w:caps w:val="0"/>
                <w:color w:val="auto"/>
                <w:spacing w:val="0"/>
                <w:sz w:val="21"/>
                <w:szCs w:val="21"/>
              </w:rPr>
              <w:t>2</w:t>
            </w:r>
            <w:r>
              <w:rPr>
                <w:rFonts w:hint="eastAsia" w:ascii="仿宋" w:hAnsi="仿宋" w:eastAsia="仿宋" w:cs="仿宋"/>
                <w:i w:val="0"/>
                <w:iCs w:val="0"/>
                <w:caps w:val="0"/>
                <w:color w:val="auto"/>
                <w:spacing w:val="0"/>
                <w:sz w:val="21"/>
                <w:szCs w:val="21"/>
                <w:lang w:val="en-US" w:eastAsia="zh-CN"/>
              </w:rPr>
              <w:t>5</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425CE0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对公共场所卫生的行政检查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435B33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108EE0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02FD03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直接责任单位或者个人</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268C916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【行政法规】《公共场所卫生管理条例》第十条  各级卫生防疫机构，负责管辖范围内的公共场所卫生监督工作。</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4CD240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4E00E05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591"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7AD789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lang w:val="en-US" w:eastAsia="zh-CN"/>
              </w:rPr>
            </w:pPr>
            <w:r>
              <w:rPr>
                <w:rFonts w:hint="eastAsia" w:ascii="仿宋" w:hAnsi="仿宋" w:eastAsia="仿宋" w:cs="仿宋"/>
                <w:i w:val="0"/>
                <w:iCs w:val="0"/>
                <w:caps w:val="0"/>
                <w:color w:val="auto"/>
                <w:spacing w:val="0"/>
                <w:sz w:val="21"/>
                <w:szCs w:val="21"/>
                <w:lang w:val="en-US" w:eastAsia="zh-CN"/>
              </w:rPr>
              <w:t>26</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670F5F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对采供血机构的行政检查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51C98E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3DDA00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024999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采供血机构</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3470DFDC">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【法律】《中华人民共和国献血法》第四条县级以上各级人民政府卫生行政部门监督管理献血工作。</w:t>
            </w:r>
          </w:p>
          <w:p w14:paraId="707628F8">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行政法规】《血液制品管理条例》第三条国务院卫生行政部门对全国的原料血浆的采集、供应和血液制品的生产、经营活动实施监督管理。县级以上地方各级人民政府卫生行政部门对本行政区域内的原料血浆的采集、供应和血液制品的生产、经营活动，依照本条例第三十条的规定的职责实施监督管理。</w:t>
            </w:r>
          </w:p>
          <w:p w14:paraId="343E7FB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第三十条县级以上地方各级人民政府卫生行政部门依照本条例的规定负责本行政区域内的单采血浆站、供应血浆者、原料血浆的采集及血液制品经营单位的监督管理。省、自治区、直辖市人民政府卫生行政部门依照本条例的规定负责本行政区域内的血液制品生产单位的监督管理。</w:t>
            </w:r>
          </w:p>
          <w:p w14:paraId="3FA0350A">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【部门规章】《单采血浆站管理办法》第五条　卫生部负责全国单采血浆站的监督管理工作。</w:t>
            </w:r>
          </w:p>
          <w:p w14:paraId="05452574">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县级以上地方人民政府卫生行政部门负责本行政区域内单采血浆站的监督管理工作。</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5AD5E8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p w14:paraId="343E8C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p>
        </w:tc>
      </w:tr>
      <w:tr w14:paraId="3B1ADE9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636" w:hRule="atLeast"/>
        </w:trPr>
        <w:tc>
          <w:tcPr>
            <w:tcW w:w="770" w:type="dxa"/>
            <w:vMerge w:val="restart"/>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47B7CD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仿宋" w:hAnsi="仿宋" w:eastAsia="仿宋" w:cs="仿宋"/>
                <w:color w:val="auto"/>
                <w:sz w:val="21"/>
                <w:szCs w:val="21"/>
                <w:lang w:val="en-US" w:eastAsia="zh-CN"/>
              </w:rPr>
            </w:pPr>
            <w:r>
              <w:rPr>
                <w:rFonts w:hint="eastAsia" w:ascii="仿宋" w:hAnsi="仿宋" w:eastAsia="仿宋" w:cs="仿宋"/>
                <w:i w:val="0"/>
                <w:iCs w:val="0"/>
                <w:caps w:val="0"/>
                <w:color w:val="auto"/>
                <w:spacing w:val="0"/>
                <w:sz w:val="21"/>
                <w:szCs w:val="21"/>
                <w:lang w:val="en-US" w:eastAsia="zh-CN"/>
              </w:rPr>
              <w:t>27</w:t>
            </w:r>
          </w:p>
        </w:tc>
        <w:tc>
          <w:tcPr>
            <w:tcW w:w="1470" w:type="dxa"/>
            <w:vMerge w:val="restart"/>
            <w:tcBorders>
              <w:top w:val="nil"/>
              <w:left w:val="nil"/>
              <w:right w:val="single" w:color="auto" w:sz="8" w:space="0"/>
            </w:tcBorders>
            <w:shd w:val="clear" w:color="auto" w:fill="FFFFFF"/>
            <w:tcMar>
              <w:left w:w="108" w:type="dxa"/>
              <w:right w:w="108" w:type="dxa"/>
            </w:tcMar>
            <w:vAlign w:val="center"/>
          </w:tcPr>
          <w:p w14:paraId="0C5E369B">
            <w:pP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对职业卫生技术服务机构（含医用放射技术服务机构）的行政检查</w:t>
            </w:r>
          </w:p>
        </w:tc>
        <w:tc>
          <w:tcPr>
            <w:tcW w:w="1365" w:type="dxa"/>
            <w:vMerge w:val="restart"/>
            <w:tcBorders>
              <w:top w:val="nil"/>
              <w:left w:val="nil"/>
              <w:right w:val="single" w:color="auto" w:sz="8" w:space="0"/>
            </w:tcBorders>
            <w:shd w:val="clear" w:color="auto" w:fill="FFFFFF"/>
            <w:tcMar>
              <w:left w:w="108" w:type="dxa"/>
              <w:right w:w="108" w:type="dxa"/>
            </w:tcMar>
            <w:vAlign w:val="center"/>
          </w:tcPr>
          <w:p w14:paraId="68BBC5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vMerge w:val="restart"/>
            <w:tcBorders>
              <w:top w:val="nil"/>
              <w:left w:val="nil"/>
              <w:right w:val="single" w:color="auto" w:sz="8" w:space="0"/>
            </w:tcBorders>
            <w:shd w:val="clear" w:color="auto" w:fill="FFFFFF"/>
            <w:tcMar>
              <w:left w:w="108" w:type="dxa"/>
              <w:right w:w="108" w:type="dxa"/>
            </w:tcMar>
            <w:vAlign w:val="center"/>
          </w:tcPr>
          <w:p w14:paraId="1FD789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vMerge w:val="restart"/>
            <w:tcBorders>
              <w:top w:val="nil"/>
              <w:left w:val="nil"/>
              <w:right w:val="single" w:color="auto" w:sz="8" w:space="0"/>
            </w:tcBorders>
            <w:shd w:val="clear" w:color="auto" w:fill="FFFFFF"/>
            <w:tcMar>
              <w:left w:w="108" w:type="dxa"/>
              <w:right w:w="108" w:type="dxa"/>
            </w:tcMar>
            <w:vAlign w:val="center"/>
          </w:tcPr>
          <w:p w14:paraId="4068F8DD">
            <w:pP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对职业卫生技术服务机构（含医用放射技术服务机构）的监管</w:t>
            </w:r>
          </w:p>
        </w:tc>
        <w:tc>
          <w:tcPr>
            <w:tcW w:w="7442" w:type="dxa"/>
            <w:vMerge w:val="restart"/>
            <w:tcBorders>
              <w:top w:val="nil"/>
              <w:left w:val="nil"/>
              <w:right w:val="single" w:color="auto" w:sz="8" w:space="0"/>
            </w:tcBorders>
            <w:shd w:val="clear" w:color="auto" w:fill="FFFFFF"/>
            <w:tcMar>
              <w:left w:w="108" w:type="dxa"/>
              <w:right w:w="108" w:type="dxa"/>
            </w:tcMar>
            <w:vAlign w:val="center"/>
          </w:tcPr>
          <w:p w14:paraId="4647FD0E">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【法律】《中华人民共和国职业病防治法》第二十七条职业卫生技术服务机构依法从事职业病危害因素检测、评价工作，接受卫生行政部门的监督检查。卫生行政部门应当依法履行法律监督职责。</w:t>
            </w:r>
          </w:p>
        </w:tc>
        <w:tc>
          <w:tcPr>
            <w:tcW w:w="1143" w:type="dxa"/>
            <w:vMerge w:val="restart"/>
            <w:tcBorders>
              <w:top w:val="nil"/>
              <w:left w:val="nil"/>
              <w:right w:val="single" w:color="auto" w:sz="8" w:space="0"/>
            </w:tcBorders>
            <w:shd w:val="clear" w:color="auto" w:fill="FFFFFF"/>
            <w:tcMar>
              <w:left w:w="108" w:type="dxa"/>
              <w:right w:w="108" w:type="dxa"/>
            </w:tcMar>
            <w:vAlign w:val="center"/>
          </w:tcPr>
          <w:p w14:paraId="6637C006">
            <w:pP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75AB341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651" w:hRule="atLeast"/>
        </w:trPr>
        <w:tc>
          <w:tcPr>
            <w:tcW w:w="77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3EFA3727">
            <w:pPr>
              <w:rPr>
                <w:rFonts w:hint="eastAsia" w:ascii="仿宋" w:hAnsi="仿宋" w:eastAsia="仿宋" w:cs="仿宋"/>
                <w:i w:val="0"/>
                <w:iCs w:val="0"/>
                <w:caps w:val="0"/>
                <w:color w:val="auto"/>
                <w:spacing w:val="0"/>
                <w:sz w:val="24"/>
                <w:szCs w:val="24"/>
              </w:rPr>
            </w:pPr>
          </w:p>
        </w:tc>
        <w:tc>
          <w:tcPr>
            <w:tcW w:w="1470" w:type="dxa"/>
            <w:vMerge w:val="continue"/>
            <w:tcBorders>
              <w:left w:val="nil"/>
              <w:right w:val="single" w:color="auto" w:sz="8" w:space="0"/>
            </w:tcBorders>
            <w:shd w:val="clear" w:color="auto" w:fill="FFFFFF"/>
            <w:tcMar>
              <w:left w:w="108" w:type="dxa"/>
              <w:right w:w="108" w:type="dxa"/>
            </w:tcMar>
            <w:vAlign w:val="center"/>
          </w:tcPr>
          <w:p w14:paraId="2A5256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i w:val="0"/>
                <w:iCs w:val="0"/>
                <w:caps w:val="0"/>
                <w:color w:val="auto"/>
                <w:spacing w:val="0"/>
                <w:sz w:val="24"/>
                <w:szCs w:val="24"/>
              </w:rPr>
            </w:pPr>
          </w:p>
        </w:tc>
        <w:tc>
          <w:tcPr>
            <w:tcW w:w="1365" w:type="dxa"/>
            <w:vMerge w:val="continue"/>
            <w:tcBorders>
              <w:left w:val="nil"/>
              <w:right w:val="single" w:color="auto" w:sz="8" w:space="0"/>
            </w:tcBorders>
            <w:shd w:val="clear" w:color="auto" w:fill="FFFFFF"/>
            <w:tcMar>
              <w:left w:w="108" w:type="dxa"/>
              <w:right w:w="108" w:type="dxa"/>
            </w:tcMar>
            <w:vAlign w:val="center"/>
          </w:tcPr>
          <w:p w14:paraId="156BFB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i w:val="0"/>
                <w:iCs w:val="0"/>
                <w:caps w:val="0"/>
                <w:color w:val="auto"/>
                <w:spacing w:val="0"/>
                <w:sz w:val="24"/>
                <w:szCs w:val="24"/>
              </w:rPr>
            </w:pPr>
          </w:p>
        </w:tc>
        <w:tc>
          <w:tcPr>
            <w:tcW w:w="1185" w:type="dxa"/>
            <w:vMerge w:val="continue"/>
            <w:tcBorders>
              <w:left w:val="nil"/>
              <w:right w:val="single" w:color="auto" w:sz="8" w:space="0"/>
            </w:tcBorders>
            <w:shd w:val="clear" w:color="auto" w:fill="FFFFFF"/>
            <w:tcMar>
              <w:left w:w="108" w:type="dxa"/>
              <w:right w:w="108" w:type="dxa"/>
            </w:tcMar>
            <w:vAlign w:val="center"/>
          </w:tcPr>
          <w:p w14:paraId="0474AA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i w:val="0"/>
                <w:iCs w:val="0"/>
                <w:caps w:val="0"/>
                <w:color w:val="auto"/>
                <w:spacing w:val="0"/>
                <w:sz w:val="24"/>
                <w:szCs w:val="24"/>
              </w:rPr>
            </w:pPr>
          </w:p>
        </w:tc>
        <w:tc>
          <w:tcPr>
            <w:tcW w:w="1513" w:type="dxa"/>
            <w:vMerge w:val="continue"/>
            <w:tcBorders>
              <w:left w:val="nil"/>
              <w:right w:val="single" w:color="auto" w:sz="8" w:space="0"/>
            </w:tcBorders>
            <w:shd w:val="clear" w:color="auto" w:fill="FFFFFF"/>
            <w:tcMar>
              <w:left w:w="108" w:type="dxa"/>
              <w:right w:w="108" w:type="dxa"/>
            </w:tcMar>
            <w:vAlign w:val="center"/>
          </w:tcPr>
          <w:p w14:paraId="46779A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i w:val="0"/>
                <w:iCs w:val="0"/>
                <w:caps w:val="0"/>
                <w:color w:val="auto"/>
                <w:spacing w:val="0"/>
                <w:sz w:val="24"/>
                <w:szCs w:val="24"/>
              </w:rPr>
            </w:pPr>
          </w:p>
        </w:tc>
        <w:tc>
          <w:tcPr>
            <w:tcW w:w="7442" w:type="dxa"/>
            <w:vMerge w:val="continue"/>
            <w:tcBorders>
              <w:left w:val="nil"/>
              <w:right w:val="single" w:color="auto" w:sz="8" w:space="0"/>
            </w:tcBorders>
            <w:shd w:val="clear" w:color="auto" w:fill="FFFFFF"/>
            <w:tcMar>
              <w:left w:w="108" w:type="dxa"/>
              <w:right w:w="108" w:type="dxa"/>
            </w:tcMar>
            <w:vAlign w:val="center"/>
          </w:tcPr>
          <w:p w14:paraId="6447818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i w:val="0"/>
                <w:iCs w:val="0"/>
                <w:caps w:val="0"/>
                <w:color w:val="auto"/>
                <w:spacing w:val="0"/>
                <w:sz w:val="24"/>
                <w:szCs w:val="24"/>
              </w:rPr>
            </w:pPr>
          </w:p>
        </w:tc>
        <w:tc>
          <w:tcPr>
            <w:tcW w:w="1143" w:type="dxa"/>
            <w:vMerge w:val="continue"/>
            <w:tcBorders>
              <w:left w:val="nil"/>
              <w:right w:val="single" w:color="auto" w:sz="8" w:space="0"/>
            </w:tcBorders>
            <w:shd w:val="clear" w:color="auto" w:fill="FFFFFF"/>
            <w:tcMar>
              <w:left w:w="108" w:type="dxa"/>
              <w:right w:w="108" w:type="dxa"/>
            </w:tcMar>
            <w:vAlign w:val="center"/>
          </w:tcPr>
          <w:p w14:paraId="397F38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i w:val="0"/>
                <w:iCs w:val="0"/>
                <w:caps w:val="0"/>
                <w:color w:val="auto"/>
                <w:spacing w:val="0"/>
                <w:sz w:val="24"/>
                <w:szCs w:val="24"/>
              </w:rPr>
            </w:pPr>
          </w:p>
        </w:tc>
      </w:tr>
      <w:tr w14:paraId="604B223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185"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2193FD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仿宋" w:hAnsi="仿宋" w:eastAsia="仿宋" w:cs="仿宋"/>
                <w:color w:val="auto"/>
                <w:sz w:val="21"/>
                <w:szCs w:val="21"/>
                <w:lang w:val="en-US" w:eastAsia="zh-CN"/>
              </w:rPr>
            </w:pPr>
            <w:r>
              <w:rPr>
                <w:rFonts w:hint="eastAsia" w:ascii="仿宋" w:hAnsi="仿宋" w:eastAsia="仿宋" w:cs="仿宋"/>
                <w:i w:val="0"/>
                <w:iCs w:val="0"/>
                <w:caps w:val="0"/>
                <w:color w:val="auto"/>
                <w:spacing w:val="0"/>
                <w:sz w:val="21"/>
                <w:szCs w:val="21"/>
                <w:lang w:val="en-US" w:eastAsia="zh-CN"/>
              </w:rPr>
              <w:t>28</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3732ED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对职业病危害场所、单位和项目的行政检查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2AFB8F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29B776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465E2F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对职业病危害场所、单位和项目的监管</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5C496759">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法律】《中华人民共和国职业病防治法》第九条国家实行职业卫生监督制度。国务院卫生行政部门、劳动保障行政部门依照本法和国务院确定的职责，负责全国职业病防治的监督管理工作。国务院有关部门在各自的职责范围内负责职业病防治的有关监督管理工作。</w:t>
            </w:r>
          </w:p>
          <w:p w14:paraId="2FE323DD">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第六十二条县级以上人民政府职业卫生监督管理部门依照职业病防治法律、法规、国家职业卫生标准和卫生要求，依据职责划分，对职业病防治工作进行监督检查。</w:t>
            </w:r>
          </w:p>
          <w:p w14:paraId="5C16B4E7">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第八十七条医疗机构放射性职业病危害控制的监督管理，由卫生行政部门依照本法的规定实施。</w:t>
            </w:r>
          </w:p>
          <w:p w14:paraId="3BFFD8F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【行政法规】《放射性同位素与射线装置安全和防护条例》第三条国务院公安、卫生等部门按照职责分工和本条例的规定，对有关放射性同位素、射线装置的安全和防护工作实施监督管理。</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3A3EA9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5518917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726"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5C1177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仿宋" w:hAnsi="仿宋" w:eastAsia="仿宋" w:cs="仿宋"/>
                <w:color w:val="auto"/>
                <w:sz w:val="21"/>
                <w:szCs w:val="21"/>
                <w:lang w:val="en-US" w:eastAsia="zh-CN"/>
              </w:rPr>
            </w:pPr>
            <w:r>
              <w:rPr>
                <w:rFonts w:hint="eastAsia" w:ascii="仿宋" w:hAnsi="仿宋" w:eastAsia="仿宋" w:cs="仿宋"/>
                <w:i w:val="0"/>
                <w:iCs w:val="0"/>
                <w:caps w:val="0"/>
                <w:color w:val="auto"/>
                <w:spacing w:val="0"/>
                <w:sz w:val="21"/>
                <w:szCs w:val="21"/>
                <w:lang w:val="en-US" w:eastAsia="zh-CN"/>
              </w:rPr>
              <w:t>29</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107C0D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对医疗器械使用的行政检查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4B32AA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172C1C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43817F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医疗器械使用单位</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095A7764">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【行政法规】《医疗器械监督管理条例》第七十一条　卫生主管部门应当对医疗机构的医疗器械使用行为加强监督检查。实施监督检查时，可以进入医疗机构，查阅、复制有关档案、记录以及其他有关资料。</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4C1C8D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7D2B917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915" w:hRule="atLeast"/>
        </w:trPr>
        <w:tc>
          <w:tcPr>
            <w:tcW w:w="77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1638D0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仿宋" w:hAnsi="仿宋" w:eastAsia="仿宋" w:cs="仿宋"/>
                <w:color w:val="auto"/>
                <w:sz w:val="21"/>
                <w:szCs w:val="21"/>
                <w:lang w:val="en-US" w:eastAsia="zh-CN"/>
              </w:rPr>
            </w:pPr>
            <w:r>
              <w:rPr>
                <w:rFonts w:hint="eastAsia" w:ascii="仿宋" w:hAnsi="仿宋" w:eastAsia="仿宋" w:cs="仿宋"/>
                <w:i w:val="0"/>
                <w:iCs w:val="0"/>
                <w:caps w:val="0"/>
                <w:color w:val="auto"/>
                <w:spacing w:val="0"/>
                <w:sz w:val="21"/>
                <w:szCs w:val="21"/>
                <w:lang w:val="en-US" w:eastAsia="zh-CN"/>
              </w:rPr>
              <w:t>30</w:t>
            </w:r>
          </w:p>
        </w:tc>
        <w:tc>
          <w:tcPr>
            <w:tcW w:w="1470" w:type="dxa"/>
            <w:tcBorders>
              <w:top w:val="nil"/>
              <w:left w:val="nil"/>
              <w:bottom w:val="single" w:color="auto" w:sz="8" w:space="0"/>
              <w:right w:val="single" w:color="auto" w:sz="8" w:space="0"/>
            </w:tcBorders>
            <w:shd w:val="clear" w:color="auto" w:fill="FFFFFF"/>
            <w:tcMar>
              <w:left w:w="108" w:type="dxa"/>
              <w:right w:w="108" w:type="dxa"/>
            </w:tcMar>
            <w:vAlign w:val="center"/>
          </w:tcPr>
          <w:p w14:paraId="204BC3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对饮用水供水单位和涉及饮用水卫生安全产品的行政检查</w:t>
            </w:r>
          </w:p>
        </w:tc>
        <w:tc>
          <w:tcPr>
            <w:tcW w:w="1365" w:type="dxa"/>
            <w:tcBorders>
              <w:top w:val="nil"/>
              <w:left w:val="nil"/>
              <w:bottom w:val="single" w:color="auto" w:sz="8" w:space="0"/>
              <w:right w:val="single" w:color="auto" w:sz="8" w:space="0"/>
            </w:tcBorders>
            <w:shd w:val="clear" w:color="auto" w:fill="FFFFFF"/>
            <w:tcMar>
              <w:left w:w="108" w:type="dxa"/>
              <w:right w:w="108" w:type="dxa"/>
            </w:tcMar>
            <w:vAlign w:val="center"/>
          </w:tcPr>
          <w:p w14:paraId="502FB9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tcBorders>
              <w:top w:val="nil"/>
              <w:left w:val="nil"/>
              <w:bottom w:val="single" w:color="auto" w:sz="8" w:space="0"/>
              <w:right w:val="single" w:color="auto" w:sz="8" w:space="0"/>
            </w:tcBorders>
            <w:shd w:val="clear" w:color="auto" w:fill="FFFFFF"/>
            <w:tcMar>
              <w:left w:w="108" w:type="dxa"/>
              <w:right w:w="108" w:type="dxa"/>
            </w:tcMar>
            <w:vAlign w:val="center"/>
          </w:tcPr>
          <w:p w14:paraId="445AD2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tcBorders>
              <w:top w:val="nil"/>
              <w:left w:val="nil"/>
              <w:bottom w:val="single" w:color="auto" w:sz="8" w:space="0"/>
              <w:right w:val="single" w:color="auto" w:sz="8" w:space="0"/>
            </w:tcBorders>
            <w:shd w:val="clear" w:color="auto" w:fill="FFFFFF"/>
            <w:tcMar>
              <w:left w:w="108" w:type="dxa"/>
              <w:right w:w="108" w:type="dxa"/>
            </w:tcMar>
            <w:vAlign w:val="center"/>
          </w:tcPr>
          <w:p w14:paraId="4EDA25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企事业单位</w:t>
            </w:r>
          </w:p>
        </w:tc>
        <w:tc>
          <w:tcPr>
            <w:tcW w:w="7442" w:type="dxa"/>
            <w:tcBorders>
              <w:top w:val="nil"/>
              <w:left w:val="nil"/>
              <w:bottom w:val="single" w:color="auto" w:sz="8" w:space="0"/>
              <w:right w:val="single" w:color="auto" w:sz="8" w:space="0"/>
            </w:tcBorders>
            <w:shd w:val="clear" w:color="auto" w:fill="FFFFFF"/>
            <w:tcMar>
              <w:left w:w="108" w:type="dxa"/>
              <w:right w:w="108" w:type="dxa"/>
            </w:tcMar>
            <w:vAlign w:val="center"/>
          </w:tcPr>
          <w:p w14:paraId="55699F20">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【法律】《中华人民共和国传染病防治法》第五十三条县级以上人民政府卫生行政部门对传染病防治工作履行下列监督检查职责：</w:t>
            </w:r>
          </w:p>
          <w:p w14:paraId="5C0FEEF9">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（四）对用于传染防治的消毒产品及其生产单位进行监督检查，并对饮用水供水单位从事生产或者供应活动以及涉及饮用水安全的产品进行监督检查。</w:t>
            </w:r>
          </w:p>
          <w:p w14:paraId="6B2DA6A8">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【部门规章】《生活饮用水卫生监督管理办法》第三条　卫生部主管全国饮用水卫生监督工作，县级以上地方人民政府卫生行政部门主管本行政区域内饮用水卫生监督工作。</w:t>
            </w:r>
          </w:p>
        </w:tc>
        <w:tc>
          <w:tcPr>
            <w:tcW w:w="1143" w:type="dxa"/>
            <w:tcBorders>
              <w:top w:val="nil"/>
              <w:left w:val="nil"/>
              <w:bottom w:val="single" w:color="auto" w:sz="8" w:space="0"/>
              <w:right w:val="single" w:color="auto" w:sz="8" w:space="0"/>
            </w:tcBorders>
            <w:shd w:val="clear" w:color="auto" w:fill="FFFFFF"/>
            <w:tcMar>
              <w:left w:w="108" w:type="dxa"/>
              <w:right w:w="108" w:type="dxa"/>
            </w:tcMar>
            <w:vAlign w:val="center"/>
          </w:tcPr>
          <w:p w14:paraId="446F70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7E2C2D4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336" w:hRule="atLeast"/>
        </w:trPr>
        <w:tc>
          <w:tcPr>
            <w:tcW w:w="770" w:type="dxa"/>
            <w:vMerge w:val="restart"/>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0E14AF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仿宋" w:hAnsi="仿宋" w:eastAsia="仿宋" w:cs="仿宋"/>
                <w:color w:val="auto"/>
                <w:sz w:val="21"/>
                <w:szCs w:val="21"/>
                <w:lang w:val="en-US" w:eastAsia="zh-CN"/>
              </w:rPr>
            </w:pPr>
            <w:r>
              <w:rPr>
                <w:rFonts w:hint="eastAsia" w:ascii="仿宋" w:hAnsi="仿宋" w:eastAsia="仿宋" w:cs="仿宋"/>
                <w:i w:val="0"/>
                <w:iCs w:val="0"/>
                <w:caps w:val="0"/>
                <w:color w:val="auto"/>
                <w:spacing w:val="0"/>
                <w:sz w:val="21"/>
                <w:szCs w:val="21"/>
                <w:lang w:val="en-US" w:eastAsia="zh-CN"/>
              </w:rPr>
              <w:t>31</w:t>
            </w:r>
          </w:p>
        </w:tc>
        <w:tc>
          <w:tcPr>
            <w:tcW w:w="1470" w:type="dxa"/>
            <w:vMerge w:val="restart"/>
            <w:tcBorders>
              <w:top w:val="nil"/>
              <w:left w:val="nil"/>
              <w:right w:val="single" w:color="auto" w:sz="8" w:space="0"/>
            </w:tcBorders>
            <w:shd w:val="clear" w:color="auto" w:fill="FFFFFF"/>
            <w:tcMar>
              <w:left w:w="108" w:type="dxa"/>
              <w:right w:w="108" w:type="dxa"/>
            </w:tcMar>
            <w:vAlign w:val="center"/>
          </w:tcPr>
          <w:p w14:paraId="2EF5318A">
            <w:pP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对托育机构的行政检查</w:t>
            </w:r>
          </w:p>
        </w:tc>
        <w:tc>
          <w:tcPr>
            <w:tcW w:w="1365" w:type="dxa"/>
            <w:vMerge w:val="restart"/>
            <w:tcBorders>
              <w:top w:val="nil"/>
              <w:left w:val="nil"/>
              <w:right w:val="single" w:color="auto" w:sz="8" w:space="0"/>
            </w:tcBorders>
            <w:shd w:val="clear" w:color="auto" w:fill="FFFFFF"/>
            <w:tcMar>
              <w:left w:w="108" w:type="dxa"/>
              <w:right w:w="108" w:type="dxa"/>
            </w:tcMar>
            <w:vAlign w:val="center"/>
          </w:tcPr>
          <w:p w14:paraId="29FAD6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卫生健康委员会</w:t>
            </w:r>
          </w:p>
        </w:tc>
        <w:tc>
          <w:tcPr>
            <w:tcW w:w="1185" w:type="dxa"/>
            <w:vMerge w:val="restart"/>
            <w:tcBorders>
              <w:top w:val="nil"/>
              <w:left w:val="nil"/>
              <w:right w:val="single" w:color="auto" w:sz="8" w:space="0"/>
            </w:tcBorders>
            <w:shd w:val="clear" w:color="auto" w:fill="FFFFFF"/>
            <w:tcMar>
              <w:left w:w="108" w:type="dxa"/>
              <w:right w:w="108" w:type="dxa"/>
            </w:tcMar>
            <w:vAlign w:val="center"/>
          </w:tcPr>
          <w:p w14:paraId="5E1335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lang w:val="en-US" w:eastAsia="zh-CN"/>
              </w:rPr>
              <w:t>海安</w:t>
            </w:r>
            <w:r>
              <w:rPr>
                <w:rFonts w:hint="eastAsia" w:ascii="仿宋" w:hAnsi="仿宋" w:eastAsia="仿宋" w:cs="仿宋"/>
                <w:i w:val="0"/>
                <w:iCs w:val="0"/>
                <w:caps w:val="0"/>
                <w:color w:val="auto"/>
                <w:spacing w:val="0"/>
                <w:sz w:val="21"/>
                <w:szCs w:val="21"/>
                <w:shd w:val="clear" w:fill="FFFFFF"/>
                <w:lang w:eastAsia="zh-CN"/>
              </w:rPr>
              <w:t>市</w:t>
            </w:r>
            <w:r>
              <w:rPr>
                <w:rFonts w:hint="eastAsia" w:ascii="仿宋" w:hAnsi="仿宋" w:eastAsia="仿宋" w:cs="仿宋"/>
                <w:i w:val="0"/>
                <w:iCs w:val="0"/>
                <w:caps w:val="0"/>
                <w:color w:val="auto"/>
                <w:spacing w:val="0"/>
                <w:sz w:val="21"/>
                <w:szCs w:val="21"/>
                <w:shd w:val="clear" w:fill="FFFFFF"/>
              </w:rPr>
              <w:t>卫生监督所</w:t>
            </w:r>
          </w:p>
        </w:tc>
        <w:tc>
          <w:tcPr>
            <w:tcW w:w="1513" w:type="dxa"/>
            <w:vMerge w:val="restart"/>
            <w:tcBorders>
              <w:top w:val="nil"/>
              <w:left w:val="nil"/>
              <w:right w:val="single" w:color="auto" w:sz="8" w:space="0"/>
            </w:tcBorders>
            <w:shd w:val="clear" w:color="auto" w:fill="FFFFFF"/>
            <w:tcMar>
              <w:left w:w="108" w:type="dxa"/>
              <w:right w:w="108" w:type="dxa"/>
            </w:tcMar>
            <w:vAlign w:val="center"/>
          </w:tcPr>
          <w:p w14:paraId="1999AF0A">
            <w:pP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托育机构</w:t>
            </w:r>
          </w:p>
        </w:tc>
        <w:tc>
          <w:tcPr>
            <w:tcW w:w="7442" w:type="dxa"/>
            <w:vMerge w:val="restart"/>
            <w:tcBorders>
              <w:top w:val="nil"/>
              <w:left w:val="nil"/>
              <w:right w:val="single" w:color="auto" w:sz="8" w:space="0"/>
            </w:tcBorders>
            <w:shd w:val="clear" w:color="auto" w:fill="FFFFFF"/>
            <w:tcMar>
              <w:left w:w="108" w:type="dxa"/>
              <w:right w:w="108" w:type="dxa"/>
            </w:tcMar>
            <w:vAlign w:val="center"/>
          </w:tcPr>
          <w:p w14:paraId="0350AB80">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shd w:val="clear" w:fill="FFFFFF"/>
              </w:rPr>
              <w:t>【法律】《中华人民共和国人口与计划生育法》第二十八条  托育机构的设置和服务应当符合托育服务相关标准和规范。托育机构应当向县级人民政府卫生健康主管部门备案。第四十一条 托育机构违反托育服务相关标准和规范的，由卫生健康主管部门责令改正，给予警告；拒不改正的，处五千元以上五万元以下的罚款；情节严重的，责令停止托育服务，并处五万元以上十万元以下的罚款。</w:t>
            </w:r>
          </w:p>
        </w:tc>
        <w:tc>
          <w:tcPr>
            <w:tcW w:w="1143" w:type="dxa"/>
            <w:vMerge w:val="restart"/>
            <w:tcBorders>
              <w:top w:val="nil"/>
              <w:left w:val="nil"/>
              <w:right w:val="single" w:color="auto" w:sz="8" w:space="0"/>
            </w:tcBorders>
            <w:shd w:val="clear" w:color="auto" w:fill="FFFFFF"/>
            <w:tcMar>
              <w:left w:w="108" w:type="dxa"/>
              <w:right w:w="108" w:type="dxa"/>
            </w:tcMar>
            <w:vAlign w:val="center"/>
          </w:tcPr>
          <w:p w14:paraId="33E5B93A">
            <w:pPr>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rPr>
              <w:t>现场检查</w:t>
            </w:r>
          </w:p>
        </w:tc>
      </w:tr>
      <w:tr w14:paraId="0F7D3F7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05" w:hRule="atLeast"/>
        </w:trPr>
        <w:tc>
          <w:tcPr>
            <w:tcW w:w="77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49B37641">
            <w:pPr>
              <w:rPr>
                <w:rFonts w:hint="eastAsia" w:ascii="仿宋" w:hAnsi="仿宋" w:eastAsia="仿宋" w:cs="仿宋"/>
                <w:i w:val="0"/>
                <w:iCs w:val="0"/>
                <w:caps w:val="0"/>
                <w:color w:val="auto"/>
                <w:spacing w:val="0"/>
                <w:sz w:val="24"/>
                <w:szCs w:val="24"/>
              </w:rPr>
            </w:pPr>
          </w:p>
        </w:tc>
        <w:tc>
          <w:tcPr>
            <w:tcW w:w="1470" w:type="dxa"/>
            <w:vMerge w:val="continue"/>
            <w:tcBorders>
              <w:left w:val="nil"/>
              <w:right w:val="single" w:color="auto" w:sz="8" w:space="0"/>
            </w:tcBorders>
            <w:shd w:val="clear" w:color="auto" w:fill="FFFFFF"/>
            <w:tcMar>
              <w:left w:w="108" w:type="dxa"/>
              <w:right w:w="108" w:type="dxa"/>
            </w:tcMar>
            <w:vAlign w:val="center"/>
          </w:tcPr>
          <w:p w14:paraId="3972A4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i w:val="0"/>
                <w:iCs w:val="0"/>
                <w:caps w:val="0"/>
                <w:color w:val="auto"/>
                <w:spacing w:val="0"/>
                <w:sz w:val="24"/>
                <w:szCs w:val="24"/>
              </w:rPr>
            </w:pPr>
          </w:p>
        </w:tc>
        <w:tc>
          <w:tcPr>
            <w:tcW w:w="1365" w:type="dxa"/>
            <w:vMerge w:val="continue"/>
            <w:tcBorders>
              <w:left w:val="nil"/>
              <w:right w:val="single" w:color="auto" w:sz="8" w:space="0"/>
            </w:tcBorders>
            <w:shd w:val="clear" w:color="auto" w:fill="FFFFFF"/>
            <w:tcMar>
              <w:left w:w="108" w:type="dxa"/>
              <w:right w:w="108" w:type="dxa"/>
            </w:tcMar>
            <w:vAlign w:val="center"/>
          </w:tcPr>
          <w:p w14:paraId="058E42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i w:val="0"/>
                <w:iCs w:val="0"/>
                <w:caps w:val="0"/>
                <w:color w:val="auto"/>
                <w:spacing w:val="0"/>
                <w:sz w:val="24"/>
                <w:szCs w:val="24"/>
              </w:rPr>
            </w:pPr>
          </w:p>
        </w:tc>
        <w:tc>
          <w:tcPr>
            <w:tcW w:w="1185" w:type="dxa"/>
            <w:vMerge w:val="continue"/>
            <w:tcBorders>
              <w:left w:val="nil"/>
              <w:right w:val="single" w:color="auto" w:sz="8" w:space="0"/>
            </w:tcBorders>
            <w:shd w:val="clear" w:color="auto" w:fill="FFFFFF"/>
            <w:tcMar>
              <w:left w:w="108" w:type="dxa"/>
              <w:right w:w="108" w:type="dxa"/>
            </w:tcMar>
            <w:vAlign w:val="center"/>
          </w:tcPr>
          <w:p w14:paraId="274E7C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i w:val="0"/>
                <w:iCs w:val="0"/>
                <w:caps w:val="0"/>
                <w:color w:val="auto"/>
                <w:spacing w:val="0"/>
                <w:sz w:val="24"/>
                <w:szCs w:val="24"/>
              </w:rPr>
            </w:pPr>
          </w:p>
        </w:tc>
        <w:tc>
          <w:tcPr>
            <w:tcW w:w="1513" w:type="dxa"/>
            <w:vMerge w:val="continue"/>
            <w:tcBorders>
              <w:left w:val="nil"/>
              <w:right w:val="single" w:color="auto" w:sz="8" w:space="0"/>
            </w:tcBorders>
            <w:shd w:val="clear" w:color="auto" w:fill="FFFFFF"/>
            <w:tcMar>
              <w:left w:w="108" w:type="dxa"/>
              <w:right w:w="108" w:type="dxa"/>
            </w:tcMar>
            <w:vAlign w:val="center"/>
          </w:tcPr>
          <w:p w14:paraId="222010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i w:val="0"/>
                <w:iCs w:val="0"/>
                <w:caps w:val="0"/>
                <w:color w:val="auto"/>
                <w:spacing w:val="0"/>
                <w:sz w:val="24"/>
                <w:szCs w:val="24"/>
              </w:rPr>
            </w:pPr>
          </w:p>
        </w:tc>
        <w:tc>
          <w:tcPr>
            <w:tcW w:w="7442" w:type="dxa"/>
            <w:vMerge w:val="continue"/>
            <w:tcBorders>
              <w:left w:val="nil"/>
              <w:right w:val="single" w:color="auto" w:sz="8" w:space="0"/>
            </w:tcBorders>
            <w:shd w:val="clear" w:color="auto" w:fill="FFFFFF"/>
            <w:tcMar>
              <w:left w:w="108" w:type="dxa"/>
              <w:right w:w="108" w:type="dxa"/>
            </w:tcMar>
            <w:vAlign w:val="center"/>
          </w:tcPr>
          <w:p w14:paraId="72A39630">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 w:hAnsi="仿宋" w:eastAsia="仿宋" w:cs="仿宋"/>
                <w:i w:val="0"/>
                <w:iCs w:val="0"/>
                <w:caps w:val="0"/>
                <w:color w:val="auto"/>
                <w:spacing w:val="0"/>
                <w:sz w:val="24"/>
                <w:szCs w:val="24"/>
              </w:rPr>
            </w:pPr>
          </w:p>
        </w:tc>
        <w:tc>
          <w:tcPr>
            <w:tcW w:w="1143" w:type="dxa"/>
            <w:vMerge w:val="continue"/>
            <w:tcBorders>
              <w:left w:val="nil"/>
              <w:right w:val="single" w:color="auto" w:sz="8" w:space="0"/>
            </w:tcBorders>
            <w:shd w:val="clear" w:color="auto" w:fill="FFFFFF"/>
            <w:tcMar>
              <w:left w:w="108" w:type="dxa"/>
              <w:right w:w="108" w:type="dxa"/>
            </w:tcMar>
            <w:vAlign w:val="center"/>
          </w:tcPr>
          <w:p w14:paraId="7F7310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i w:val="0"/>
                <w:iCs w:val="0"/>
                <w:caps w:val="0"/>
                <w:color w:val="auto"/>
                <w:spacing w:val="0"/>
                <w:sz w:val="24"/>
                <w:szCs w:val="24"/>
              </w:rPr>
            </w:pPr>
          </w:p>
        </w:tc>
      </w:tr>
    </w:tbl>
    <w:p w14:paraId="35E0B5F5"/>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2C12F1"/>
    <w:rsid w:val="1CBB7319"/>
    <w:rsid w:val="220B0E5B"/>
    <w:rsid w:val="394E75AF"/>
    <w:rsid w:val="5F31773D"/>
    <w:rsid w:val="6A2C1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9940</Words>
  <Characters>9967</Characters>
  <Lines>0</Lines>
  <Paragraphs>0</Paragraphs>
  <TotalTime>8</TotalTime>
  <ScaleCrop>false</ScaleCrop>
  <LinksUpToDate>false</LinksUpToDate>
  <CharactersWithSpaces>10008</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2025-06-13T07:21:00Z</dcterms:created>
  <dc:creator>r0amuck</dc:creator>
  <cp:lastModifiedBy>WPS_1658222508</cp:lastModifiedBy>
  <dcterms:modified xsi:type="dcterms:W3CDTF">2025-08-15T07:34:57Z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FE49C5C651A845CAB7BE78347CD8F862_11</vt:lpwstr>
  </property>
  <property fmtid="{D5CDD505-2E9C-101B-9397-08002B2CF9AE}" pid="4" name="KSOTemplateDocerSaveRecord">
    <vt:lpwstr>eyJoZGlkIjoiMGJhZGJmNTBkMTI3ODQyZWZkODljNTY2NjMyZGQzMzIiLCJ1c2VySWQiOiIxMzk0MTk5NzIxIn0=</vt:lpwstr>
  </property>
</Properties>
</file>