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住建局</w:t>
      </w:r>
      <w:r>
        <w:rPr>
          <w:rFonts w:hint="eastAsia" w:ascii="方正小标宋简体" w:hAnsi="方正小标宋简体" w:eastAsia="方正小标宋简体" w:cs="方正小标宋简体"/>
          <w:sz w:val="44"/>
          <w:szCs w:val="44"/>
          <w:lang w:val="en-US" w:eastAsia="zh-CN"/>
        </w:rPr>
        <w:t>2023年2月份重点工作</w:t>
      </w:r>
      <w:r>
        <w:rPr>
          <w:rFonts w:hint="eastAsia" w:ascii="方正小标宋简体" w:hAnsi="方正小标宋简体" w:eastAsia="方正小标宋简体" w:cs="方正小标宋简体"/>
          <w:sz w:val="44"/>
          <w:szCs w:val="44"/>
        </w:rPr>
        <w:t>安排表</w:t>
      </w:r>
    </w:p>
    <w:tbl>
      <w:tblPr>
        <w:tblStyle w:val="8"/>
        <w:tblW w:w="524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7"/>
        <w:gridCol w:w="433"/>
        <w:gridCol w:w="784"/>
        <w:gridCol w:w="77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blHeader/>
          <w:jc w:val="center"/>
        </w:trPr>
        <w:tc>
          <w:tcPr>
            <w:tcW w:w="267" w:type="pct"/>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left="0"/>
              <w:jc w:val="center"/>
              <w:textAlignment w:val="auto"/>
              <w:rPr>
                <w:rFonts w:hint="eastAsia" w:ascii="方正仿宋_GB2312" w:hAnsi="方正仿宋_GB2312" w:eastAsia="方正仿宋_GB2312" w:cs="方正仿宋_GB2312"/>
                <w:b/>
                <w:bCs/>
                <w:color w:val="000000" w:themeColor="text1"/>
                <w:sz w:val="28"/>
                <w:szCs w:val="28"/>
                <w14:textFill>
                  <w14:solidFill>
                    <w14:schemeClr w14:val="tx1"/>
                  </w14:solidFill>
                </w14:textFill>
              </w:rPr>
            </w:pPr>
            <w:r>
              <w:rPr>
                <w:rFonts w:hint="eastAsia" w:ascii="方正仿宋_GB2312" w:hAnsi="方正仿宋_GB2312" w:eastAsia="方正仿宋_GB2312" w:cs="方正仿宋_GB2312"/>
                <w:b/>
                <w:bCs/>
                <w:color w:val="000000" w:themeColor="text1"/>
                <w:sz w:val="28"/>
                <w:szCs w:val="28"/>
                <w14:textFill>
                  <w14:solidFill>
                    <w14:schemeClr w14:val="tx1"/>
                  </w14:solidFill>
                </w14:textFill>
              </w:rPr>
              <w:t>序号</w:t>
            </w:r>
          </w:p>
        </w:tc>
        <w:tc>
          <w:tcPr>
            <w:tcW w:w="641" w:type="pct"/>
            <w:gridSpan w:val="2"/>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left="0"/>
              <w:jc w:val="center"/>
              <w:textAlignment w:val="auto"/>
              <w:rPr>
                <w:rFonts w:hint="eastAsia" w:ascii="方正仿宋_GB2312" w:hAnsi="方正仿宋_GB2312" w:eastAsia="方正仿宋_GB2312" w:cs="方正仿宋_GB2312"/>
                <w:b/>
                <w:bCs/>
                <w:color w:val="000000" w:themeColor="text1"/>
                <w:sz w:val="28"/>
                <w:szCs w:val="28"/>
                <w14:textFill>
                  <w14:solidFill>
                    <w14:schemeClr w14:val="tx1"/>
                  </w14:solidFill>
                </w14:textFill>
              </w:rPr>
            </w:pPr>
            <w:r>
              <w:rPr>
                <w:rFonts w:hint="eastAsia" w:ascii="方正仿宋_GB2312" w:hAnsi="方正仿宋_GB2312" w:eastAsia="方正仿宋_GB2312" w:cs="方正仿宋_GB2312"/>
                <w:b/>
                <w:bCs/>
                <w:color w:val="000000" w:themeColor="text1"/>
                <w:sz w:val="28"/>
                <w:szCs w:val="28"/>
                <w14:textFill>
                  <w14:solidFill>
                    <w14:schemeClr w14:val="tx1"/>
                  </w14:solidFill>
                </w14:textFill>
              </w:rPr>
              <w:t>科室</w:t>
            </w:r>
          </w:p>
          <w:p>
            <w:pPr>
              <w:keepNext w:val="0"/>
              <w:keepLines w:val="0"/>
              <w:pageBreakBefore w:val="0"/>
              <w:widowControl w:val="0"/>
              <w:kinsoku/>
              <w:wordWrap/>
              <w:overflowPunct/>
              <w:topLinePunct w:val="0"/>
              <w:autoSpaceDE/>
              <w:autoSpaceDN/>
              <w:bidi w:val="0"/>
              <w:adjustRightInd/>
              <w:snapToGrid/>
              <w:spacing w:line="360" w:lineRule="exact"/>
              <w:ind w:left="0"/>
              <w:jc w:val="center"/>
              <w:textAlignment w:val="auto"/>
              <w:rPr>
                <w:rFonts w:hint="eastAsia" w:ascii="方正仿宋_GB2312" w:hAnsi="方正仿宋_GB2312" w:eastAsia="方正仿宋_GB2312" w:cs="方正仿宋_GB2312"/>
                <w:b/>
                <w:bCs/>
                <w:color w:val="000000" w:themeColor="text1"/>
                <w:sz w:val="28"/>
                <w:szCs w:val="28"/>
                <w14:textFill>
                  <w14:solidFill>
                    <w14:schemeClr w14:val="tx1"/>
                  </w14:solidFill>
                </w14:textFill>
              </w:rPr>
            </w:pPr>
            <w:r>
              <w:rPr>
                <w:rFonts w:hint="eastAsia" w:ascii="方正仿宋_GB2312" w:hAnsi="方正仿宋_GB2312" w:eastAsia="方正仿宋_GB2312" w:cs="方正仿宋_GB2312"/>
                <w:b/>
                <w:bCs/>
                <w:color w:val="000000" w:themeColor="text1"/>
                <w:sz w:val="28"/>
                <w:szCs w:val="28"/>
                <w14:textFill>
                  <w14:solidFill>
                    <w14:schemeClr w14:val="tx1"/>
                  </w14:solidFill>
                </w14:textFill>
              </w:rPr>
              <w:t>单位</w:t>
            </w:r>
          </w:p>
        </w:tc>
        <w:tc>
          <w:tcPr>
            <w:tcW w:w="4091" w:type="pct"/>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left="0"/>
              <w:jc w:val="center"/>
              <w:textAlignment w:val="auto"/>
              <w:rPr>
                <w:rFonts w:hint="eastAsia" w:ascii="方正仿宋_GB2312" w:hAnsi="方正仿宋_GB2312" w:eastAsia="方正仿宋_GB2312" w:cs="方正仿宋_GB2312"/>
                <w:b/>
                <w:bCs/>
                <w:color w:val="000000" w:themeColor="text1"/>
                <w:w w:val="100"/>
                <w:sz w:val="28"/>
                <w:szCs w:val="28"/>
                <w:lang w:val="en-US" w:eastAsia="zh-CN"/>
                <w14:textFill>
                  <w14:solidFill>
                    <w14:schemeClr w14:val="tx1"/>
                  </w14:solidFill>
                </w14:textFill>
              </w:rPr>
            </w:pPr>
            <w:r>
              <w:rPr>
                <w:rFonts w:hint="eastAsia" w:ascii="方正仿宋_GB2312" w:hAnsi="方正仿宋_GB2312" w:eastAsia="方正仿宋_GB2312" w:cs="方正仿宋_GB2312"/>
                <w:b/>
                <w:bCs/>
                <w:color w:val="000000" w:themeColor="text1"/>
                <w:w w:val="100"/>
                <w:sz w:val="28"/>
                <w:szCs w:val="28"/>
                <w:lang w:val="en-US" w:eastAsia="zh-CN"/>
                <w14:textFill>
                  <w14:solidFill>
                    <w14:schemeClr w14:val="tx1"/>
                  </w14:solidFill>
                </w14:textFill>
              </w:rPr>
              <w:t>2023年2月份</w:t>
            </w:r>
            <w:r>
              <w:rPr>
                <w:rFonts w:hint="eastAsia" w:ascii="方正仿宋_GB2312" w:hAnsi="方正仿宋_GB2312" w:eastAsia="方正仿宋_GB2312" w:cs="方正仿宋_GB2312"/>
                <w:b/>
                <w:bCs/>
                <w:color w:val="000000" w:themeColor="text1"/>
                <w:w w:val="100"/>
                <w:sz w:val="28"/>
                <w:szCs w:val="28"/>
                <w14:textFill>
                  <w14:solidFill>
                    <w14:schemeClr w14:val="tx1"/>
                  </w14:solidFill>
                </w14:textFill>
              </w:rPr>
              <w:t>重点工作</w:t>
            </w:r>
            <w:r>
              <w:rPr>
                <w:rFonts w:hint="eastAsia" w:ascii="方正仿宋_GB2312" w:hAnsi="方正仿宋_GB2312" w:eastAsia="方正仿宋_GB2312" w:cs="方正仿宋_GB2312"/>
                <w:b/>
                <w:bCs/>
                <w:color w:val="000000" w:themeColor="text1"/>
                <w:w w:val="100"/>
                <w:sz w:val="28"/>
                <w:szCs w:val="28"/>
                <w:lang w:eastAsia="zh-CN"/>
                <w14:textFill>
                  <w14:solidFill>
                    <w14:schemeClr w14:val="tx1"/>
                  </w14:solidFill>
                </w14:textFill>
              </w:rPr>
              <w:t>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pacing w:line="400" w:lineRule="exact"/>
              <w:ind w:left="0"/>
              <w:jc w:val="center"/>
              <w:textAlignment w:val="auto"/>
              <w:rPr>
                <w:rFonts w:hint="eastAsia" w:ascii="方正仿宋_GB2312" w:hAnsi="方正仿宋_GB2312" w:eastAsia="方正仿宋_GB2312" w:cs="方正仿宋_GB2312"/>
                <w:b/>
                <w:bCs/>
                <w:color w:val="000000" w:themeColor="text1"/>
                <w:sz w:val="28"/>
                <w:szCs w:val="28"/>
                <w14:textFill>
                  <w14:solidFill>
                    <w14:schemeClr w14:val="tx1"/>
                  </w14:solidFill>
                </w14:textFill>
              </w:rPr>
            </w:pPr>
          </w:p>
        </w:tc>
        <w:tc>
          <w:tcPr>
            <w:tcW w:w="641" w:type="pct"/>
            <w:gridSpan w:val="2"/>
            <w:vMerge w:val="continue"/>
            <w:vAlign w:val="center"/>
          </w:tcPr>
          <w:p>
            <w:pPr>
              <w:keepNext w:val="0"/>
              <w:keepLines w:val="0"/>
              <w:pageBreakBefore w:val="0"/>
              <w:widowControl w:val="0"/>
              <w:kinsoku/>
              <w:wordWrap/>
              <w:overflowPunct/>
              <w:topLinePunct w:val="0"/>
              <w:autoSpaceDE/>
              <w:autoSpaceDN/>
              <w:bidi w:val="0"/>
              <w:adjustRightInd/>
              <w:spacing w:line="400" w:lineRule="exact"/>
              <w:ind w:left="0"/>
              <w:jc w:val="center"/>
              <w:textAlignment w:val="auto"/>
              <w:rPr>
                <w:rFonts w:hint="eastAsia" w:ascii="方正仿宋_GB2312" w:hAnsi="方正仿宋_GB2312" w:eastAsia="方正仿宋_GB2312" w:cs="方正仿宋_GB2312"/>
                <w:b/>
                <w:bCs/>
                <w:color w:val="000000" w:themeColor="text1"/>
                <w:sz w:val="28"/>
                <w:szCs w:val="28"/>
                <w14:textFill>
                  <w14:solidFill>
                    <w14:schemeClr w14:val="tx1"/>
                  </w14:solidFill>
                </w14:textFill>
              </w:rPr>
            </w:pPr>
          </w:p>
        </w:tc>
        <w:tc>
          <w:tcPr>
            <w:tcW w:w="4091" w:type="pct"/>
            <w:vMerge w:val="continue"/>
            <w:vAlign w:val="center"/>
          </w:tcPr>
          <w:p>
            <w:pPr>
              <w:keepNext w:val="0"/>
              <w:keepLines w:val="0"/>
              <w:pageBreakBefore w:val="0"/>
              <w:widowControl w:val="0"/>
              <w:kinsoku/>
              <w:wordWrap/>
              <w:overflowPunct/>
              <w:topLinePunct w:val="0"/>
              <w:autoSpaceDE/>
              <w:autoSpaceDN/>
              <w:bidi w:val="0"/>
              <w:adjustRightInd/>
              <w:spacing w:line="400" w:lineRule="exact"/>
              <w:ind w:left="0"/>
              <w:jc w:val="center"/>
              <w:textAlignment w:val="auto"/>
              <w:rPr>
                <w:rFonts w:hint="eastAsia" w:ascii="方正仿宋_GB2312" w:hAnsi="方正仿宋_GB2312" w:eastAsia="方正仿宋_GB2312" w:cs="方正仿宋_GB2312"/>
                <w:b/>
                <w:bCs/>
                <w:color w:val="000000" w:themeColor="text1"/>
                <w:w w:val="100"/>
                <w:sz w:val="28"/>
                <w:szCs w:val="28"/>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7"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办公室</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ind w:left="0"/>
              <w:jc w:val="both"/>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1.做好2022年度局党组民主生活会召开工作；</w:t>
            </w:r>
          </w:p>
          <w:p>
            <w:pPr>
              <w:pStyle w:val="2"/>
              <w:keepNext w:val="0"/>
              <w:keepLines w:val="0"/>
              <w:pageBreakBefore w:val="0"/>
              <w:widowControl w:val="0"/>
              <w:kinsoku/>
              <w:wordWrap/>
              <w:overflowPunct/>
              <w:topLinePunct w:val="0"/>
              <w:autoSpaceDE/>
              <w:autoSpaceDN/>
              <w:bidi w:val="0"/>
              <w:adjustRightInd/>
              <w:spacing w:line="400" w:lineRule="exact"/>
              <w:ind w:left="0"/>
              <w:jc w:val="both"/>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2.做好局2022年度总结大会召开工作（工作报告、表彰决定、工作意见、责任状等）；</w:t>
            </w:r>
          </w:p>
          <w:p>
            <w:pPr>
              <w:pStyle w:val="2"/>
              <w:keepNext w:val="0"/>
              <w:keepLines w:val="0"/>
              <w:pageBreakBefore w:val="0"/>
              <w:widowControl w:val="0"/>
              <w:kinsoku/>
              <w:wordWrap/>
              <w:overflowPunct/>
              <w:topLinePunct w:val="0"/>
              <w:autoSpaceDE/>
              <w:autoSpaceDN/>
              <w:bidi w:val="0"/>
              <w:adjustRightInd/>
              <w:spacing w:line="400" w:lineRule="exact"/>
              <w:ind w:left="0"/>
              <w:jc w:val="both"/>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3.做好海安年鉴住建部分相关内容收集编纂工作；</w:t>
            </w:r>
          </w:p>
          <w:p>
            <w:pPr>
              <w:pStyle w:val="2"/>
              <w:keepNext w:val="0"/>
              <w:keepLines w:val="0"/>
              <w:pageBreakBefore w:val="0"/>
              <w:widowControl w:val="0"/>
              <w:kinsoku/>
              <w:wordWrap/>
              <w:overflowPunct/>
              <w:topLinePunct w:val="0"/>
              <w:autoSpaceDE/>
              <w:autoSpaceDN/>
              <w:bidi w:val="0"/>
              <w:adjustRightInd/>
              <w:spacing w:line="400" w:lineRule="exact"/>
              <w:ind w:left="0"/>
              <w:jc w:val="both"/>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4.配合做好市“月月看、家家到”相关项目开工相关准备工作；</w:t>
            </w:r>
          </w:p>
          <w:p>
            <w:pPr>
              <w:pStyle w:val="2"/>
              <w:keepNext w:val="0"/>
              <w:keepLines w:val="0"/>
              <w:pageBreakBefore w:val="0"/>
              <w:widowControl w:val="0"/>
              <w:kinsoku/>
              <w:wordWrap/>
              <w:overflowPunct/>
              <w:topLinePunct w:val="0"/>
              <w:autoSpaceDE/>
              <w:autoSpaceDN/>
              <w:bidi w:val="0"/>
              <w:adjustRightInd/>
              <w:spacing w:line="400" w:lineRule="exact"/>
              <w:ind w:left="0"/>
              <w:jc w:val="both"/>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5.根据人大、政协工作安排，做好人大代表建议、政协委员提案的审核接办工作。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4"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2</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财务科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2022年度会计档案整理、归档；</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完成局机关、事业、城维等账套结旧账、建新账工作；</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根据政府信息公开要求，做好2023年部门预算公开工作；</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4</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将年度预算分解到各相关科室、单位，并督促严格按预算执行。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2"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3</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法制科</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lang w:val="en-US" w:eastAsia="zh-CN"/>
                <w14:textFill>
                  <w14:solidFill>
                    <w14:schemeClr w14:val="tx1"/>
                  </w14:solidFill>
                </w14:textFill>
              </w:rPr>
              <w:t>1.</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筹划2023年度住建局信访工作、安全生产、法治建设等，调整领导小组，制定2023年工作意见</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lang w:val="en-US" w:eastAsia="zh-CN"/>
                <w14:textFill>
                  <w14:solidFill>
                    <w14:schemeClr w14:val="tx1"/>
                  </w14:solidFill>
                </w14:textFill>
              </w:rPr>
              <w:t>2.</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准备2022年度总结表彰大会各类责任书、承诺书</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lang w:val="en-US" w:eastAsia="zh-CN"/>
                <w14:textFill>
                  <w14:solidFill>
                    <w14:schemeClr w14:val="tx1"/>
                  </w14:solidFill>
                </w14:textFill>
              </w:rPr>
              <w:t>3.</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继续开展好住建系统冬季安全专项治理及重大隐患专项整治</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lang w:val="en-US" w:eastAsia="zh-CN"/>
                <w14:textFill>
                  <w14:solidFill>
                    <w14:schemeClr w14:val="tx1"/>
                  </w14:solidFill>
                </w14:textFill>
              </w:rPr>
              <w:t>4.</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对重点信访及网络舆情及时回复。（桃源里，目前南通市住建局、市委宣传部、市信访局比较关注）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9"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4</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pacing w:val="-20"/>
                <w:w w:val="80"/>
                <w:sz w:val="28"/>
                <w:szCs w:val="28"/>
                <w14:textFill>
                  <w14:solidFill>
                    <w14:schemeClr w14:val="tx1"/>
                  </w14:solidFill>
                </w14:textFill>
              </w:rPr>
            </w:pPr>
            <w:r>
              <w:rPr>
                <w:rFonts w:hint="eastAsia" w:ascii="方正仿宋_GB2312" w:hAnsi="方正仿宋_GB2312" w:eastAsia="方正仿宋_GB2312" w:cs="方正仿宋_GB2312"/>
                <w:color w:val="000000" w:themeColor="text1"/>
                <w:spacing w:val="-20"/>
                <w:w w:val="80"/>
                <w:sz w:val="28"/>
                <w:szCs w:val="28"/>
                <w14:textFill>
                  <w14:solidFill>
                    <w14:schemeClr w14:val="tx1"/>
                  </w14:solidFill>
                </w14:textFill>
              </w:rPr>
              <w:t>住房保障</w:t>
            </w:r>
          </w:p>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pacing w:val="-20"/>
                <w:w w:val="80"/>
                <w:sz w:val="28"/>
                <w:szCs w:val="28"/>
                <w14:textFill>
                  <w14:solidFill>
                    <w14:schemeClr w14:val="tx1"/>
                  </w14:solidFill>
                </w14:textFill>
              </w:rPr>
            </w:pPr>
            <w:r>
              <w:rPr>
                <w:rFonts w:hint="eastAsia" w:ascii="方正仿宋_GB2312" w:hAnsi="方正仿宋_GB2312" w:eastAsia="方正仿宋_GB2312" w:cs="方正仿宋_GB2312"/>
                <w:color w:val="000000" w:themeColor="text1"/>
                <w:spacing w:val="-20"/>
                <w:w w:val="80"/>
                <w:sz w:val="28"/>
                <w:szCs w:val="28"/>
                <w14:textFill>
                  <w14:solidFill>
                    <w14:schemeClr w14:val="tx1"/>
                  </w14:solidFill>
                </w14:textFill>
              </w:rPr>
              <w:t>与房地产</w:t>
            </w:r>
          </w:p>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pacing w:val="-20"/>
                <w:sz w:val="28"/>
                <w:szCs w:val="28"/>
                <w14:textFill>
                  <w14:solidFill>
                    <w14:schemeClr w14:val="tx1"/>
                  </w14:solidFill>
                </w14:textFill>
              </w:rPr>
            </w:pPr>
            <w:r>
              <w:rPr>
                <w:rFonts w:hint="eastAsia" w:ascii="方正仿宋_GB2312" w:hAnsi="方正仿宋_GB2312" w:eastAsia="方正仿宋_GB2312" w:cs="方正仿宋_GB2312"/>
                <w:color w:val="000000" w:themeColor="text1"/>
                <w:spacing w:val="-20"/>
                <w:w w:val="80"/>
                <w:sz w:val="28"/>
                <w:szCs w:val="28"/>
                <w14:textFill>
                  <w14:solidFill>
                    <w14:schemeClr w14:val="tx1"/>
                  </w14:solidFill>
                </w14:textFill>
              </w:rPr>
              <w:t>监管科</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1.对2023年拟交付项目进行梳理排查，分析其财务状况、工程进度、交付风险、质量评估等；</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2.开展走访调研，了解各房地产开发企业及项目的全年计划、推进情况。帮助其解决困难，做好服务；</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3.做好节后房地产项目开工仪式；</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4.督促桃源里、钻石大厦施工进度，做好其交付前的各项指导工作。妥善处理好涉及延期交付的舆情。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7"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5</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城市</w:t>
            </w:r>
          </w:p>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建设科</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1.平桥河生态综合整治（二期）施工招标挂网，尽可能完成招标；</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2.督促高新区达标区D区建设尽快完成招标并进场；</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3.组织丹凤路改造工程设计及前期杆线迁改设计工作；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4.组织南海大道可实施部分的工程量核对；</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5.中坝路临街建筑功能提升项目亮化部分进场施工。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2"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6</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村镇</w:t>
            </w:r>
          </w:p>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建设科</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1.完成村镇2022年报系统的填报；</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2.提前谋划传统村落白蚁治理工作；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3.准备开展对各区镇农民建房等重点工作的调研；</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4.确定2023年农村生活污水治理任务，督促水务公司尽快确定方案编制设计单位；</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5.准备南通市特色田园乡村验收工作；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6.研究2023年城建杯考核办法文件。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6"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7</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工程科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napToGrid w:val="0"/>
              <w:spacing w:line="400" w:lineRule="exact"/>
              <w:jc w:val="both"/>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做好</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拖欠农民工工资信访</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处置以及</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在建项目保障农民工工资支付工作检查；</w:t>
            </w:r>
          </w:p>
          <w:p>
            <w:pPr>
              <w:pStyle w:val="2"/>
              <w:keepNext w:val="0"/>
              <w:keepLines w:val="0"/>
              <w:pageBreakBefore w:val="0"/>
              <w:widowControl w:val="0"/>
              <w:kinsoku/>
              <w:wordWrap/>
              <w:overflowPunct/>
              <w:topLinePunct w:val="0"/>
              <w:autoSpaceDE/>
              <w:autoSpaceDN/>
              <w:bidi w:val="0"/>
              <w:adjustRightInd/>
              <w:snapToGrid w:val="0"/>
              <w:spacing w:line="400" w:lineRule="exact"/>
              <w:jc w:val="both"/>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lang w:val="en-US" w:eastAsia="zh-CN"/>
                <w14:textFill>
                  <w14:solidFill>
                    <w14:schemeClr w14:val="tx1"/>
                  </w14:solidFill>
                </w14:textFill>
              </w:rPr>
              <w:t>2</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对监理企业信用进行考核评分</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lang w:val="en-US" w:eastAsia="zh-CN"/>
                <w14:textFill>
                  <w14:solidFill>
                    <w14:schemeClr w14:val="tx1"/>
                  </w14:solidFill>
                </w14:textFill>
              </w:rPr>
              <w:t>3</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.做好汽车及零部件产业链培育相关工作。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6"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8</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防震</w:t>
            </w:r>
          </w:p>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减灾科</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1.制定年度工作计划；</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2.地震易发区房屋设施加固工程2022年度工作总结和2023年计划，草拟年鉴相关内容；</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3.制定2023年度震情监视跟踪和应急准备工作方案；</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4.跟踪七星湖应急避难场所建设；</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5.科室日常工作、条线和领导交办工作。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9</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消防管理科</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1.整理消防验收备案申报流程，明确申报要件，制定申报范例；</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2.研究消防审验专家增选名单的申报办法和申报流程；</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3.组织学习2023年1月发布的建筑防火通用规范；</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4.开展消防审验日常工作。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5"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10</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人防管理科</w:t>
            </w:r>
          </w:p>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（人防指挥所）</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做好人防档案资料整理归集</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督促相关人防工程整改工作</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根据项目推进情况做好桃源里、钻石商务大厦人防工程竣工验收工作</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4</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根据省市人防工作要点制定2023年人防工作计划</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5</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完成其他交办工作。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9"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11</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中心办</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1.对接汽车及零部件产业链发展座谈会相关工作</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2.按序时进度要求推进凯奥净化企业上市工作、协调互邦电力企业上市相关问题</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3.走访“两区”，了解、跟进产学研合作意向企业</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4.围绕“军民融合”考核，走访企业了解军工订单信息</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b w:val="0"/>
                <w:bCs w:val="0"/>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5.针对当前中心工作考核要求提前谋划同时完成相关考核部门交办的日常工作</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1"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12</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房产交易中心</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1.持续做好项目服务；</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2.做好商品房交易备案、存量房交易备案、房屋租赁备案、商品房网上合同备案等日常工作；</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3.按月上报群众满意度测评数据；</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4.按房地产市场调控要求，进行商品房合同备案；</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5.继续推进全市安置房办证工作；</w:t>
            </w:r>
          </w:p>
          <w:p>
            <w:pPr>
              <w:pStyle w:val="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6.完成领导交办的其他工作。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5"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13</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质监站</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1.开展质监人员春季培训工作；</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2.桃源里、钻石大厦、绿城等三个楼盘组织分户验收检查；</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3.督促君望澜庭、星澜都会地下室裂缝、渗漏整改；</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4.信访调处。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2"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14</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施工图</w:t>
            </w:r>
          </w:p>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审查室</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1.完成数字化审图系统运维服务招采工作；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2.着手将到期注册人员更新寻招、变更注册工作；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3.跟踪做好项目变更管理及涉访问题技术服务工作；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Chars="0"/>
              <w:textAlignment w:val="auto"/>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shd w:val="clear" w:color="auto" w:fill="auto"/>
                <w:lang w:val="en-US" w:eastAsia="zh-CN" w:bidi="ar-SA"/>
                <w14:textFill>
                  <w14:solidFill>
                    <w14:schemeClr w14:val="tx1"/>
                  </w14:solidFill>
                </w14:textFill>
              </w:rPr>
              <w:t>4.做好重点工程项目技术服务工作。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9"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15</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z w:val="28"/>
                <w:szCs w:val="28"/>
                <w:shd w:val="clear" w:color="auto" w:fill="auto"/>
                <w:lang w:val="en-US" w:eastAsia="zh-CN"/>
                <w14:textFill>
                  <w14:solidFill>
                    <w14:schemeClr w14:val="tx1"/>
                  </w14:solidFill>
                </w14:textFill>
              </w:rPr>
              <w:t>造价处</w:t>
            </w:r>
          </w:p>
        </w:tc>
        <w:tc>
          <w:tcPr>
            <w:tcW w:w="4091" w:type="pct"/>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1.发布2023年2月份海安市建筑材料信息；</w:t>
            </w:r>
          </w:p>
          <w:p>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2.施工现场扬尘污染防治费及现场安全文明措施费核定；</w:t>
            </w:r>
          </w:p>
          <w:p>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3.继续征订、发放造价信息、做好定额解释、造价纠纷调解等日常工作；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1"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16</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textAlignment w:val="auto"/>
              <w:rPr>
                <w:rFonts w:hint="eastAsia" w:ascii="方正仿宋_GB2312" w:hAnsi="方正仿宋_GB2312" w:eastAsia="方正仿宋_GB2312" w:cs="方正仿宋_GB2312"/>
                <w:color w:val="000000" w:themeColor="text1"/>
                <w:kern w:val="2"/>
                <w:sz w:val="28"/>
                <w:szCs w:val="28"/>
                <w:shd w:val="clear" w:color="auto" w:fill="auto"/>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sz w:val="28"/>
                <w:szCs w:val="28"/>
                <w14:textFill>
                  <w14:solidFill>
                    <w14:schemeClr w14:val="tx1"/>
                  </w14:solidFill>
                </w14:textFill>
              </w:rPr>
              <w:t>绿色建筑推广中心</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1.服务指导布雷尼、联泷等墙材企业申报省新型墙材产品认定证书；</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2.向市监局、交运局、环保局、公安局等部门征集预拌混凝土企业2022年度信用信息，结合1月份现场检查情况，汇总混凝土企业年度信用考核结果，并上报南通市住建局；</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3.督促混凝土企业、墙材企业做好节后复工的安全生产及绿色生产；</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4.做好谭市长2月份召开汽车及零部件产业链发展座谈会相关准备工作；</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5.督促各区镇按海政办发〔2022〕110号文件要求做好辖区范围内混凝土行业整治常态化推进工作；</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6.按省工信厅要求，指导我市墙体材料、预拌混凝土、预拌砂浆等企业的填写基本情况调查表，并将数据汇总上报至南通市局。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2"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17</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城乡</w:t>
            </w:r>
          </w:p>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建设</w:t>
            </w:r>
          </w:p>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档案馆</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1.做好工程档案接收、整理、保管、利用、业务指导等日常服务工作；</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持续推进涉企工程和民生工程档案服务；</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3.继续开展系统内城建档案业务指导，加强市政、地下管网工程档案的收集；</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4.继续深入指导全市村镇建设档案工作，对2023年拟复评区镇开展重点走访指导；</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5.推进《建设工程声像档案管理标准》宣传贯彻工作，加强城市更新和特色田园建设档案收集拍摄。</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6.配合物业完成馆库安全维护检查和年度检测工作</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6"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18</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园林</w:t>
            </w:r>
          </w:p>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绿化</w:t>
            </w:r>
          </w:p>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管理处</w:t>
            </w:r>
          </w:p>
        </w:tc>
        <w:tc>
          <w:tcPr>
            <w:tcW w:w="4091" w:type="pct"/>
            <w:vAlign w:val="center"/>
          </w:tcPr>
          <w:p>
            <w:pPr>
              <w:pStyle w:val="2"/>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1.做好公园、广场、景点安全督查相关工作；</w:t>
            </w:r>
          </w:p>
          <w:p>
            <w:pPr>
              <w:pStyle w:val="2"/>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w:t>
            </w:r>
            <w:r>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t>.</w:t>
            </w:r>
            <w:r>
              <w:rPr>
                <w:rFonts w:hint="eastAsia" w:ascii="方正仿宋_GB2312" w:hAnsi="方正仿宋_GB2312" w:eastAsia="方正仿宋_GB2312" w:cs="方正仿宋_GB2312"/>
                <w:color w:val="000000" w:themeColor="text1"/>
                <w:w w:val="100"/>
                <w:kern w:val="0"/>
                <w:sz w:val="28"/>
                <w:szCs w:val="28"/>
                <w:lang w:eastAsia="zh-CN"/>
                <w14:textFill>
                  <w14:solidFill>
                    <w14:schemeClr w14:val="tx1"/>
                  </w14:solidFill>
                </w14:textFill>
              </w:rPr>
              <w:t>督促</w:t>
            </w:r>
            <w:r>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t>城建集团完成彩虹幼儿园附近公厕的</w:t>
            </w:r>
            <w:r>
              <w:rPr>
                <w:rFonts w:hint="eastAsia" w:ascii="方正仿宋_GB2312" w:hAnsi="方正仿宋_GB2312" w:eastAsia="方正仿宋_GB2312" w:cs="方正仿宋_GB2312"/>
                <w:color w:val="000000" w:themeColor="text1"/>
                <w:w w:val="100"/>
                <w:kern w:val="0"/>
                <w:sz w:val="28"/>
                <w:szCs w:val="28"/>
                <w:lang w:eastAsia="zh-CN"/>
                <w14:textFill>
                  <w14:solidFill>
                    <w14:schemeClr w14:val="tx1"/>
                  </w14:solidFill>
                </w14:textFill>
              </w:rPr>
              <w:t>招投标及进场施工</w:t>
            </w:r>
            <w:r>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t>工作；</w:t>
            </w:r>
          </w:p>
          <w:p>
            <w:pPr>
              <w:pStyle w:val="2"/>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w w:val="100"/>
                <w:kern w:val="0"/>
                <w:sz w:val="28"/>
                <w:szCs w:val="28"/>
                <w:lang w:val="en-US" w:eastAsia="zh-CN"/>
                <w14:textFill>
                  <w14:solidFill>
                    <w14:schemeClr w14:val="tx1"/>
                  </w14:solidFill>
                </w14:textFill>
              </w:rPr>
              <w:t>3</w:t>
            </w:r>
            <w:r>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t>.做好在建工程</w:t>
            </w:r>
            <w:r>
              <w:rPr>
                <w:rFonts w:hint="eastAsia" w:ascii="方正仿宋_GB2312" w:hAnsi="方正仿宋_GB2312" w:eastAsia="方正仿宋_GB2312" w:cs="方正仿宋_GB2312"/>
                <w:color w:val="000000" w:themeColor="text1"/>
                <w:w w:val="100"/>
                <w:kern w:val="0"/>
                <w:sz w:val="28"/>
                <w:szCs w:val="28"/>
                <w:lang w:eastAsia="zh-CN"/>
                <w14:textFill>
                  <w14:solidFill>
                    <w14:schemeClr w14:val="tx1"/>
                  </w14:solidFill>
                </w14:textFill>
              </w:rPr>
              <w:t>苗木更换及补植；</w:t>
            </w:r>
          </w:p>
          <w:p>
            <w:pPr>
              <w:pStyle w:val="2"/>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kern w:val="0"/>
                <w:sz w:val="28"/>
                <w:szCs w:val="28"/>
                <w:lang w:val="en-US" w:eastAsia="zh-CN"/>
                <w14:textFill>
                  <w14:solidFill>
                    <w14:schemeClr w14:val="tx1"/>
                  </w14:solidFill>
                </w14:textFill>
              </w:rPr>
              <w:t>4.</w:t>
            </w:r>
            <w:r>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t>继续做好在建工程资料完善及计量送审；</w:t>
            </w:r>
          </w:p>
          <w:p>
            <w:pPr>
              <w:pStyle w:val="2"/>
              <w:keepNext w:val="0"/>
              <w:keepLines w:val="0"/>
              <w:pageBreakBefore w:val="0"/>
              <w:widowControl w:val="0"/>
              <w:tabs>
                <w:tab w:val="clear" w:pos="4153"/>
              </w:tabs>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kern w:val="0"/>
                <w:sz w:val="28"/>
                <w:szCs w:val="28"/>
                <w:lang w:val="en-US" w:eastAsia="zh-CN"/>
                <w14:textFill>
                  <w14:solidFill>
                    <w14:schemeClr w14:val="tx1"/>
                  </w14:solidFill>
                </w14:textFill>
              </w:rPr>
              <w:t>5</w:t>
            </w:r>
            <w:r>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t>.</w:t>
            </w:r>
            <w:r>
              <w:rPr>
                <w:rFonts w:hint="eastAsia" w:ascii="方正仿宋_GB2312" w:hAnsi="方正仿宋_GB2312" w:eastAsia="方正仿宋_GB2312" w:cs="方正仿宋_GB2312"/>
                <w:color w:val="000000" w:themeColor="text1"/>
                <w:w w:val="100"/>
                <w:kern w:val="0"/>
                <w:sz w:val="28"/>
                <w:szCs w:val="28"/>
                <w:lang w:eastAsia="zh-CN"/>
                <w14:textFill>
                  <w14:solidFill>
                    <w14:schemeClr w14:val="tx1"/>
                  </w14:solidFill>
                </w14:textFill>
              </w:rPr>
              <w:t>督促中标单位加快推进长江路世纪大桥及</w:t>
            </w:r>
            <w:r>
              <w:rPr>
                <w:rFonts w:hint="eastAsia" w:ascii="方正仿宋_GB2312" w:hAnsi="方正仿宋_GB2312" w:eastAsia="方正仿宋_GB2312" w:cs="方正仿宋_GB2312"/>
                <w:color w:val="000000" w:themeColor="text1"/>
                <w:w w:val="100"/>
                <w:kern w:val="0"/>
                <w:sz w:val="28"/>
                <w:szCs w:val="28"/>
                <w:lang w:val="en-US" w:eastAsia="zh-CN"/>
                <w14:textFill>
                  <w14:solidFill>
                    <w14:schemeClr w14:val="tx1"/>
                  </w14:solidFill>
                </w14:textFill>
              </w:rPr>
              <w:t>周边景观</w:t>
            </w:r>
            <w:r>
              <w:rPr>
                <w:rFonts w:hint="eastAsia" w:ascii="方正仿宋_GB2312" w:hAnsi="方正仿宋_GB2312" w:eastAsia="方正仿宋_GB2312" w:cs="方正仿宋_GB2312"/>
                <w:color w:val="000000" w:themeColor="text1"/>
                <w:w w:val="100"/>
                <w:kern w:val="0"/>
                <w:sz w:val="28"/>
                <w:szCs w:val="28"/>
                <w:lang w:eastAsia="zh-CN"/>
                <w14:textFill>
                  <w14:solidFill>
                    <w14:schemeClr w14:val="tx1"/>
                  </w14:solidFill>
                </w14:textFill>
              </w:rPr>
              <w:t>绿化工程</w:t>
            </w:r>
            <w:r>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t>；</w:t>
            </w:r>
          </w:p>
          <w:p>
            <w:pPr>
              <w:pStyle w:val="2"/>
              <w:keepNext w:val="0"/>
              <w:keepLines w:val="0"/>
              <w:pageBreakBefore w:val="0"/>
              <w:widowControl w:val="0"/>
              <w:tabs>
                <w:tab w:val="clear" w:pos="4153"/>
              </w:tabs>
              <w:kinsoku/>
              <w:wordWrap/>
              <w:overflowPunct/>
              <w:topLinePunct w:val="0"/>
              <w:autoSpaceDE/>
              <w:autoSpaceDN/>
              <w:bidi w:val="0"/>
              <w:adjustRightInd/>
              <w:snapToGrid/>
              <w:spacing w:line="400" w:lineRule="exact"/>
              <w:jc w:val="both"/>
              <w:textAlignment w:val="auto"/>
              <w:rPr>
                <w:rFonts w:hint="eastAsia" w:ascii="方正仿宋_GB2312" w:hAnsi="方正仿宋_GB2312" w:eastAsia="方正仿宋_GB2312" w:cs="方正仿宋_GB2312"/>
                <w:color w:val="000000" w:themeColor="text1"/>
                <w:w w:val="100"/>
                <w:kern w:val="0"/>
                <w:sz w:val="28"/>
                <w:szCs w:val="28"/>
                <w:lang w:val="en-US" w:eastAsia="zh-CN"/>
                <w14:textFill>
                  <w14:solidFill>
                    <w14:schemeClr w14:val="tx1"/>
                  </w14:solidFill>
                </w14:textFill>
              </w:rPr>
            </w:pPr>
            <w:r>
              <w:rPr>
                <w:rFonts w:hint="eastAsia" w:ascii="方正仿宋_GB2312" w:hAnsi="方正仿宋_GB2312" w:eastAsia="方正仿宋_GB2312" w:cs="方正仿宋_GB2312"/>
                <w:color w:val="000000" w:themeColor="text1"/>
                <w:w w:val="100"/>
                <w:kern w:val="0"/>
                <w:sz w:val="28"/>
                <w:szCs w:val="28"/>
                <w:lang w:val="en-US" w:eastAsia="zh-CN"/>
                <w14:textFill>
                  <w14:solidFill>
                    <w14:schemeClr w14:val="tx1"/>
                  </w14:solidFill>
                </w14:textFill>
              </w:rPr>
              <w:t>6.做好江苏省生态园林城市申报的相关准备工作；</w:t>
            </w:r>
          </w:p>
          <w:p>
            <w:pPr>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0"/>
                <w:sz w:val="28"/>
                <w:szCs w:val="28"/>
                <w:lang w:val="en-US" w:eastAsia="zh-CN"/>
                <w14:textFill>
                  <w14:solidFill>
                    <w14:schemeClr w14:val="tx1"/>
                  </w14:solidFill>
                </w14:textFill>
              </w:rPr>
              <w:t>7</w:t>
            </w:r>
            <w:r>
              <w:rPr>
                <w:rFonts w:hint="eastAsia" w:ascii="方正仿宋_GB2312" w:hAnsi="方正仿宋_GB2312" w:eastAsia="方正仿宋_GB2312" w:cs="方正仿宋_GB2312"/>
                <w:color w:val="000000" w:themeColor="text1"/>
                <w:w w:val="100"/>
                <w:kern w:val="0"/>
                <w:sz w:val="28"/>
                <w:szCs w:val="28"/>
                <w14:textFill>
                  <w14:solidFill>
                    <w14:schemeClr w14:val="tx1"/>
                  </w14:solidFill>
                </w14:textFill>
              </w:rPr>
              <w:t>.督促城建集团做好微空间整治工作。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2" w:hRule="atLeast"/>
          <w:jc w:val="center"/>
        </w:trPr>
        <w:tc>
          <w:tcPr>
            <w:tcW w:w="267"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r>
              <w:rPr>
                <w:rFonts w:hint="eastAsia" w:ascii="方正仿宋_GB2312" w:hAnsi="方正仿宋_GB2312" w:eastAsia="方正仿宋_GB2312" w:cs="方正仿宋_GB2312"/>
                <w:color w:val="000000" w:themeColor="text1"/>
                <w:sz w:val="28"/>
                <w:szCs w:val="28"/>
                <w14:textFill>
                  <w14:solidFill>
                    <w14:schemeClr w14:val="tx1"/>
                  </w14:solidFill>
                </w14:textFill>
              </w:rPr>
              <w:t>19</w:t>
            </w:r>
          </w:p>
        </w:tc>
        <w:tc>
          <w:tcPr>
            <w:tcW w:w="641" w:type="pct"/>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14:textFill>
                  <w14:solidFill>
                    <w14:schemeClr w14:val="tx1"/>
                  </w14:solidFill>
                </w14:textFill>
              </w:rPr>
              <w:t>市政公</w:t>
            </w:r>
          </w:p>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14:textFill>
                  <w14:solidFill>
                    <w14:schemeClr w14:val="tx1"/>
                  </w14:solidFill>
                </w14:textFill>
              </w:rPr>
              <w:t>用事业</w:t>
            </w:r>
          </w:p>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14:textFill>
                  <w14:solidFill>
                    <w14:schemeClr w14:val="tx1"/>
                  </w14:solidFill>
                </w14:textFill>
              </w:rPr>
              <w:t>服务中心</w:t>
            </w:r>
          </w:p>
        </w:tc>
        <w:tc>
          <w:tcPr>
            <w:tcW w:w="4091" w:type="pct"/>
            <w:vAlign w:val="center"/>
          </w:tcPr>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1.开展城镇燃气安全生产大检查，做好燃气行业复工复产安全生产工作；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2.召开燃气安全管理工作会议，签订年度安全生产目标责任书，部署安全生产重点工作；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3.做好2023年使用管道气低保及特困人员安装燃气泄漏安全保护装置为民办实事项目底数核查等前期准备工作；</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4.2023年度燃气安全第三方技术服务项目招标；</w:t>
            </w:r>
          </w:p>
          <w:p>
            <w:pPr>
              <w:pStyle w:val="2"/>
              <w:keepNext w:val="0"/>
              <w:keepLines w:val="0"/>
              <w:pageBreakBefore w:val="0"/>
              <w:widowControl w:val="0"/>
              <w:numPr>
                <w:ilvl w:val="0"/>
                <w:numId w:val="0"/>
              </w:numPr>
              <w:kinsoku/>
              <w:wordWrap/>
              <w:overflowPunct/>
              <w:topLinePunct w:val="0"/>
              <w:autoSpaceDE/>
              <w:autoSpaceDN/>
              <w:bidi w:val="0"/>
              <w:adjustRightInd/>
              <w:spacing w:line="400" w:lineRule="exact"/>
              <w:ind w:left="0" w:leftChars="0" w:firstLine="0" w:firstLine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5.做好2022年度燃气发展报告等各项城建年报填报工作。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9" w:hRule="atLeast"/>
          <w:jc w:val="center"/>
        </w:trPr>
        <w:tc>
          <w:tcPr>
            <w:tcW w:w="267" w:type="pct"/>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pPr>
            <w:r>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t>20</w:t>
            </w:r>
          </w:p>
        </w:tc>
        <w:tc>
          <w:tcPr>
            <w:tcW w:w="228" w:type="pct"/>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t>城市更新服务中心</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t>办公室</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1.学习研究限额以下交易平台操作以及海安商城操作相关文件，尽快熟悉流程投入使用，2022年结报扫尾；</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2.会同南通市行业协会做好2023年征收服务公司评估公司年审备案工作；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3.事业单位法人年检材料报送工作；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4.文汇公馆周边区域更新档案整理报送布置及既往征收项目扫描备份；</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5.拆迁户协议审核等服务；</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6.2023年海安年鉴相关编纂工作；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7.配合文汇公馆及既往搬迁项目扫尾工作。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4"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t>法规科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1.配合隆政街道做好孙福贞行政诉讼案件后续工作，按照法院要求依法作出行政赔偿决定；</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2.做好奚益江、严玉俊、田宝锁等3户集体土地房屋搬迁行政补偿决定工作；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做好万达行政复议工作以及2022年结转案件的答辩应诉工作（周家华诉协议无效的二审及再审案件、缪围罗翠红诉停水函发回重审及查封案件、毛益英孙晓梅诉协议无效二审案件、毛立新诉协议无效二审、杨德昌诉强拆及协议无效二审、严国华诉补偿决定二审、孙福贞诉图书馆二审案件、世道实业诉商品房买卖合同备案一审案件）；</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4.陈佐文户补偿决定2月份到期，拟启动强制执行工作；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5.配合司法局做好丁仁林行政诉讼工作；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6.日常信息公开工作；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7.配合信访局处理开发区益民食品厂历史遗留问题，准备相关被搬迁人海安住房、房改、银行资金存款等证明材料。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8"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t>项目规划科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1.做好永安路西侧、人民西路9号楼等地块更新测算、研究及服务工作；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2.谋划并启动本年度省城市更新试点项目申报工作；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3.涉及海安统计年鉴基础资料撰写；</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4.完成我局关于省健康县（区）建设实施方案；</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5.做好美丽宜居城市建</w:t>
            </w:r>
            <w:bookmarkStart w:id="0" w:name="_GoBack"/>
            <w:bookmarkEnd w:id="0"/>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设高质量考核后续事宜；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6.做好绿色社区创建授牌和工作总结等工作；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7.研究并着手推进4个完整社区试点建设相关工作；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8.其他交办事项。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4"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t>安置信访科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1.继续完成房票资金的结算、兑付；</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2.在系统不断完善中推进银行接口的对接和电子支付；</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3.探索老旧房屋（危房）房票安置解危办法，制定城区标准，扩大房票实施空间；</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4.日常信访工作。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6"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t>住房保障服务科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1.根据省、市要求完善好海安2022年保障性安居工程绩效评价工作；</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2.跟踪城南五期B区、博雅园、迎宾润府、金港嘉园、新世嘉棚改和保租房建设进度，确保按序时施工；</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3.继续加强城镇危房的巡查监管，及时处理发现的安全隐患；</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4.根据海安既有建筑安全隐患三年专项整治计划，着手开展2023年度整治计划；</w:t>
            </w:r>
          </w:p>
          <w:p>
            <w:pPr>
              <w:pStyle w:val="2"/>
              <w:keepNext w:val="0"/>
              <w:keepLines w:val="0"/>
              <w:pageBreakBefore w:val="0"/>
              <w:widowControl w:val="0"/>
              <w:kinsoku/>
              <w:wordWrap/>
              <w:overflowPunct/>
              <w:topLinePunct w:val="0"/>
              <w:autoSpaceDE/>
              <w:autoSpaceDN/>
              <w:bidi w:val="0"/>
              <w:adjustRightInd/>
              <w:spacing w:line="400" w:lineRule="exact"/>
              <w:ind w:left="0" w:leftChars="0"/>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t>5.继续根据国家、省、市相关要求开展海安市自建房排查整治工作。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4" w:hRule="atLeast"/>
          <w:jc w:val="center"/>
        </w:trPr>
        <w:tc>
          <w:tcPr>
            <w:tcW w:w="267" w:type="pct"/>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pPr>
            <w:r>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t>21</w:t>
            </w:r>
          </w:p>
        </w:tc>
        <w:tc>
          <w:tcPr>
            <w:tcW w:w="228" w:type="pct"/>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t>建设</w:t>
            </w:r>
          </w:p>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t>中心</w:t>
            </w:r>
          </w:p>
        </w:tc>
        <w:tc>
          <w:tcPr>
            <w:tcW w:w="413" w:type="pct"/>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hint="eastAsia" w:ascii="方正仿宋_GB2312" w:hAnsi="方正仿宋_GB2312" w:eastAsia="方正仿宋_GB2312" w:cs="方正仿宋_GB2312"/>
                <w:color w:val="000000" w:themeColor="text1"/>
                <w:spacing w:val="-20"/>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14:textFill>
                  <w14:solidFill>
                    <w14:schemeClr w14:val="tx1"/>
                  </w14:solidFill>
                </w14:textFill>
              </w:rPr>
              <w:t>办公室</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1.组织签订2023年度相关承诺书、责任书等；</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2.草拟《政府投资非盈利性工程建设项目集中建设管理实施细则（试行）》；</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3.完成2022年度事业人员考核备案手续；</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4.草拟、汇总中心2023年度相关考核内容；</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5.会同合同科草拟限额以下平台采购相关制度；</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6.草拟2023年度相关工作意见，报局办统一汇总；</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7.根据局统一安排做好年初全面从严治党等相关工作。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0"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lang w:val="en-US" w:eastAsia="zh-CN"/>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spacing w:val="-20"/>
                <w:w w:val="90"/>
                <w:sz w:val="28"/>
                <w:szCs w:val="28"/>
                <w:lang w:eastAsia="zh-CN"/>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hint="eastAsia" w:ascii="方正仿宋_GB2312" w:hAnsi="方正仿宋_GB2312" w:eastAsia="方正仿宋_GB2312" w:cs="方正仿宋_GB2312"/>
                <w:color w:val="000000" w:themeColor="text1"/>
                <w:spacing w:val="-20"/>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spacing w:val="-20"/>
                <w:w w:val="90"/>
                <w:sz w:val="28"/>
                <w:szCs w:val="28"/>
                <w14:textFill>
                  <w14:solidFill>
                    <w14:schemeClr w14:val="tx1"/>
                  </w14:solidFill>
                </w14:textFill>
              </w:rPr>
              <w:t>财务科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1.日常经费结报、工程款支付及审核；</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2.登记好相关台账、做好月底资金存款对账工作；</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3.个税、社保、公积金、工资、车贴申报和发放；</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4.完成财政部全口径债务监测平台申报；</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5.配合做好财务决算审计工作；</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6.根据财政局安排，做好2023年部门预算编制公开工作</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7.根据财政局要求，完成2022年部门决算工作；</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8.按月发放农民工工资</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9.整理春节前工程款支付凭证及资料，编制1月份凭证</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10.整理装订2022年日常凭证。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1"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w w:val="90"/>
                <w:kern w:val="2"/>
                <w:sz w:val="28"/>
                <w:szCs w:val="28"/>
                <w:lang w:val="en-US" w:eastAsia="zh-CN" w:bidi="ar-SA"/>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hint="eastAsia" w:ascii="方正仿宋_GB2312" w:hAnsi="方正仿宋_GB2312" w:eastAsia="方正仿宋_GB2312" w:cs="方正仿宋_GB2312"/>
                <w:color w:val="000000" w:themeColor="text1"/>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90"/>
                <w:sz w:val="28"/>
                <w:szCs w:val="28"/>
                <w14:textFill>
                  <w14:solidFill>
                    <w14:schemeClr w14:val="tx1"/>
                  </w14:solidFill>
                </w14:textFill>
              </w:rPr>
              <w:t>合同管理科（前期工作科）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1.海警工作站施工图审图、招标文件编制、招标前对接；</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2.民兵训练基地施工图审图、招标文件编制。招标前对接；</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3.省海中高一教学楼拆除重建工程规划设计、施工图设计；</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4.海安中专学生宿舍楼新建工程设计及地勘招标；</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5.角斜初中新建厕所施工许可证办理；</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6.老干部局加装电梯施工许可证办理。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w w:val="90"/>
                <w:kern w:val="2"/>
                <w:sz w:val="28"/>
                <w:szCs w:val="28"/>
                <w:lang w:val="en-US" w:eastAsia="zh-CN" w:bidi="ar-SA"/>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hint="eastAsia" w:ascii="方正仿宋_GB2312" w:hAnsi="方正仿宋_GB2312" w:eastAsia="方正仿宋_GB2312" w:cs="方正仿宋_GB2312"/>
                <w:color w:val="000000" w:themeColor="text1"/>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90"/>
                <w:sz w:val="28"/>
                <w:szCs w:val="28"/>
                <w14:textFill>
                  <w14:solidFill>
                    <w14:schemeClr w14:val="tx1"/>
                  </w14:solidFill>
                </w14:textFill>
              </w:rPr>
              <w:t>工程预决算科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1.海警工作站项目完善图纸、审图完成后编制清单、审核清单；</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2.角斜红旗民兵团项目审图完成后编制清单、审核清单；</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跟踪人民医院120值班室图纸修改情况；</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3.材料认价、现场变更申请单费用审核、结算资料审核、审计踏勘现场等日常工作。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3"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w w:val="90"/>
                <w:kern w:val="2"/>
                <w:sz w:val="28"/>
                <w:szCs w:val="28"/>
                <w:lang w:val="en-US" w:eastAsia="zh-CN" w:bidi="ar-SA"/>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hint="eastAsia" w:ascii="方正仿宋_GB2312" w:hAnsi="方正仿宋_GB2312" w:eastAsia="方正仿宋_GB2312" w:cs="方正仿宋_GB2312"/>
                <w:color w:val="000000" w:themeColor="text1"/>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90"/>
                <w:sz w:val="28"/>
                <w:szCs w:val="28"/>
                <w14:textFill>
                  <w14:solidFill>
                    <w14:schemeClr w14:val="tx1"/>
                  </w14:solidFill>
                </w14:textFill>
              </w:rPr>
              <w:t>工程管理科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1.跟踪协调各工程推进、服务企业科技行、双招双引等；</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2.开发区法庭：内外墙抹灰，门房、泵房施工；</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3.海陵中学体艺馆：底板钢筋绑扎，混凝土浇筑，地下室墙、顶板钢筋绑扎；</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4.海中学生公寓楼：内、外墙粉刷，外墙保温施工，安装工程同步进行；</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5.曲塘中学体艺馆：基础开挖、消防水池开挖、桩基验收</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6.海安中专校园提升：分区1-5完成（门卫房铝板除外）；B区道路铺装完成，绿化工程完成60%；</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7.雅周医院应急楼：内墙抹灰，外墙保温施工，安装工程同步进行；</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8.角斜初中厕所改造：手续办理，现场施工准备；</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9.老干部大学加装电梯：手续办理，地下室改造施工，钢结构材料准备。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8" w:hRule="atLeast"/>
          <w:jc w:val="center"/>
        </w:trPr>
        <w:tc>
          <w:tcPr>
            <w:tcW w:w="267"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rPr>
                <w:rFonts w:hint="eastAsia" w:ascii="方正仿宋_GB2312" w:hAnsi="方正仿宋_GB2312" w:eastAsia="方正仿宋_GB2312" w:cs="方正仿宋_GB2312"/>
                <w:color w:val="000000" w:themeColor="text1"/>
                <w:sz w:val="28"/>
                <w:szCs w:val="28"/>
                <w14:textFill>
                  <w14:solidFill>
                    <w14:schemeClr w14:val="tx1"/>
                  </w14:solidFill>
                </w14:textFill>
              </w:rPr>
            </w:pPr>
          </w:p>
        </w:tc>
        <w:tc>
          <w:tcPr>
            <w:tcW w:w="228" w:type="pct"/>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jc w:val="center"/>
              <w:textAlignment w:val="auto"/>
              <w:rPr>
                <w:rFonts w:hint="eastAsia" w:ascii="方正仿宋_GB2312" w:hAnsi="方正仿宋_GB2312" w:eastAsia="方正仿宋_GB2312" w:cs="方正仿宋_GB2312"/>
                <w:color w:val="000000" w:themeColor="text1"/>
                <w:w w:val="90"/>
                <w:kern w:val="2"/>
                <w:sz w:val="28"/>
                <w:szCs w:val="28"/>
                <w:lang w:val="en-US" w:eastAsia="zh-CN" w:bidi="ar-SA"/>
                <w14:textFill>
                  <w14:solidFill>
                    <w14:schemeClr w14:val="tx1"/>
                  </w14:solidFill>
                </w14:textFill>
              </w:rPr>
            </w:pPr>
          </w:p>
        </w:tc>
        <w:tc>
          <w:tcPr>
            <w:tcW w:w="413" w:type="pct"/>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hint="eastAsia" w:ascii="方正仿宋_GB2312" w:hAnsi="方正仿宋_GB2312" w:eastAsia="方正仿宋_GB2312" w:cs="方正仿宋_GB2312"/>
                <w:color w:val="000000" w:themeColor="text1"/>
                <w:w w:val="9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90"/>
                <w:sz w:val="28"/>
                <w:szCs w:val="28"/>
                <w14:textFill>
                  <w14:solidFill>
                    <w14:schemeClr w14:val="tx1"/>
                  </w14:solidFill>
                </w14:textFill>
              </w:rPr>
              <w:t>材料设备科</w:t>
            </w:r>
          </w:p>
        </w:tc>
        <w:tc>
          <w:tcPr>
            <w:tcW w:w="4091" w:type="pct"/>
            <w:vAlign w:val="center"/>
          </w:tcPr>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1.督促落实应急医院专项验收及问题整改</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2.参加政府办牵头的体育中心设备维修方案形成及落实</w:t>
            </w:r>
            <w:r>
              <w:rPr>
                <w:rFonts w:hint="eastAsia" w:ascii="方正仿宋_GB2312" w:hAnsi="方正仿宋_GB2312" w:eastAsia="方正仿宋_GB2312" w:cs="方正仿宋_GB2312"/>
                <w:color w:val="000000" w:themeColor="text1"/>
                <w:w w:val="100"/>
                <w:sz w:val="28"/>
                <w:szCs w:val="28"/>
                <w:lang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2312" w:hAnsi="方正仿宋_GB2312" w:eastAsia="方正仿宋_GB2312" w:cs="方正仿宋_GB2312"/>
                <w:color w:val="000000" w:themeColor="text1"/>
                <w:w w:val="100"/>
                <w:kern w:val="2"/>
                <w:sz w:val="28"/>
                <w:szCs w:val="28"/>
                <w:lang w:val="en-US" w:eastAsia="zh-CN" w:bidi="ar-SA"/>
                <w14:textFill>
                  <w14:solidFill>
                    <w14:schemeClr w14:val="tx1"/>
                  </w14:solidFill>
                </w14:textFill>
              </w:rPr>
            </w:pPr>
            <w:r>
              <w:rPr>
                <w:rFonts w:hint="eastAsia" w:ascii="方正仿宋_GB2312" w:hAnsi="方正仿宋_GB2312" w:eastAsia="方正仿宋_GB2312" w:cs="方正仿宋_GB2312"/>
                <w:color w:val="000000" w:themeColor="text1"/>
                <w:w w:val="100"/>
                <w:sz w:val="28"/>
                <w:szCs w:val="28"/>
                <w14:textFill>
                  <w14:solidFill>
                    <w14:schemeClr w14:val="tx1"/>
                  </w14:solidFill>
                </w14:textFill>
              </w:rPr>
              <w:t>3.协调老干部大学加装电梯以及其他各工程的推进，现场问题处理。</w:t>
            </w:r>
          </w:p>
        </w:tc>
      </w:tr>
    </w:tbl>
    <w:p>
      <w:pPr>
        <w:tabs>
          <w:tab w:val="left" w:pos="3425"/>
        </w:tabs>
        <w:bidi w:val="0"/>
        <w:rPr>
          <w:lang w:val="en-US" w:eastAsia="zh-CN"/>
        </w:rPr>
      </w:pPr>
    </w:p>
    <w:sectPr>
      <w:footerReference r:id="rId3" w:type="default"/>
      <w:pgSz w:w="11906" w:h="16838"/>
      <w:pgMar w:top="1701" w:right="1531" w:bottom="1701" w:left="153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方正小标宋简体">
    <w:panose1 w:val="03000509000000000000"/>
    <w:charset w:val="86"/>
    <w:family w:val="script"/>
    <w:pitch w:val="default"/>
    <w:sig w:usb0="00000001" w:usb1="080E0000" w:usb2="00000000" w:usb3="00000000" w:csb0="00040000" w:csb1="00000000"/>
    <w:embedRegular r:id="rId1" w:fontKey="{CE12E6BB-6D61-42D6-9C4F-72495E7C9BF7}"/>
  </w:font>
  <w:font w:name="方正仿宋_GB2312">
    <w:panose1 w:val="02000000000000000000"/>
    <w:charset w:val="86"/>
    <w:family w:val="auto"/>
    <w:pitch w:val="default"/>
    <w:sig w:usb0="A00002BF" w:usb1="184F6CFA" w:usb2="00000012" w:usb3="00000000" w:csb0="00040001" w:csb1="00000000"/>
    <w:embedRegular r:id="rId2" w:fontKey="{B79E6DA7-7EFB-4ED2-869A-00F414B0E06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2"/>
                            <w:rPr>
                              <w:rFonts w:hint="eastAsia" w:eastAsia="宋体"/>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wps:txbx>
                    <wps:bodyPr vert="horz" wrap="none" lIns="0" tIns="0" rIns="0" bIns="0" anchor="t" upright="0">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ySV/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TJJX/tIBAACeAwAADgAAAAAAAAABACAAAAAfAQAA&#10;ZHJzL2Uyb0RvYy54bWxQSwUGAAAAAAYABgBZAQAAYwUAAAAA&#10;">
              <v:fill on="f" focussize="0,0"/>
              <v:stroke on="f"/>
              <v:imagedata o:title=""/>
              <o:lock v:ext="edit" aspectratio="f"/>
              <v:textbox inset="0mm,0mm,0mm,0mm" style="mso-fit-shape-to-text:t;">
                <w:txbxContent>
                  <w:p>
                    <w:pPr>
                      <w:pStyle w:val="2"/>
                      <w:rPr>
                        <w:rFonts w:hint="eastAsia" w:eastAsia="宋体"/>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M3ZjlmY2E2MDNiZWUwYzVjYmQ0ZDljOTkxYmRlNzAifQ=="/>
  </w:docVars>
  <w:rsids>
    <w:rsidRoot w:val="00000000"/>
    <w:rsid w:val="0128107C"/>
    <w:rsid w:val="02ED4FCC"/>
    <w:rsid w:val="039D2148"/>
    <w:rsid w:val="04107C7F"/>
    <w:rsid w:val="041F5BA4"/>
    <w:rsid w:val="04AB265E"/>
    <w:rsid w:val="05CC639D"/>
    <w:rsid w:val="08835D74"/>
    <w:rsid w:val="08A74938"/>
    <w:rsid w:val="09615C13"/>
    <w:rsid w:val="0BF91E19"/>
    <w:rsid w:val="0C494171"/>
    <w:rsid w:val="0D2C7836"/>
    <w:rsid w:val="0D5F7799"/>
    <w:rsid w:val="0DD600D5"/>
    <w:rsid w:val="11120295"/>
    <w:rsid w:val="11A42948"/>
    <w:rsid w:val="139525D9"/>
    <w:rsid w:val="13C63743"/>
    <w:rsid w:val="13CB7DA9"/>
    <w:rsid w:val="150D6E57"/>
    <w:rsid w:val="160C373F"/>
    <w:rsid w:val="168369DA"/>
    <w:rsid w:val="17226850"/>
    <w:rsid w:val="173457E6"/>
    <w:rsid w:val="1859383B"/>
    <w:rsid w:val="186E67F0"/>
    <w:rsid w:val="19940C3D"/>
    <w:rsid w:val="1AFC07EC"/>
    <w:rsid w:val="1BA039B7"/>
    <w:rsid w:val="1DAD35BF"/>
    <w:rsid w:val="1DC34DDD"/>
    <w:rsid w:val="1EE5225B"/>
    <w:rsid w:val="1F5B1ECB"/>
    <w:rsid w:val="1FE43001"/>
    <w:rsid w:val="21220B96"/>
    <w:rsid w:val="21DB1634"/>
    <w:rsid w:val="23735A84"/>
    <w:rsid w:val="23941458"/>
    <w:rsid w:val="27685278"/>
    <w:rsid w:val="280A169C"/>
    <w:rsid w:val="28445933"/>
    <w:rsid w:val="2B715D03"/>
    <w:rsid w:val="2C494F0B"/>
    <w:rsid w:val="2D95464D"/>
    <w:rsid w:val="2DB56789"/>
    <w:rsid w:val="2E40528F"/>
    <w:rsid w:val="2F435060"/>
    <w:rsid w:val="2F712FB5"/>
    <w:rsid w:val="33FC7AD4"/>
    <w:rsid w:val="3457400C"/>
    <w:rsid w:val="36552BC9"/>
    <w:rsid w:val="3664267D"/>
    <w:rsid w:val="37134D49"/>
    <w:rsid w:val="375D61D0"/>
    <w:rsid w:val="3951224F"/>
    <w:rsid w:val="3A35084F"/>
    <w:rsid w:val="3C8B4F3F"/>
    <w:rsid w:val="3CE02E3D"/>
    <w:rsid w:val="3E536486"/>
    <w:rsid w:val="3E7B24A5"/>
    <w:rsid w:val="3F39266C"/>
    <w:rsid w:val="3F8C76B9"/>
    <w:rsid w:val="400D0B0D"/>
    <w:rsid w:val="41D61543"/>
    <w:rsid w:val="41EF33A4"/>
    <w:rsid w:val="425D51DA"/>
    <w:rsid w:val="43255950"/>
    <w:rsid w:val="434E308C"/>
    <w:rsid w:val="444A2F9A"/>
    <w:rsid w:val="446E3FC5"/>
    <w:rsid w:val="4626170E"/>
    <w:rsid w:val="46741DBA"/>
    <w:rsid w:val="49594281"/>
    <w:rsid w:val="4A45552A"/>
    <w:rsid w:val="4A8B1EEF"/>
    <w:rsid w:val="4B5C732E"/>
    <w:rsid w:val="4B9B1420"/>
    <w:rsid w:val="4BEA1922"/>
    <w:rsid w:val="4DF9745C"/>
    <w:rsid w:val="4F1F3CEF"/>
    <w:rsid w:val="510962B4"/>
    <w:rsid w:val="51984A67"/>
    <w:rsid w:val="52EB5D44"/>
    <w:rsid w:val="53482E19"/>
    <w:rsid w:val="53520CBE"/>
    <w:rsid w:val="535B29B9"/>
    <w:rsid w:val="53AD3D09"/>
    <w:rsid w:val="54B11426"/>
    <w:rsid w:val="55F02F98"/>
    <w:rsid w:val="581D3A69"/>
    <w:rsid w:val="581E54CA"/>
    <w:rsid w:val="58FC3CC3"/>
    <w:rsid w:val="597E3DDA"/>
    <w:rsid w:val="5C281F70"/>
    <w:rsid w:val="5D876912"/>
    <w:rsid w:val="5F024F0D"/>
    <w:rsid w:val="5F5D529F"/>
    <w:rsid w:val="5FB14BDF"/>
    <w:rsid w:val="615C5A4F"/>
    <w:rsid w:val="62002DD2"/>
    <w:rsid w:val="62C621B7"/>
    <w:rsid w:val="632D6322"/>
    <w:rsid w:val="687D6CA0"/>
    <w:rsid w:val="6B9D185C"/>
    <w:rsid w:val="6E722014"/>
    <w:rsid w:val="6F2A6808"/>
    <w:rsid w:val="6F89562B"/>
    <w:rsid w:val="6FD720E3"/>
    <w:rsid w:val="72DD294A"/>
    <w:rsid w:val="73544BE9"/>
    <w:rsid w:val="751F1368"/>
    <w:rsid w:val="75D57A5B"/>
    <w:rsid w:val="75EE64F1"/>
    <w:rsid w:val="7AA00315"/>
    <w:rsid w:val="7AE30DBF"/>
    <w:rsid w:val="7AFE4CDF"/>
    <w:rsid w:val="7B5A2A2E"/>
    <w:rsid w:val="7D2B749C"/>
    <w:rsid w:val="7D443CDF"/>
    <w:rsid w:val="7D9056B7"/>
    <w:rsid w:val="7E3C532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iPriority="99"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4"/>
    <w:basedOn w:val="1"/>
    <w:next w:val="1"/>
    <w:qFormat/>
    <w:uiPriority w:val="0"/>
    <w:pPr>
      <w:keepNext/>
      <w:keepLines/>
      <w:spacing w:before="280" w:beforeAutospacing="0" w:after="290" w:afterAutospacing="0" w:line="372" w:lineRule="auto"/>
      <w:outlineLvl w:val="3"/>
    </w:pPr>
    <w:rPr>
      <w:rFonts w:ascii="Arial" w:hAnsi="Arial" w:eastAsia="黑体"/>
      <w:b/>
      <w:sz w:val="28"/>
    </w:rPr>
  </w:style>
  <w:style w:type="character" w:default="1" w:styleId="9">
    <w:name w:val="Default Paragraph Font"/>
    <w:qFormat/>
    <w:uiPriority w:val="1"/>
  </w:style>
  <w:style w:type="table" w:default="1" w:styleId="8">
    <w:name w:val="Normal Table"/>
    <w:qFormat/>
    <w:uiPriority w:val="99"/>
    <w:tblPr>
      <w:tblCellMar>
        <w:top w:w="0" w:type="dxa"/>
        <w:left w:w="108" w:type="dxa"/>
        <w:bottom w:w="0" w:type="dxa"/>
        <w:right w:w="108" w:type="dxa"/>
      </w:tblCellMar>
    </w:tblPr>
  </w:style>
  <w:style w:type="paragraph" w:styleId="2">
    <w:name w:val="footer"/>
    <w:basedOn w:val="1"/>
    <w:link w:val="13"/>
    <w:qFormat/>
    <w:uiPriority w:val="0"/>
    <w:pPr>
      <w:tabs>
        <w:tab w:val="center" w:pos="4153"/>
        <w:tab w:val="right" w:pos="8306"/>
      </w:tabs>
      <w:snapToGrid w:val="0"/>
      <w:jc w:val="left"/>
    </w:pPr>
    <w:rPr>
      <w:sz w:val="18"/>
      <w:szCs w:val="18"/>
    </w:rPr>
  </w:style>
  <w:style w:type="paragraph" w:styleId="4">
    <w:name w:val="Body Text"/>
    <w:basedOn w:val="1"/>
    <w:unhideWhenUsed/>
    <w:qFormat/>
    <w:uiPriority w:val="99"/>
    <w:pPr>
      <w:spacing w:after="120"/>
    </w:pPr>
    <w:rPr>
      <w:szCs w:val="24"/>
    </w:rPr>
  </w:style>
  <w:style w:type="paragraph" w:styleId="5">
    <w:name w:val="Body Text Indent"/>
    <w:basedOn w:val="1"/>
    <w:unhideWhenUsed/>
    <w:qFormat/>
    <w:uiPriority w:val="99"/>
    <w:pPr>
      <w:spacing w:after="120"/>
      <w:ind w:left="420" w:leftChars="200"/>
    </w:pPr>
  </w:style>
  <w:style w:type="paragraph" w:styleId="6">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First Indent 2"/>
    <w:basedOn w:val="5"/>
    <w:unhideWhenUsed/>
    <w:qFormat/>
    <w:uiPriority w:val="99"/>
    <w:pPr>
      <w:widowControl/>
      <w:spacing w:after="0" w:line="360" w:lineRule="auto"/>
      <w:ind w:left="0" w:leftChars="0" w:firstLine="420" w:firstLineChars="200"/>
      <w:jc w:val="left"/>
    </w:pPr>
    <w:rPr>
      <w:rFonts w:eastAsia="宋体"/>
      <w:kern w:val="0"/>
      <w:sz w:val="24"/>
      <w:szCs w:val="24"/>
    </w:rPr>
  </w:style>
  <w:style w:type="paragraph" w:customStyle="1" w:styleId="10">
    <w:name w:val="Char Char Char Char Char Char Char"/>
    <w:basedOn w:val="1"/>
    <w:next w:val="1"/>
    <w:qFormat/>
    <w:uiPriority w:val="0"/>
    <w:pPr>
      <w:tabs>
        <w:tab w:val="left" w:pos="720"/>
      </w:tabs>
      <w:spacing w:line="240" w:lineRule="atLeast"/>
      <w:jc w:val="left"/>
    </w:pPr>
    <w:rPr>
      <w:b/>
      <w:sz w:val="24"/>
    </w:rPr>
  </w:style>
  <w:style w:type="paragraph" w:customStyle="1" w:styleId="11">
    <w:name w:val="Char"/>
    <w:basedOn w:val="1"/>
    <w:qFormat/>
    <w:uiPriority w:val="0"/>
    <w:pPr>
      <w:tabs>
        <w:tab w:val="left" w:pos="360"/>
      </w:tabs>
    </w:pPr>
    <w:rPr>
      <w:rFonts w:ascii="Tahoma" w:hAnsi="Tahoma" w:eastAsia="Times New Roman"/>
      <w:kern w:val="0"/>
      <w:sz w:val="24"/>
      <w:szCs w:val="20"/>
    </w:rPr>
  </w:style>
  <w:style w:type="character" w:customStyle="1" w:styleId="12">
    <w:name w:val="页眉 Char"/>
    <w:link w:val="6"/>
    <w:qFormat/>
    <w:uiPriority w:val="0"/>
    <w:rPr>
      <w:rFonts w:ascii="Calibri" w:hAnsi="Calibri" w:eastAsia="宋体" w:cs="Times New Roman"/>
      <w:kern w:val="2"/>
      <w:sz w:val="18"/>
      <w:szCs w:val="18"/>
    </w:rPr>
  </w:style>
  <w:style w:type="character" w:customStyle="1" w:styleId="13">
    <w:name w:val="页脚 Char"/>
    <w:link w:val="2"/>
    <w:qFormat/>
    <w:uiPriority w:val="0"/>
    <w:rPr>
      <w:rFonts w:ascii="Calibri" w:hAnsi="Calibri" w:eastAsia="宋体" w:cs="Times New Roman"/>
      <w:kern w:val="2"/>
      <w:sz w:val="18"/>
      <w:szCs w:val="18"/>
    </w:rPr>
  </w:style>
  <w:style w:type="paragraph" w:styleId="14">
    <w:name w:val="List Paragraph"/>
    <w:basedOn w:val="1"/>
    <w:qFormat/>
    <w:uiPriority w:val="99"/>
    <w:pPr>
      <w:ind w:firstLine="420" w:firstLineChars="200"/>
    </w:pPr>
  </w:style>
  <w:style w:type="paragraph" w:customStyle="1" w:styleId="15">
    <w:name w:val="TOC2"/>
    <w:basedOn w:val="1"/>
    <w:next w:val="1"/>
    <w:qFormat/>
    <w:uiPriority w:val="0"/>
    <w:pPr>
      <w:ind w:left="210"/>
      <w:jc w:val="left"/>
      <w:textAlignment w:val="baseline"/>
    </w:pPr>
    <w:rPr>
      <w:rFonts w:ascii="Calibri" w:hAnsi="Calibri"/>
      <w:smallCaps/>
      <w:kern w:val="2"/>
      <w:sz w:val="20"/>
      <w:szCs w:val="20"/>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4398</Words>
  <Characters>4696</Characters>
  <Paragraphs>350</Paragraphs>
  <TotalTime>144</TotalTime>
  <ScaleCrop>false</ScaleCrop>
  <LinksUpToDate>false</LinksUpToDate>
  <CharactersWithSpaces>4696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2020-04-02T03:24:00Z</dcterms:created>
  <dc:creator>PC</dc:creator>
  <cp:lastModifiedBy>陆金成</cp:lastModifiedBy>
  <cp:lastPrinted>2021-05-07T13:15:00Z</cp:lastPrinted>
  <dcterms:modified xsi:type="dcterms:W3CDTF">2023-02-27T00:21:07Z</dcterms:modified>
  <dc:title>住建局2020年3月份重点工作安排计划表</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D9349C848C0B403BA9A63EA64B5084A2</vt:lpwstr>
  </property>
</Properties>
</file>