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rPr>
          <w:rFonts w:ascii="宋体" w:hAnsi="宋体" w:cs="宋体"/>
          <w:b/>
          <w:sz w:val="52"/>
          <w:szCs w:val="52"/>
        </w:rPr>
      </w:pPr>
      <w:bookmarkStart w:id="0" w:name="_Toc20932"/>
      <w:bookmarkStart w:id="1" w:name="_Toc23890"/>
      <w:r>
        <w:rPr>
          <w:rFonts w:hint="eastAsia" w:ascii="宋体" w:hAnsi="宋体" w:cs="宋体"/>
          <w:b/>
          <w:sz w:val="52"/>
          <w:szCs w:val="52"/>
        </w:rPr>
        <w:t>建设项目环境影响报告表</w:t>
      </w:r>
      <w:bookmarkEnd w:id="0"/>
      <w:bookmarkEnd w:id="1"/>
    </w:p>
    <w:p>
      <w:pPr>
        <w:adjustRightInd w:val="0"/>
        <w:snapToGrid w:val="0"/>
        <w:spacing w:before="192" w:beforeLines="80"/>
        <w:jc w:val="center"/>
        <w:rPr>
          <w:rFonts w:ascii="宋体" w:hAnsi="宋体" w:cs="宋体"/>
          <w:bCs/>
          <w:sz w:val="44"/>
          <w:szCs w:val="44"/>
        </w:rPr>
      </w:pPr>
      <w:r>
        <w:rPr>
          <w:rFonts w:hint="eastAsia" w:ascii="宋体" w:hAnsi="宋体" w:cs="宋体"/>
          <w:bCs/>
          <w:sz w:val="44"/>
          <w:szCs w:val="44"/>
        </w:rPr>
        <w:t>（污染影响类）</w:t>
      </w:r>
    </w:p>
    <w:p>
      <w:pPr>
        <w:adjustRightInd w:val="0"/>
        <w:snapToGrid w:val="0"/>
        <w:spacing w:line="288" w:lineRule="auto"/>
        <w:jc w:val="center"/>
        <w:rPr>
          <w:rFonts w:ascii="华文仿宋" w:hAnsi="华文仿宋" w:eastAsia="华文仿宋" w:cs="华文仿宋"/>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360" w:lineRule="auto"/>
        <w:ind w:firstLine="960" w:firstLineChars="300"/>
        <w:jc w:val="both"/>
        <w:rPr>
          <w:sz w:val="32"/>
          <w:szCs w:val="32"/>
        </w:rPr>
      </w:pPr>
      <w:r>
        <w:rPr>
          <w:sz w:val="32"/>
          <w:szCs w:val="32"/>
        </w:rPr>
        <w:t>项目名称：</w:t>
      </w:r>
      <w:r>
        <w:rPr>
          <w:rFonts w:hint="eastAsia"/>
          <w:sz w:val="32"/>
          <w:szCs w:val="32"/>
          <w:u w:val="single"/>
        </w:rPr>
        <w:t xml:space="preserve">    </w:t>
      </w:r>
      <w:r>
        <w:rPr>
          <w:sz w:val="32"/>
          <w:szCs w:val="32"/>
          <w:u w:val="single"/>
        </w:rPr>
        <w:t xml:space="preserve">     </w:t>
      </w:r>
      <w:r>
        <w:rPr>
          <w:rFonts w:hint="eastAsia"/>
          <w:sz w:val="32"/>
          <w:szCs w:val="32"/>
          <w:u w:val="single"/>
        </w:rPr>
        <w:t xml:space="preserve">  智能包装制造项目                           </w:t>
      </w:r>
      <w:r>
        <w:rPr>
          <w:sz w:val="32"/>
          <w:szCs w:val="32"/>
        </w:rPr>
        <w:t xml:space="preserve">  </w:t>
      </w:r>
    </w:p>
    <w:p>
      <w:pPr>
        <w:adjustRightInd w:val="0"/>
        <w:snapToGrid w:val="0"/>
        <w:spacing w:line="360" w:lineRule="auto"/>
        <w:ind w:firstLine="960" w:firstLineChars="300"/>
        <w:rPr>
          <w:sz w:val="32"/>
          <w:szCs w:val="32"/>
        </w:rPr>
      </w:pPr>
      <w:r>
        <w:rPr>
          <w:sz w:val="32"/>
          <w:szCs w:val="32"/>
        </w:rPr>
        <w:t>建设单位（盖章）</w:t>
      </w:r>
      <w:r>
        <w:rPr>
          <w:rFonts w:hint="eastAsia"/>
          <w:sz w:val="32"/>
          <w:szCs w:val="32"/>
        </w:rPr>
        <w:t>：</w:t>
      </w:r>
      <w:r>
        <w:rPr>
          <w:rFonts w:hint="eastAsia"/>
          <w:sz w:val="32"/>
          <w:szCs w:val="32"/>
          <w:u w:val="single"/>
        </w:rPr>
        <w:t xml:space="preserve">    江苏益迅智能科技有限公司                      </w:t>
      </w:r>
    </w:p>
    <w:p>
      <w:pPr>
        <w:adjustRightInd w:val="0"/>
        <w:snapToGrid w:val="0"/>
        <w:spacing w:line="360" w:lineRule="auto"/>
        <w:ind w:firstLine="960" w:firstLineChars="300"/>
        <w:rPr>
          <w:sz w:val="36"/>
          <w:szCs w:val="36"/>
          <w:u w:val="single"/>
        </w:rPr>
      </w:pPr>
      <w:r>
        <w:rPr>
          <w:sz w:val="32"/>
          <w:szCs w:val="32"/>
        </w:rPr>
        <w:t>编制日期：</w:t>
      </w:r>
      <w:r>
        <w:rPr>
          <w:sz w:val="32"/>
          <w:szCs w:val="32"/>
          <w:u w:val="single"/>
        </w:rPr>
        <w:t xml:space="preserve">              202</w:t>
      </w:r>
      <w:r>
        <w:rPr>
          <w:rFonts w:hint="eastAsia"/>
          <w:sz w:val="32"/>
          <w:szCs w:val="32"/>
          <w:u w:val="single"/>
          <w:lang w:val="en-US" w:eastAsia="zh-CN"/>
        </w:rPr>
        <w:t>4</w:t>
      </w:r>
      <w:r>
        <w:rPr>
          <w:rFonts w:hint="eastAsia"/>
          <w:sz w:val="32"/>
          <w:szCs w:val="32"/>
          <w:u w:val="single"/>
        </w:rPr>
        <w:t>年</w:t>
      </w:r>
      <w:r>
        <w:rPr>
          <w:rFonts w:hint="eastAsia"/>
          <w:sz w:val="32"/>
          <w:szCs w:val="32"/>
          <w:u w:val="single"/>
          <w:lang w:val="en-US" w:eastAsia="zh-CN"/>
        </w:rPr>
        <w:t>1</w:t>
      </w:r>
      <w:r>
        <w:rPr>
          <w:rFonts w:hint="eastAsia"/>
          <w:sz w:val="32"/>
          <w:szCs w:val="32"/>
          <w:u w:val="single"/>
        </w:rPr>
        <w:t>月</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adjustRightInd w:val="0"/>
        <w:snapToGrid w:val="0"/>
        <w:spacing w:line="360" w:lineRule="auto"/>
        <w:jc w:val="center"/>
        <w:rPr>
          <w:sz w:val="36"/>
          <w:szCs w:val="36"/>
          <w:u w:val="single"/>
        </w:rPr>
      </w:pPr>
      <w:bookmarkStart w:id="2"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bookmarkEnd w:id="2"/>
    <w:p>
      <w:pPr>
        <w:adjustRightInd w:val="0"/>
        <w:snapToGrid w:val="0"/>
        <w:spacing w:line="288" w:lineRule="auto"/>
        <w:jc w:val="center"/>
        <w:rPr>
          <w:rFonts w:ascii="楷体_GB2312" w:eastAsia="楷体_GB2312"/>
          <w:sz w:val="36"/>
          <w:szCs w:val="36"/>
        </w:rPr>
      </w:pPr>
      <w:bookmarkStart w:id="3" w:name="_Toc11839"/>
      <w:r>
        <w:rPr>
          <w:rFonts w:hint="eastAsia" w:ascii="楷体_GB2312" w:eastAsia="楷体_GB2312"/>
          <w:sz w:val="36"/>
          <w:szCs w:val="36"/>
        </w:rPr>
        <w:t>中华人民共和国生态环境部制</w:t>
      </w:r>
      <w:bookmarkEnd w:id="3"/>
    </w:p>
    <w:p>
      <w:pPr>
        <w:rPr>
          <w:rFonts w:hint="eastAsia" w:ascii="黑体" w:hAnsi="黑体" w:eastAsia="黑体"/>
          <w:snapToGrid w:val="0"/>
          <w:sz w:val="30"/>
          <w:szCs w:val="30"/>
        </w:rPr>
      </w:pPr>
      <w:r>
        <w:rPr>
          <w:rFonts w:hint="eastAsia" w:ascii="黑体" w:hAnsi="黑体" w:eastAsia="黑体"/>
          <w:snapToGrid w:val="0"/>
          <w:sz w:val="30"/>
          <w:szCs w:val="30"/>
        </w:rPr>
        <w:br w:type="page"/>
      </w:r>
    </w:p>
    <w:p>
      <w:pPr>
        <w:rPr>
          <w:rFonts w:hint="eastAsia" w:ascii="黑体" w:hAnsi="黑体" w:eastAsia="黑体"/>
          <w:snapToGrid w:val="0"/>
          <w:sz w:val="30"/>
          <w:szCs w:val="30"/>
        </w:rPr>
      </w:pPr>
      <w:r>
        <w:rPr>
          <w:rFonts w:hint="eastAsia" w:ascii="黑体" w:hAnsi="黑体" w:eastAsia="黑体"/>
          <w:snapToGrid w:val="0"/>
          <w:sz w:val="30"/>
          <w:szCs w:val="30"/>
        </w:rPr>
        <w:br w:type="page"/>
      </w:r>
    </w:p>
    <w:p>
      <w:pPr>
        <w:pStyle w:val="16"/>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jc w:val="center"/>
        <w:textAlignment w:val="auto"/>
        <w:outlineLvl w:val="0"/>
        <w:rPr>
          <w:rFonts w:hint="eastAsia" w:ascii="黑体" w:hAnsi="黑体" w:eastAsia="黑体"/>
          <w:snapToGrid w:val="0"/>
          <w:sz w:val="30"/>
          <w:szCs w:val="30"/>
        </w:rPr>
        <w:sectPr>
          <w:pgSz w:w="11907" w:h="16840"/>
          <w:pgMar w:top="1474" w:right="1417" w:bottom="1474" w:left="1417"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6"/>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1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45"/>
        <w:gridCol w:w="1649"/>
        <w:gridCol w:w="1984"/>
        <w:gridCol w:w="1923"/>
        <w:gridCol w:w="30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50" w:type="pct"/>
            <w:gridSpan w:val="2"/>
            <w:tcBorders>
              <w:tl2br w:val="nil"/>
              <w:tr2bl w:val="nil"/>
            </w:tcBorders>
            <w:tcMar>
              <w:top w:w="16" w:type="dxa"/>
              <w:left w:w="16" w:type="dxa"/>
              <w:right w:w="16" w:type="dxa"/>
            </w:tcMar>
            <w:vAlign w:val="center"/>
          </w:tcPr>
          <w:p>
            <w:pPr>
              <w:adjustRightInd w:val="0"/>
              <w:snapToGrid w:val="0"/>
              <w:jc w:val="center"/>
              <w:rPr>
                <w:sz w:val="24"/>
              </w:rPr>
            </w:pPr>
            <w:r>
              <w:rPr>
                <w:sz w:val="24"/>
              </w:rPr>
              <w:t>建设项目名称</w:t>
            </w:r>
          </w:p>
        </w:tc>
        <w:tc>
          <w:tcPr>
            <w:tcW w:w="3849" w:type="pct"/>
            <w:gridSpan w:val="3"/>
            <w:tcBorders>
              <w:tl2br w:val="nil"/>
              <w:tr2bl w:val="nil"/>
            </w:tcBorders>
            <w:vAlign w:val="center"/>
          </w:tcPr>
          <w:p>
            <w:pPr>
              <w:adjustRightInd w:val="0"/>
              <w:snapToGrid w:val="0"/>
              <w:jc w:val="center"/>
              <w:rPr>
                <w:sz w:val="24"/>
              </w:rPr>
            </w:pPr>
            <w:r>
              <w:rPr>
                <w:rFonts w:hint="eastAsia"/>
                <w:sz w:val="24"/>
              </w:rPr>
              <w:t>智能包装制造项目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50" w:type="pct"/>
            <w:gridSpan w:val="2"/>
            <w:tcBorders>
              <w:tl2br w:val="nil"/>
              <w:tr2bl w:val="nil"/>
            </w:tcBorders>
            <w:tcMar>
              <w:top w:w="16" w:type="dxa"/>
              <w:left w:w="16" w:type="dxa"/>
              <w:right w:w="16" w:type="dxa"/>
            </w:tcMar>
            <w:vAlign w:val="center"/>
          </w:tcPr>
          <w:p>
            <w:pPr>
              <w:adjustRightInd w:val="0"/>
              <w:snapToGrid w:val="0"/>
              <w:jc w:val="center"/>
              <w:rPr>
                <w:sz w:val="24"/>
              </w:rPr>
            </w:pPr>
            <w:r>
              <w:rPr>
                <w:sz w:val="24"/>
              </w:rPr>
              <w:t>项目代码</w:t>
            </w:r>
          </w:p>
        </w:tc>
        <w:tc>
          <w:tcPr>
            <w:tcW w:w="3849" w:type="pct"/>
            <w:gridSpan w:val="3"/>
            <w:tcBorders>
              <w:tl2br w:val="nil"/>
              <w:tr2bl w:val="nil"/>
            </w:tcBorders>
            <w:vAlign w:val="center"/>
          </w:tcPr>
          <w:p>
            <w:pPr>
              <w:widowControl/>
              <w:adjustRightInd/>
              <w:snapToGrid/>
              <w:jc w:val="center"/>
              <w:rPr>
                <w:sz w:val="24"/>
              </w:rPr>
            </w:pPr>
            <w:r>
              <w:rPr>
                <w:rFonts w:hint="default" w:ascii="Times New Roman" w:hAnsi="Times New Roman" w:eastAsia="新宋体" w:cs="Times New Roman"/>
                <w:color w:val="000000"/>
                <w:kern w:val="0"/>
                <w:sz w:val="24"/>
                <w:szCs w:val="24"/>
                <w:lang w:val="en-US" w:eastAsia="zh-CN" w:bidi="ar"/>
              </w:rPr>
              <w:t>2306-320621-89-01-508977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50" w:type="pct"/>
            <w:gridSpan w:val="2"/>
            <w:tcBorders>
              <w:tl2br w:val="nil"/>
              <w:tr2bl w:val="nil"/>
            </w:tcBorders>
            <w:tcMar>
              <w:top w:w="16" w:type="dxa"/>
              <w:left w:w="16" w:type="dxa"/>
              <w:right w:w="16" w:type="dxa"/>
            </w:tcMar>
            <w:vAlign w:val="center"/>
          </w:tcPr>
          <w:p>
            <w:pPr>
              <w:adjustRightInd w:val="0"/>
              <w:snapToGrid w:val="0"/>
              <w:jc w:val="center"/>
              <w:rPr>
                <w:sz w:val="24"/>
              </w:rPr>
            </w:pPr>
            <w:r>
              <w:rPr>
                <w:sz w:val="24"/>
              </w:rPr>
              <w:t>建设单位联系人</w:t>
            </w:r>
          </w:p>
        </w:tc>
        <w:tc>
          <w:tcPr>
            <w:tcW w:w="1090" w:type="pct"/>
            <w:tcBorders>
              <w:tl2br w:val="nil"/>
              <w:tr2bl w:val="nil"/>
            </w:tcBorders>
            <w:vAlign w:val="center"/>
          </w:tcPr>
          <w:p>
            <w:pPr>
              <w:adjustRightInd w:val="0"/>
              <w:snapToGrid w:val="0"/>
              <w:jc w:val="center"/>
              <w:rPr>
                <w:sz w:val="24"/>
              </w:rPr>
            </w:pPr>
            <w:r>
              <w:rPr>
                <w:rFonts w:hint="eastAsia"/>
                <w:sz w:val="24"/>
              </w:rPr>
              <w:t>金爱红</w:t>
            </w:r>
          </w:p>
        </w:tc>
        <w:tc>
          <w:tcPr>
            <w:tcW w:w="1056" w:type="pct"/>
            <w:tcBorders>
              <w:tl2br w:val="nil"/>
              <w:tr2bl w:val="nil"/>
            </w:tcBorders>
            <w:vAlign w:val="center"/>
          </w:tcPr>
          <w:p>
            <w:pPr>
              <w:adjustRightInd w:val="0"/>
              <w:snapToGrid w:val="0"/>
              <w:jc w:val="center"/>
              <w:rPr>
                <w:sz w:val="24"/>
              </w:rPr>
            </w:pPr>
            <w:r>
              <w:rPr>
                <w:sz w:val="24"/>
              </w:rPr>
              <w:t>联系方式</w:t>
            </w:r>
          </w:p>
        </w:tc>
        <w:tc>
          <w:tcPr>
            <w:tcW w:w="1702" w:type="pct"/>
            <w:tcBorders>
              <w:tl2br w:val="nil"/>
              <w:tr2bl w:val="nil"/>
            </w:tcBorders>
            <w:vAlign w:val="center"/>
          </w:tcPr>
          <w:p>
            <w:pPr>
              <w:adjustRightInd w:val="0"/>
              <w:snapToGrid w:val="0"/>
              <w:jc w:val="center"/>
              <w:rPr>
                <w:sz w:val="24"/>
              </w:rPr>
            </w:pPr>
            <w:r>
              <w:rPr>
                <w:sz w:val="24"/>
              </w:rPr>
              <w:t>13913119735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50" w:type="pct"/>
            <w:gridSpan w:val="2"/>
            <w:tcBorders>
              <w:tl2br w:val="nil"/>
              <w:tr2bl w:val="nil"/>
            </w:tcBorders>
            <w:tcMar>
              <w:top w:w="16" w:type="dxa"/>
              <w:left w:w="16" w:type="dxa"/>
              <w:right w:w="16" w:type="dxa"/>
            </w:tcMar>
            <w:vAlign w:val="center"/>
          </w:tcPr>
          <w:p>
            <w:pPr>
              <w:adjustRightInd w:val="0"/>
              <w:snapToGrid w:val="0"/>
              <w:jc w:val="center"/>
              <w:rPr>
                <w:sz w:val="24"/>
              </w:rPr>
            </w:pPr>
            <w:r>
              <w:rPr>
                <w:sz w:val="24"/>
              </w:rPr>
              <w:t>建设地点</w:t>
            </w:r>
          </w:p>
        </w:tc>
        <w:tc>
          <w:tcPr>
            <w:tcW w:w="3849" w:type="pct"/>
            <w:gridSpan w:val="3"/>
            <w:tcBorders>
              <w:tl2br w:val="nil"/>
              <w:tr2bl w:val="nil"/>
            </w:tcBorders>
            <w:vAlign w:val="center"/>
          </w:tcPr>
          <w:p>
            <w:pPr>
              <w:adjustRightInd w:val="0"/>
              <w:snapToGrid w:val="0"/>
              <w:jc w:val="center"/>
              <w:rPr>
                <w:sz w:val="24"/>
              </w:rPr>
            </w:pPr>
            <w:r>
              <w:rPr>
                <w:rFonts w:hint="eastAsia"/>
                <w:sz w:val="24"/>
              </w:rPr>
              <w:t>江苏</w:t>
            </w:r>
            <w:r>
              <w:rPr>
                <w:sz w:val="24"/>
              </w:rPr>
              <w:t>省</w:t>
            </w:r>
            <w:r>
              <w:rPr>
                <w:rFonts w:hint="eastAsia"/>
                <w:sz w:val="24"/>
              </w:rPr>
              <w:t>南通</w:t>
            </w:r>
            <w:r>
              <w:rPr>
                <w:sz w:val="24"/>
              </w:rPr>
              <w:t>市</w:t>
            </w:r>
            <w:r>
              <w:rPr>
                <w:rFonts w:hint="eastAsia"/>
                <w:sz w:val="24"/>
              </w:rPr>
              <w:t>海安市大公镇科技产业园开发大道606号23幢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50" w:type="pct"/>
            <w:gridSpan w:val="2"/>
            <w:tcBorders>
              <w:tl2br w:val="nil"/>
              <w:tr2bl w:val="nil"/>
            </w:tcBorders>
            <w:tcMar>
              <w:top w:w="16" w:type="dxa"/>
              <w:left w:w="16" w:type="dxa"/>
              <w:right w:w="16" w:type="dxa"/>
            </w:tcMar>
            <w:vAlign w:val="center"/>
          </w:tcPr>
          <w:p>
            <w:pPr>
              <w:adjustRightInd w:val="0"/>
              <w:snapToGrid w:val="0"/>
              <w:jc w:val="center"/>
              <w:rPr>
                <w:sz w:val="24"/>
              </w:rPr>
            </w:pPr>
            <w:r>
              <w:rPr>
                <w:sz w:val="24"/>
              </w:rPr>
              <w:t>地理坐标</w:t>
            </w:r>
          </w:p>
        </w:tc>
        <w:tc>
          <w:tcPr>
            <w:tcW w:w="3849" w:type="pct"/>
            <w:gridSpan w:val="3"/>
            <w:tcBorders>
              <w:tl2br w:val="nil"/>
              <w:tr2bl w:val="nil"/>
            </w:tcBorders>
            <w:vAlign w:val="center"/>
          </w:tcPr>
          <w:p>
            <w:pPr>
              <w:jc w:val="center"/>
              <w:rPr>
                <w:sz w:val="24"/>
              </w:rPr>
            </w:pPr>
            <w:r>
              <w:rPr>
                <w:sz w:val="24"/>
              </w:rPr>
              <w:t>（</w:t>
            </w:r>
            <w:r>
              <w:rPr>
                <w:rFonts w:hint="eastAsia"/>
                <w:sz w:val="24"/>
                <w:u w:val="single"/>
                <w:lang w:val="en-US" w:eastAsia="zh-CN"/>
              </w:rPr>
              <w:t>120</w:t>
            </w:r>
            <w:r>
              <w:rPr>
                <w:sz w:val="24"/>
              </w:rPr>
              <w:t>度</w:t>
            </w:r>
            <w:r>
              <w:rPr>
                <w:rFonts w:hint="eastAsia"/>
                <w:sz w:val="24"/>
                <w:u w:val="single"/>
                <w:lang w:val="en-US" w:eastAsia="zh-CN"/>
              </w:rPr>
              <w:t>31</w:t>
            </w:r>
            <w:r>
              <w:rPr>
                <w:sz w:val="24"/>
              </w:rPr>
              <w:t>分</w:t>
            </w:r>
            <w:r>
              <w:rPr>
                <w:rFonts w:hint="eastAsia"/>
                <w:sz w:val="24"/>
                <w:u w:val="single"/>
                <w:lang w:val="en-US" w:eastAsia="zh-CN"/>
              </w:rPr>
              <w:t>27.953</w:t>
            </w:r>
            <w:r>
              <w:rPr>
                <w:sz w:val="24"/>
              </w:rPr>
              <w:t>秒，</w:t>
            </w:r>
            <w:r>
              <w:rPr>
                <w:rFonts w:hint="eastAsia"/>
                <w:sz w:val="24"/>
                <w:u w:val="single"/>
                <w:lang w:val="en-US" w:eastAsia="zh-CN"/>
              </w:rPr>
              <w:t>32</w:t>
            </w:r>
            <w:r>
              <w:rPr>
                <w:sz w:val="24"/>
              </w:rPr>
              <w:t>度</w:t>
            </w:r>
            <w:r>
              <w:rPr>
                <w:rFonts w:hint="eastAsia"/>
                <w:sz w:val="24"/>
                <w:u w:val="single"/>
                <w:lang w:val="en-US" w:eastAsia="zh-CN"/>
              </w:rPr>
              <w:t>35</w:t>
            </w:r>
            <w:r>
              <w:rPr>
                <w:sz w:val="24"/>
              </w:rPr>
              <w:t>分</w:t>
            </w:r>
            <w:r>
              <w:rPr>
                <w:rFonts w:hint="eastAsia"/>
                <w:sz w:val="24"/>
                <w:u w:val="single"/>
                <w:lang w:val="en-US" w:eastAsia="zh-CN"/>
              </w:rPr>
              <w:t>54.273</w:t>
            </w:r>
            <w:r>
              <w:rPr>
                <w:sz w:val="24"/>
              </w:rPr>
              <w:t>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50" w:type="pct"/>
            <w:gridSpan w:val="2"/>
            <w:tcBorders>
              <w:tl2br w:val="nil"/>
              <w:tr2bl w:val="nil"/>
            </w:tcBorders>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4"/>
              </w:rPr>
            </w:pPr>
            <w:r>
              <w:rPr>
                <w:sz w:val="24"/>
              </w:rPr>
              <w:t>国民经济</w:t>
            </w:r>
          </w:p>
          <w:p>
            <w:pPr>
              <w:keepNext w:val="0"/>
              <w:keepLines w:val="0"/>
              <w:pageBreakBefore w:val="0"/>
              <w:widowControl w:val="0"/>
              <w:kinsoku/>
              <w:wordWrap/>
              <w:overflowPunct/>
              <w:topLinePunct w:val="0"/>
              <w:autoSpaceDE/>
              <w:autoSpaceDN/>
              <w:bidi w:val="0"/>
              <w:adjustRightInd w:val="0"/>
              <w:snapToGrid w:val="0"/>
              <w:jc w:val="center"/>
              <w:textAlignment w:val="auto"/>
              <w:rPr>
                <w:sz w:val="24"/>
              </w:rPr>
            </w:pPr>
            <w:r>
              <w:rPr>
                <w:sz w:val="24"/>
              </w:rPr>
              <w:t>行业类别</w:t>
            </w:r>
          </w:p>
        </w:tc>
        <w:tc>
          <w:tcPr>
            <w:tcW w:w="10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C2035</w:t>
            </w:r>
            <w:r>
              <w:rPr>
                <w:rFonts w:ascii="Times New Roman" w:hAnsi="Times New Roman" w:eastAsia="宋体" w:cs="Times New Roman"/>
                <w:sz w:val="24"/>
              </w:rPr>
              <w:t>]</w:t>
            </w:r>
            <w:r>
              <w:rPr>
                <w:rFonts w:hint="eastAsia" w:ascii="Times New Roman" w:hAnsi="Times New Roman" w:eastAsia="宋体" w:cs="Times New Roman"/>
                <w:sz w:val="24"/>
              </w:rPr>
              <w:t>木</w:t>
            </w:r>
            <w:r>
              <w:rPr>
                <w:rFonts w:hint="eastAsia"/>
                <w:sz w:val="24"/>
                <w:szCs w:val="24"/>
                <w:lang w:val="en-US" w:eastAsia="zh-CN"/>
              </w:rPr>
              <w:t>制</w:t>
            </w:r>
            <w:r>
              <w:rPr>
                <w:rFonts w:hint="eastAsia" w:ascii="Times New Roman" w:hAnsi="Times New Roman" w:eastAsia="宋体" w:cs="Times New Roman"/>
                <w:sz w:val="24"/>
              </w:rPr>
              <w:t>容器制造；</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[C2926</w:t>
            </w:r>
            <w:r>
              <w:rPr>
                <w:rFonts w:ascii="Times New Roman" w:hAnsi="Times New Roman" w:eastAsia="宋体" w:cs="Times New Roman"/>
                <w:sz w:val="24"/>
              </w:rPr>
              <w:t>]</w:t>
            </w:r>
            <w:r>
              <w:rPr>
                <w:rFonts w:hint="eastAsia" w:ascii="Times New Roman" w:hAnsi="Times New Roman" w:eastAsia="宋体" w:cs="Times New Roman"/>
                <w:sz w:val="24"/>
              </w:rPr>
              <w:t>塑料包装箱及容器制造；</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 w:val="24"/>
                <w:lang w:val="en-US" w:eastAsia="zh-CN"/>
              </w:rPr>
            </w:pPr>
            <w:r>
              <w:rPr>
                <w:rFonts w:hint="eastAsia" w:ascii="Times New Roman" w:hAnsi="Times New Roman" w:eastAsia="宋体" w:cs="Times New Roman"/>
                <w:sz w:val="24"/>
              </w:rPr>
              <w:t>[C223</w:t>
            </w:r>
            <w:r>
              <w:rPr>
                <w:rFonts w:hint="eastAsia" w:cs="Times New Roman"/>
                <w:sz w:val="24"/>
                <w:lang w:val="en-US" w:eastAsia="zh-CN"/>
              </w:rPr>
              <w:t>9</w:t>
            </w:r>
            <w:r>
              <w:rPr>
                <w:rFonts w:ascii="Times New Roman" w:hAnsi="Times New Roman" w:eastAsia="宋体" w:cs="Times New Roman"/>
                <w:sz w:val="24"/>
              </w:rPr>
              <w:t>]</w:t>
            </w:r>
            <w:r>
              <w:rPr>
                <w:rFonts w:hint="eastAsia" w:cs="Times New Roman"/>
                <w:sz w:val="24"/>
                <w:lang w:val="en-US" w:eastAsia="zh-CN"/>
              </w:rPr>
              <w:t>其他纸制品</w:t>
            </w:r>
            <w:r>
              <w:rPr>
                <w:rFonts w:hint="eastAsia" w:ascii="Times New Roman" w:hAnsi="Times New Roman" w:eastAsia="宋体" w:cs="Times New Roman"/>
                <w:sz w:val="24"/>
              </w:rPr>
              <w:t>制造；[C2924</w:t>
            </w:r>
            <w:r>
              <w:rPr>
                <w:rFonts w:ascii="Times New Roman" w:hAnsi="Times New Roman" w:eastAsia="宋体" w:cs="Times New Roman"/>
                <w:sz w:val="24"/>
              </w:rPr>
              <w:t>]</w:t>
            </w:r>
            <w:r>
              <w:rPr>
                <w:rFonts w:hint="eastAsia" w:ascii="Times New Roman" w:hAnsi="Times New Roman" w:eastAsia="宋体" w:cs="Times New Roman"/>
                <w:sz w:val="24"/>
              </w:rPr>
              <w:t>泡沫</w:t>
            </w:r>
            <w:r>
              <w:rPr>
                <w:rFonts w:hint="eastAsia" w:ascii="Times New Roman" w:hAnsi="Times New Roman" w:eastAsia="宋体" w:cs="Times New Roman"/>
                <w:sz w:val="24"/>
                <w:lang w:val="en-US" w:eastAsia="zh-CN"/>
              </w:rPr>
              <w:t>塑料制造</w:t>
            </w:r>
          </w:p>
        </w:tc>
        <w:tc>
          <w:tcPr>
            <w:tcW w:w="1056" w:type="pct"/>
            <w:tcBorders>
              <w:tl2br w:val="nil"/>
              <w:tr2bl w:val="nil"/>
            </w:tcBorders>
            <w:vAlign w:val="center"/>
          </w:tcPr>
          <w:p>
            <w:pPr>
              <w:adjustRightInd w:val="0"/>
              <w:snapToGrid w:val="0"/>
              <w:jc w:val="center"/>
              <w:rPr>
                <w:sz w:val="24"/>
              </w:rPr>
            </w:pPr>
            <w:bookmarkStart w:id="4" w:name="_Hlk49843745"/>
            <w:r>
              <w:rPr>
                <w:sz w:val="24"/>
              </w:rPr>
              <w:t>建设项目</w:t>
            </w:r>
          </w:p>
          <w:p>
            <w:pPr>
              <w:adjustRightInd w:val="0"/>
              <w:snapToGrid w:val="0"/>
              <w:jc w:val="center"/>
              <w:rPr>
                <w:sz w:val="24"/>
              </w:rPr>
            </w:pPr>
            <w:r>
              <w:rPr>
                <w:sz w:val="24"/>
              </w:rPr>
              <w:t>行业类别</w:t>
            </w:r>
            <w:bookmarkEnd w:id="4"/>
          </w:p>
        </w:tc>
        <w:tc>
          <w:tcPr>
            <w:tcW w:w="170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sz w:val="21"/>
                <w:szCs w:val="21"/>
                <w:lang w:val="en-US" w:eastAsia="zh-CN"/>
              </w:rPr>
            </w:pPr>
            <w:r>
              <w:rPr>
                <w:rFonts w:hint="eastAsia"/>
                <w:sz w:val="21"/>
                <w:szCs w:val="21"/>
                <w:lang w:val="en-US" w:eastAsia="zh-CN"/>
              </w:rPr>
              <w:t>十七、木材加工和木、竹、藤、棕、草制品业20-33木材加工201；木质制品制造203-年用溶剂型涂料（含稀释剂）10吨以下的，或年用非溶剂型低VOC</w:t>
            </w:r>
            <w:r>
              <w:rPr>
                <w:rFonts w:hint="eastAsia"/>
                <w:sz w:val="21"/>
                <w:szCs w:val="21"/>
                <w:vertAlign w:val="subscript"/>
                <w:lang w:val="en-US" w:eastAsia="zh-CN"/>
              </w:rPr>
              <w:t>S</w:t>
            </w:r>
            <w:r>
              <w:rPr>
                <w:rFonts w:hint="eastAsia"/>
                <w:sz w:val="21"/>
                <w:szCs w:val="21"/>
                <w:vertAlign w:val="baseline"/>
                <w:lang w:val="en-US" w:eastAsia="zh-CN"/>
              </w:rPr>
              <w:t>含量涂料10吨及以上的；含木片烘干、水煮、染色等工艺的</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sz w:val="21"/>
                <w:szCs w:val="21"/>
                <w:lang w:val="en-US" w:eastAsia="zh-CN"/>
              </w:rPr>
            </w:pPr>
            <w:r>
              <w:rPr>
                <w:rFonts w:hint="eastAsia"/>
                <w:sz w:val="21"/>
                <w:szCs w:val="21"/>
                <w:lang w:val="en-US" w:eastAsia="zh-CN"/>
              </w:rPr>
              <w:t>十九、造纸和纸制品业22-38纸制品制造223-有涂布、浸渍、印刷、粘胶工艺的</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eastAsia="宋体"/>
                <w:sz w:val="24"/>
                <w:lang w:val="en-US" w:eastAsia="zh-CN"/>
              </w:rPr>
            </w:pPr>
            <w:r>
              <w:rPr>
                <w:rFonts w:hint="eastAsia"/>
                <w:sz w:val="21"/>
                <w:szCs w:val="21"/>
                <w:lang w:val="en-US" w:eastAsia="zh-CN"/>
              </w:rPr>
              <w:t>二十六、橡胶和塑料制品业29-53塑料制品业292-其他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50" w:type="pct"/>
            <w:gridSpan w:val="2"/>
            <w:tcBorders>
              <w:tl2br w:val="nil"/>
              <w:tr2bl w:val="nil"/>
            </w:tcBorders>
            <w:tcMar>
              <w:top w:w="16" w:type="dxa"/>
              <w:left w:w="16" w:type="dxa"/>
              <w:right w:w="16" w:type="dxa"/>
            </w:tcMar>
            <w:vAlign w:val="center"/>
          </w:tcPr>
          <w:p>
            <w:pPr>
              <w:adjustRightInd w:val="0"/>
              <w:snapToGrid w:val="0"/>
              <w:jc w:val="center"/>
              <w:rPr>
                <w:sz w:val="24"/>
              </w:rPr>
            </w:pPr>
            <w:r>
              <w:rPr>
                <w:sz w:val="24"/>
              </w:rPr>
              <w:t>建设性质</w:t>
            </w:r>
          </w:p>
        </w:tc>
        <w:tc>
          <w:tcPr>
            <w:tcW w:w="1090" w:type="pct"/>
            <w:tcBorders>
              <w:tl2br w:val="nil"/>
              <w:tr2bl w:val="nil"/>
            </w:tcBorders>
            <w:vAlign w:val="center"/>
          </w:tcPr>
          <w:p>
            <w:pPr>
              <w:jc w:val="left"/>
              <w:rPr>
                <w:sz w:val="24"/>
              </w:rPr>
            </w:pPr>
            <w:r>
              <w:rPr>
                <w:sz w:val="24"/>
              </w:rPr>
              <w:sym w:font="Wingdings 2" w:char="0052"/>
            </w:r>
            <w:r>
              <w:rPr>
                <w:sz w:val="24"/>
              </w:rPr>
              <w:t>新建（迁建）</w:t>
            </w:r>
          </w:p>
          <w:p>
            <w:pPr>
              <w:jc w:val="left"/>
              <w:rPr>
                <w:sz w:val="24"/>
              </w:rPr>
            </w:pPr>
            <w:r>
              <w:rPr>
                <w:sz w:val="24"/>
              </w:rPr>
              <w:sym w:font="Wingdings 2" w:char="00A3"/>
            </w:r>
            <w:r>
              <w:rPr>
                <w:sz w:val="24"/>
              </w:rPr>
              <w:t>改建</w:t>
            </w:r>
          </w:p>
          <w:p>
            <w:pPr>
              <w:jc w:val="left"/>
              <w:rPr>
                <w:sz w:val="24"/>
              </w:rPr>
            </w:pPr>
            <w:r>
              <w:rPr>
                <w:sz w:val="24"/>
              </w:rPr>
              <w:sym w:font="Wingdings 2" w:char="00A3"/>
            </w:r>
            <w:r>
              <w:rPr>
                <w:sz w:val="24"/>
              </w:rPr>
              <w:t>扩建</w:t>
            </w:r>
          </w:p>
          <w:p>
            <w:pPr>
              <w:jc w:val="left"/>
              <w:rPr>
                <w:sz w:val="24"/>
              </w:rPr>
            </w:pPr>
            <w:r>
              <w:rPr>
                <w:sz w:val="24"/>
              </w:rPr>
              <w:sym w:font="Wingdings 2" w:char="00A3"/>
            </w:r>
            <w:r>
              <w:rPr>
                <w:sz w:val="24"/>
              </w:rPr>
              <w:t>技术改造</w:t>
            </w:r>
          </w:p>
        </w:tc>
        <w:tc>
          <w:tcPr>
            <w:tcW w:w="1056" w:type="pct"/>
            <w:tcBorders>
              <w:tl2br w:val="nil"/>
              <w:tr2bl w:val="nil"/>
            </w:tcBorders>
            <w:vAlign w:val="center"/>
          </w:tcPr>
          <w:p>
            <w:pPr>
              <w:adjustRightInd w:val="0"/>
              <w:snapToGrid w:val="0"/>
              <w:jc w:val="center"/>
              <w:rPr>
                <w:sz w:val="24"/>
              </w:rPr>
            </w:pPr>
            <w:r>
              <w:rPr>
                <w:sz w:val="24"/>
              </w:rPr>
              <w:t>建设项目</w:t>
            </w:r>
          </w:p>
          <w:p>
            <w:pPr>
              <w:adjustRightInd w:val="0"/>
              <w:snapToGrid w:val="0"/>
              <w:jc w:val="center"/>
              <w:rPr>
                <w:sz w:val="24"/>
              </w:rPr>
            </w:pPr>
            <w:r>
              <w:rPr>
                <w:sz w:val="24"/>
              </w:rPr>
              <w:t>申报情形</w:t>
            </w:r>
          </w:p>
        </w:tc>
        <w:tc>
          <w:tcPr>
            <w:tcW w:w="1702" w:type="pct"/>
            <w:tcBorders>
              <w:tl2br w:val="nil"/>
              <w:tr2bl w:val="nil"/>
            </w:tcBorders>
            <w:vAlign w:val="center"/>
          </w:tcPr>
          <w:p>
            <w:pPr>
              <w:jc w:val="left"/>
              <w:rPr>
                <w:sz w:val="24"/>
              </w:rPr>
            </w:pPr>
            <w:r>
              <w:rPr>
                <w:sz w:val="24"/>
              </w:rPr>
              <w:sym w:font="Wingdings 2" w:char="0052"/>
            </w:r>
            <w:r>
              <w:rPr>
                <w:sz w:val="24"/>
              </w:rPr>
              <w:t xml:space="preserve">首次申报项目             </w:t>
            </w:r>
          </w:p>
          <w:p>
            <w:pPr>
              <w:jc w:val="left"/>
              <w:rPr>
                <w:sz w:val="24"/>
              </w:rPr>
            </w:pPr>
            <w:r>
              <w:rPr>
                <w:sz w:val="24"/>
              </w:rPr>
              <w:sym w:font="Wingdings 2" w:char="00A3"/>
            </w:r>
            <w:r>
              <w:rPr>
                <w:sz w:val="24"/>
              </w:rPr>
              <w:t>不予批准后再次申报项目</w:t>
            </w:r>
          </w:p>
          <w:p>
            <w:pPr>
              <w:jc w:val="left"/>
              <w:rPr>
                <w:sz w:val="24"/>
              </w:rPr>
            </w:pPr>
            <w:r>
              <w:rPr>
                <w:sz w:val="24"/>
              </w:rPr>
              <w:sym w:font="Wingdings 2" w:char="00A3"/>
            </w:r>
            <w:r>
              <w:rPr>
                <w:sz w:val="24"/>
              </w:rPr>
              <w:t xml:space="preserve">超五年重新审核项目     </w:t>
            </w:r>
          </w:p>
          <w:p>
            <w:pPr>
              <w:jc w:val="left"/>
              <w:rPr>
                <w:sz w:val="24"/>
              </w:rPr>
            </w:pPr>
            <w:r>
              <w:rPr>
                <w:sz w:val="24"/>
              </w:rPr>
              <w:sym w:font="Wingdings 2" w:char="00A3"/>
            </w:r>
            <w:r>
              <w:rPr>
                <w:sz w:val="24"/>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50" w:type="pct"/>
            <w:gridSpan w:val="2"/>
            <w:tcBorders>
              <w:tl2br w:val="nil"/>
              <w:tr2bl w:val="nil"/>
            </w:tcBorders>
            <w:tcMar>
              <w:top w:w="16" w:type="dxa"/>
              <w:left w:w="16" w:type="dxa"/>
              <w:right w:w="16" w:type="dxa"/>
            </w:tcMar>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备案）部门（选填）</w:t>
            </w:r>
          </w:p>
        </w:tc>
        <w:tc>
          <w:tcPr>
            <w:tcW w:w="1090" w:type="pct"/>
            <w:tcBorders>
              <w:tl2br w:val="nil"/>
              <w:tr2bl w:val="nil"/>
            </w:tcBorders>
            <w:vAlign w:val="center"/>
          </w:tcPr>
          <w:p>
            <w:pPr>
              <w:keepNext w:val="0"/>
              <w:keepLines w:val="0"/>
              <w:widowControl/>
              <w:suppressLineNumbers w:val="0"/>
              <w:jc w:val="center"/>
              <w:rPr>
                <w:sz w:val="24"/>
              </w:rPr>
            </w:pPr>
            <w:r>
              <w:rPr>
                <w:rFonts w:hint="eastAsia" w:asciiTheme="majorEastAsia" w:hAnsiTheme="majorEastAsia" w:eastAsiaTheme="majorEastAsia" w:cstheme="majorEastAsia"/>
                <w:color w:val="000000"/>
                <w:kern w:val="0"/>
                <w:sz w:val="24"/>
                <w:szCs w:val="24"/>
                <w:lang w:val="en-US" w:eastAsia="zh-CN" w:bidi="ar"/>
              </w:rPr>
              <w:t>海安市行政审批局</w:t>
            </w:r>
          </w:p>
        </w:tc>
        <w:tc>
          <w:tcPr>
            <w:tcW w:w="1056" w:type="pct"/>
            <w:tcBorders>
              <w:tl2br w:val="nil"/>
              <w:tr2bl w:val="nil"/>
            </w:tcBorders>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备案）文号（选填）</w:t>
            </w:r>
          </w:p>
        </w:tc>
        <w:tc>
          <w:tcPr>
            <w:tcW w:w="1702" w:type="pct"/>
            <w:tcBorders>
              <w:tl2br w:val="nil"/>
              <w:tr2bl w:val="nil"/>
            </w:tcBorders>
            <w:vAlign w:val="center"/>
          </w:tcPr>
          <w:p>
            <w:pPr>
              <w:keepNext w:val="0"/>
              <w:keepLines w:val="0"/>
              <w:widowControl/>
              <w:suppressLineNumbers w:val="0"/>
              <w:ind w:firstLine="240" w:firstLineChars="100"/>
              <w:jc w:val="left"/>
              <w:rPr>
                <w:sz w:val="24"/>
              </w:rPr>
            </w:pPr>
            <w:r>
              <w:rPr>
                <w:rFonts w:hint="eastAsia" w:ascii="宋体" w:hAnsi="宋体" w:eastAsia="宋体" w:cs="宋体"/>
                <w:color w:val="000000"/>
                <w:kern w:val="0"/>
                <w:sz w:val="24"/>
                <w:szCs w:val="24"/>
                <w:lang w:val="en-US" w:eastAsia="zh-CN" w:bidi="ar"/>
              </w:rPr>
              <w:t>海行审备</w:t>
            </w:r>
            <w:r>
              <w:rPr>
                <w:rFonts w:hint="default" w:ascii="Times New Roman" w:hAnsi="Times New Roman" w:eastAsia="宋体" w:cs="Times New Roman"/>
                <w:color w:val="000000"/>
                <w:kern w:val="0"/>
                <w:sz w:val="24"/>
                <w:szCs w:val="24"/>
                <w:lang w:val="en-US" w:eastAsia="zh-CN" w:bidi="ar"/>
              </w:rPr>
              <w:t>〔2023〕286</w:t>
            </w:r>
            <w:r>
              <w:rPr>
                <w:rFonts w:hint="eastAsia" w:ascii="宋体" w:hAnsi="宋体" w:eastAsia="宋体" w:cs="宋体"/>
                <w:color w:val="000000"/>
                <w:kern w:val="0"/>
                <w:sz w:val="24"/>
                <w:szCs w:val="24"/>
                <w:lang w:val="en-US" w:eastAsia="zh-CN" w:bidi="ar"/>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50" w:type="pct"/>
            <w:gridSpan w:val="2"/>
            <w:tcBorders>
              <w:tl2br w:val="nil"/>
              <w:tr2bl w:val="nil"/>
            </w:tcBorders>
            <w:tcMar>
              <w:top w:w="16" w:type="dxa"/>
              <w:left w:w="16" w:type="dxa"/>
              <w:right w:w="16" w:type="dxa"/>
            </w:tcMar>
            <w:vAlign w:val="center"/>
          </w:tcPr>
          <w:p>
            <w:pPr>
              <w:adjustRightInd w:val="0"/>
              <w:snapToGrid w:val="0"/>
              <w:jc w:val="center"/>
              <w:rPr>
                <w:sz w:val="24"/>
              </w:rPr>
            </w:pPr>
            <w:r>
              <w:rPr>
                <w:sz w:val="24"/>
              </w:rPr>
              <w:t>总投资（万元）</w:t>
            </w:r>
          </w:p>
        </w:tc>
        <w:tc>
          <w:tcPr>
            <w:tcW w:w="1090" w:type="pct"/>
            <w:tcBorders>
              <w:tl2br w:val="nil"/>
              <w:tr2bl w:val="nil"/>
            </w:tcBorders>
            <w:vAlign w:val="center"/>
          </w:tcPr>
          <w:p>
            <w:pPr>
              <w:adjustRightInd w:val="0"/>
              <w:snapToGrid w:val="0"/>
              <w:jc w:val="center"/>
              <w:rPr>
                <w:sz w:val="24"/>
              </w:rPr>
            </w:pPr>
            <w:r>
              <w:rPr>
                <w:rFonts w:hint="eastAsia"/>
                <w:sz w:val="24"/>
              </w:rPr>
              <w:t>1</w:t>
            </w:r>
            <w:r>
              <w:rPr>
                <w:sz w:val="24"/>
              </w:rPr>
              <w:t>500</w:t>
            </w:r>
          </w:p>
        </w:tc>
        <w:tc>
          <w:tcPr>
            <w:tcW w:w="1056" w:type="pct"/>
            <w:tcBorders>
              <w:tl2br w:val="nil"/>
              <w:tr2bl w:val="nil"/>
            </w:tcBorders>
            <w:tcMar>
              <w:top w:w="16" w:type="dxa"/>
              <w:left w:w="16" w:type="dxa"/>
              <w:right w:w="16" w:type="dxa"/>
            </w:tcMar>
            <w:vAlign w:val="center"/>
          </w:tcPr>
          <w:p>
            <w:pPr>
              <w:adjustRightInd w:val="0"/>
              <w:snapToGrid w:val="0"/>
              <w:jc w:val="center"/>
              <w:rPr>
                <w:sz w:val="24"/>
              </w:rPr>
            </w:pPr>
            <w:r>
              <w:rPr>
                <w:sz w:val="24"/>
              </w:rPr>
              <w:t>环保投资（万元）</w:t>
            </w:r>
          </w:p>
        </w:tc>
        <w:tc>
          <w:tcPr>
            <w:tcW w:w="1702" w:type="pct"/>
            <w:tcBorders>
              <w:tl2br w:val="nil"/>
              <w:tr2bl w:val="nil"/>
            </w:tcBorders>
            <w:vAlign w:val="center"/>
          </w:tcPr>
          <w:p>
            <w:pPr>
              <w:adjustRightInd w:val="0"/>
              <w:snapToGrid w:val="0"/>
              <w:jc w:val="center"/>
              <w:rPr>
                <w:rFonts w:hint="default" w:eastAsia="宋体"/>
                <w:sz w:val="24"/>
                <w:lang w:val="en-US" w:eastAsia="zh-CN"/>
              </w:rPr>
            </w:pPr>
            <w:r>
              <w:rPr>
                <w:rFonts w:hint="eastAsia"/>
                <w:sz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50" w:type="pct"/>
            <w:gridSpan w:val="2"/>
            <w:tcBorders>
              <w:tl2br w:val="nil"/>
              <w:tr2bl w:val="nil"/>
            </w:tcBorders>
            <w:tcMar>
              <w:top w:w="16" w:type="dxa"/>
              <w:left w:w="16" w:type="dxa"/>
              <w:right w:w="16" w:type="dxa"/>
            </w:tcMar>
            <w:vAlign w:val="center"/>
          </w:tcPr>
          <w:p>
            <w:pPr>
              <w:adjustRightInd w:val="0"/>
              <w:snapToGrid w:val="0"/>
              <w:jc w:val="center"/>
              <w:rPr>
                <w:sz w:val="24"/>
              </w:rPr>
            </w:pPr>
            <w:r>
              <w:rPr>
                <w:sz w:val="24"/>
              </w:rPr>
              <w:t>环保投资占比（%）</w:t>
            </w:r>
          </w:p>
        </w:tc>
        <w:tc>
          <w:tcPr>
            <w:tcW w:w="1090" w:type="pct"/>
            <w:tcBorders>
              <w:tl2br w:val="nil"/>
              <w:tr2bl w:val="nil"/>
            </w:tcBorders>
            <w:vAlign w:val="center"/>
          </w:tcPr>
          <w:p>
            <w:pPr>
              <w:adjustRightInd w:val="0"/>
              <w:snapToGrid w:val="0"/>
              <w:jc w:val="center"/>
              <w:rPr>
                <w:rFonts w:hint="default" w:eastAsia="宋体"/>
                <w:sz w:val="24"/>
                <w:lang w:val="en-US" w:eastAsia="zh-CN"/>
              </w:rPr>
            </w:pPr>
            <w:r>
              <w:rPr>
                <w:rFonts w:hint="eastAsia"/>
                <w:sz w:val="24"/>
                <w:lang w:val="en-US" w:eastAsia="zh-CN"/>
              </w:rPr>
              <w:t>2</w:t>
            </w:r>
          </w:p>
        </w:tc>
        <w:tc>
          <w:tcPr>
            <w:tcW w:w="1056" w:type="pct"/>
            <w:tcBorders>
              <w:tl2br w:val="nil"/>
              <w:tr2bl w:val="nil"/>
            </w:tcBorders>
            <w:tcMar>
              <w:top w:w="16" w:type="dxa"/>
              <w:left w:w="16" w:type="dxa"/>
              <w:right w:w="16" w:type="dxa"/>
            </w:tcMar>
            <w:vAlign w:val="center"/>
          </w:tcPr>
          <w:p>
            <w:pPr>
              <w:adjustRightInd w:val="0"/>
              <w:snapToGrid w:val="0"/>
              <w:jc w:val="center"/>
              <w:rPr>
                <w:sz w:val="24"/>
              </w:rPr>
            </w:pPr>
            <w:r>
              <w:rPr>
                <w:sz w:val="24"/>
              </w:rPr>
              <w:t>施工工期</w:t>
            </w:r>
          </w:p>
        </w:tc>
        <w:tc>
          <w:tcPr>
            <w:tcW w:w="1702" w:type="pct"/>
            <w:tcBorders>
              <w:tl2br w:val="nil"/>
              <w:tr2bl w:val="nil"/>
            </w:tcBorders>
            <w:vAlign w:val="center"/>
          </w:tcPr>
          <w:p>
            <w:pPr>
              <w:adjustRightInd w:val="0"/>
              <w:snapToGrid w:val="0"/>
              <w:jc w:val="center"/>
              <w:rPr>
                <w:rFonts w:hint="default" w:eastAsia="宋体"/>
                <w:sz w:val="24"/>
                <w:lang w:val="en-US" w:eastAsia="zh-CN"/>
              </w:rPr>
            </w:pPr>
            <w:r>
              <w:rPr>
                <w:rFonts w:hint="eastAsia"/>
                <w:sz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50" w:type="pct"/>
            <w:gridSpan w:val="2"/>
            <w:tcBorders>
              <w:tl2br w:val="nil"/>
              <w:tr2bl w:val="nil"/>
            </w:tcBorders>
            <w:tcMar>
              <w:top w:w="16" w:type="dxa"/>
              <w:left w:w="16" w:type="dxa"/>
              <w:right w:w="16" w:type="dxa"/>
            </w:tcMar>
            <w:vAlign w:val="center"/>
          </w:tcPr>
          <w:p>
            <w:pPr>
              <w:adjustRightInd w:val="0"/>
              <w:snapToGrid w:val="0"/>
              <w:jc w:val="center"/>
              <w:rPr>
                <w:sz w:val="24"/>
              </w:rPr>
            </w:pPr>
            <w:r>
              <w:rPr>
                <w:sz w:val="24"/>
              </w:rPr>
              <w:t>是否开工建设</w:t>
            </w:r>
          </w:p>
        </w:tc>
        <w:tc>
          <w:tcPr>
            <w:tcW w:w="1090" w:type="pct"/>
            <w:tcBorders>
              <w:tl2br w:val="nil"/>
              <w:tr2bl w:val="nil"/>
            </w:tcBorders>
            <w:vAlign w:val="center"/>
          </w:tcPr>
          <w:p>
            <w:pPr>
              <w:adjustRightInd w:val="0"/>
              <w:snapToGrid w:val="0"/>
              <w:rPr>
                <w:sz w:val="24"/>
              </w:rPr>
            </w:pPr>
            <w:r>
              <w:rPr>
                <w:sz w:val="24"/>
              </w:rPr>
              <w:sym w:font="Wingdings 2" w:char="0052"/>
            </w:r>
            <w:r>
              <w:rPr>
                <w:sz w:val="24"/>
              </w:rPr>
              <w:t>否</w:t>
            </w:r>
          </w:p>
          <w:p>
            <w:pPr>
              <w:adjustRightInd w:val="0"/>
              <w:snapToGrid w:val="0"/>
              <w:rPr>
                <w:sz w:val="24"/>
              </w:rPr>
            </w:pPr>
            <w:r>
              <w:rPr>
                <w:sz w:val="24"/>
              </w:rPr>
              <w:sym w:font="Wingdings 2" w:char="00A3"/>
            </w:r>
            <w:r>
              <w:rPr>
                <w:sz w:val="24"/>
              </w:rPr>
              <w:t>是：</w:t>
            </w:r>
            <w:r>
              <w:rPr>
                <w:sz w:val="24"/>
                <w:u w:val="single"/>
              </w:rPr>
              <w:t xml:space="preserve">             </w:t>
            </w:r>
          </w:p>
        </w:tc>
        <w:tc>
          <w:tcPr>
            <w:tcW w:w="1056" w:type="pct"/>
            <w:tcBorders>
              <w:tl2br w:val="nil"/>
              <w:tr2bl w:val="nil"/>
            </w:tcBorders>
            <w:tcMar>
              <w:top w:w="16" w:type="dxa"/>
              <w:left w:w="16" w:type="dxa"/>
              <w:right w:w="16" w:type="dxa"/>
            </w:tcMar>
            <w:vAlign w:val="center"/>
          </w:tcPr>
          <w:p>
            <w:pPr>
              <w:adjustRightInd w:val="0"/>
              <w:snapToGrid w:val="0"/>
              <w:jc w:val="center"/>
              <w:rPr>
                <w:spacing w:val="-6"/>
                <w:sz w:val="24"/>
              </w:rPr>
            </w:pPr>
            <w:r>
              <w:rPr>
                <w:spacing w:val="-6"/>
                <w:sz w:val="24"/>
              </w:rPr>
              <w:t>用地（用海）</w:t>
            </w:r>
          </w:p>
          <w:p>
            <w:pPr>
              <w:adjustRightInd w:val="0"/>
              <w:snapToGrid w:val="0"/>
              <w:jc w:val="center"/>
              <w:rPr>
                <w:sz w:val="24"/>
              </w:rPr>
            </w:pPr>
            <w:r>
              <w:rPr>
                <w:spacing w:val="-6"/>
                <w:sz w:val="24"/>
              </w:rPr>
              <w:t>面积（m</w:t>
            </w:r>
            <w:r>
              <w:rPr>
                <w:spacing w:val="-6"/>
                <w:sz w:val="24"/>
                <w:vertAlign w:val="superscript"/>
              </w:rPr>
              <w:t>2</w:t>
            </w:r>
            <w:r>
              <w:rPr>
                <w:spacing w:val="-6"/>
                <w:sz w:val="24"/>
              </w:rPr>
              <w:t>）</w:t>
            </w:r>
          </w:p>
        </w:tc>
        <w:tc>
          <w:tcPr>
            <w:tcW w:w="1702" w:type="pct"/>
            <w:tcBorders>
              <w:tl2br w:val="nil"/>
              <w:tr2bl w:val="nil"/>
            </w:tcBorders>
            <w:vAlign w:val="center"/>
          </w:tcPr>
          <w:p>
            <w:pPr>
              <w:adjustRightInd w:val="0"/>
              <w:snapToGrid w:val="0"/>
              <w:jc w:val="center"/>
              <w:rPr>
                <w:rFonts w:hint="default" w:eastAsia="宋体"/>
                <w:sz w:val="24"/>
                <w:lang w:val="en-US" w:eastAsia="zh-CN"/>
              </w:rPr>
            </w:pPr>
            <w:r>
              <w:rPr>
                <w:rFonts w:hint="eastAsia"/>
                <w:sz w:val="24"/>
                <w:lang w:val="en-US" w:eastAsia="zh-CN"/>
              </w:rPr>
              <w:t>701.15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50" w:type="pct"/>
            <w:gridSpan w:val="2"/>
            <w:tcBorders>
              <w:tl2br w:val="nil"/>
              <w:tr2bl w:val="nil"/>
            </w:tcBorders>
            <w:vAlign w:val="center"/>
          </w:tcPr>
          <w:p>
            <w:pPr>
              <w:autoSpaceDE w:val="0"/>
              <w:autoSpaceDN w:val="0"/>
              <w:adjustRightInd w:val="0"/>
              <w:snapToGrid w:val="0"/>
              <w:jc w:val="center"/>
              <w:rPr>
                <w:kern w:val="0"/>
                <w:sz w:val="24"/>
              </w:rPr>
            </w:pPr>
            <w:r>
              <w:rPr>
                <w:kern w:val="0"/>
                <w:sz w:val="24"/>
              </w:rPr>
              <w:t>专项评价设置情况</w:t>
            </w:r>
          </w:p>
        </w:tc>
        <w:tc>
          <w:tcPr>
            <w:tcW w:w="3849" w:type="pct"/>
            <w:gridSpan w:val="3"/>
            <w:tcBorders>
              <w:tl2br w:val="nil"/>
              <w:tr2bl w:val="nil"/>
            </w:tcBorders>
            <w:vAlign w:val="center"/>
          </w:tcPr>
          <w:p>
            <w:pPr>
              <w:autoSpaceDE w:val="0"/>
              <w:autoSpaceDN w:val="0"/>
              <w:adjustRightInd w:val="0"/>
              <w:snapToGrid w:val="0"/>
              <w:jc w:val="center"/>
              <w:rPr>
                <w:rFonts w:hint="eastAsia"/>
                <w:kern w:val="0"/>
                <w:sz w:val="24"/>
              </w:rPr>
            </w:pPr>
            <w:r>
              <w:rPr>
                <w:rFonts w:hint="eastAsia"/>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1150" w:type="pct"/>
            <w:gridSpan w:val="2"/>
            <w:tcBorders>
              <w:tl2br w:val="nil"/>
              <w:tr2bl w:val="nil"/>
            </w:tcBorders>
            <w:vAlign w:val="center"/>
          </w:tcPr>
          <w:p>
            <w:pPr>
              <w:autoSpaceDE w:val="0"/>
              <w:autoSpaceDN w:val="0"/>
              <w:adjustRightInd w:val="0"/>
              <w:snapToGrid w:val="0"/>
              <w:jc w:val="center"/>
              <w:rPr>
                <w:kern w:val="0"/>
                <w:sz w:val="24"/>
              </w:rPr>
            </w:pPr>
            <w:r>
              <w:rPr>
                <w:sz w:val="24"/>
              </w:rPr>
              <w:t>规划情况</w:t>
            </w:r>
          </w:p>
        </w:tc>
        <w:tc>
          <w:tcPr>
            <w:tcW w:w="3849" w:type="pct"/>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default"/>
                <w:kern w:val="0"/>
                <w:sz w:val="24"/>
                <w:lang w:val="en-US" w:eastAsia="zh-CN"/>
              </w:rPr>
            </w:pPr>
            <w:r>
              <w:rPr>
                <w:rFonts w:hint="eastAsia"/>
                <w:kern w:val="0"/>
                <w:sz w:val="24"/>
              </w:rPr>
              <w:t>《海安市大公镇工业集中区开发建设规划 (2021-2035 年)</w:t>
            </w:r>
            <w:r>
              <w:rPr>
                <w:rFonts w:hint="eastAsia"/>
                <w:kern w:val="0"/>
                <w:sz w:val="24"/>
                <w:lang w:eastAsia="zh-CN"/>
              </w:rPr>
              <w:t>；</w:t>
            </w:r>
            <w:r>
              <w:rPr>
                <w:rFonts w:hint="eastAsia"/>
                <w:kern w:val="0"/>
                <w:sz w:val="24"/>
                <w:lang w:val="en-US" w:eastAsia="zh-CN"/>
              </w:rPr>
              <w:t>海安市人民政府，《海安市人民政府关于同意设立角斜高端装备产业园等17个产业园的批复》（海政〔2021〕73号）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150" w:type="pct"/>
            <w:gridSpan w:val="2"/>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sz w:val="24"/>
              </w:rPr>
            </w:pPr>
            <w:r>
              <w:rPr>
                <w:sz w:val="24"/>
              </w:rPr>
              <w:t>规划环境影响</w:t>
            </w:r>
          </w:p>
          <w:p>
            <w:pPr>
              <w:keepNext w:val="0"/>
              <w:keepLines w:val="0"/>
              <w:pageBreakBefore w:val="0"/>
              <w:widowControl w:val="0"/>
              <w:kinsoku/>
              <w:wordWrap/>
              <w:overflowPunct/>
              <w:topLinePunct w:val="0"/>
              <w:bidi w:val="0"/>
              <w:adjustRightInd w:val="0"/>
              <w:snapToGrid w:val="0"/>
              <w:jc w:val="center"/>
              <w:textAlignment w:val="auto"/>
              <w:rPr>
                <w:kern w:val="0"/>
                <w:sz w:val="24"/>
              </w:rPr>
            </w:pPr>
            <w:r>
              <w:rPr>
                <w:sz w:val="24"/>
              </w:rPr>
              <w:t>评价情况</w:t>
            </w:r>
          </w:p>
        </w:tc>
        <w:tc>
          <w:tcPr>
            <w:tcW w:w="3849" w:type="pct"/>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default"/>
                <w:kern w:val="0"/>
                <w:sz w:val="24"/>
                <w:lang w:val="en-US" w:eastAsia="zh-CN"/>
              </w:rPr>
            </w:pPr>
            <w:r>
              <w:rPr>
                <w:rFonts w:hint="eastAsia"/>
                <w:kern w:val="0"/>
                <w:sz w:val="24"/>
              </w:rPr>
              <w:t>《海安市大公镇工业集中区开发建设规划 (2021-2035 年)</w:t>
            </w:r>
            <w:r>
              <w:rPr>
                <w:rFonts w:hint="eastAsia"/>
                <w:kern w:val="0"/>
                <w:sz w:val="24"/>
                <w:lang w:val="en-US" w:eastAsia="zh-CN"/>
              </w:rPr>
              <w:t>环境影响报告书》，《关于</w:t>
            </w:r>
            <w:r>
              <w:rPr>
                <w:rFonts w:hint="eastAsia"/>
                <w:kern w:val="0"/>
                <w:sz w:val="24"/>
              </w:rPr>
              <w:t>海安市大公镇工业集中区开发建设规划 (2021-2035 年)</w:t>
            </w:r>
            <w:r>
              <w:rPr>
                <w:rFonts w:hint="eastAsia"/>
                <w:kern w:val="0"/>
                <w:sz w:val="24"/>
                <w:lang w:val="en-US" w:eastAsia="zh-CN"/>
              </w:rPr>
              <w:t>环境影响报告书的审查意见》，南通市海安生态环境局，通海安环审〔2023〕4号。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 w:val="24"/>
              </w:rPr>
            </w:pPr>
            <w:r>
              <w:rPr>
                <w:kern w:val="0"/>
                <w:sz w:val="24"/>
              </w:rPr>
              <w:t>规划及规划环境影响评价符合性分析</w:t>
            </w:r>
          </w:p>
        </w:tc>
        <w:tc>
          <w:tcPr>
            <w:tcW w:w="4755" w:type="pct"/>
            <w:gridSpan w:val="4"/>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both"/>
              <w:textAlignment w:val="auto"/>
              <w:rPr>
                <w:rFonts w:hint="eastAsia"/>
                <w:kern w:val="0"/>
                <w:sz w:val="24"/>
              </w:rPr>
            </w:pPr>
            <w:r>
              <w:rPr>
                <w:rFonts w:hint="eastAsia"/>
                <w:kern w:val="0"/>
                <w:sz w:val="24"/>
              </w:rPr>
              <w:t>本项目位于海安市大公镇科技产业园开发大道606号23幢，</w:t>
            </w:r>
            <w:r>
              <w:rPr>
                <w:rFonts w:hint="eastAsia"/>
                <w:kern w:val="0"/>
                <w:sz w:val="24"/>
                <w:lang w:val="en-US" w:eastAsia="zh-CN"/>
              </w:rPr>
              <w:t>根据建设单位提供的规划蓝图及大公镇总体规划</w:t>
            </w:r>
            <w:r>
              <w:rPr>
                <w:rFonts w:hint="eastAsia"/>
                <w:kern w:val="0"/>
                <w:sz w:val="24"/>
              </w:rPr>
              <w:t>，本项目所在区域在海安大公镇科技产业园，项目地块属于工业用地，所用厂房为工业用途。本项目的建设符合大公镇的土地利用规划及其他相关规划要求。</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both"/>
              <w:textAlignment w:val="auto"/>
              <w:rPr>
                <w:rFonts w:hint="eastAsia"/>
                <w:kern w:val="0"/>
                <w:sz w:val="24"/>
                <w:lang w:val="en-US" w:eastAsia="zh-CN"/>
              </w:rPr>
            </w:pPr>
            <w:r>
              <w:rPr>
                <w:rFonts w:hint="eastAsia"/>
                <w:kern w:val="0"/>
                <w:sz w:val="24"/>
                <w:lang w:val="en-US" w:eastAsia="zh-CN"/>
              </w:rPr>
              <w:t>与《</w:t>
            </w:r>
            <w:r>
              <w:rPr>
                <w:rFonts w:hint="eastAsia" w:ascii="Times New Roman" w:eastAsia="宋体"/>
                <w:kern w:val="0"/>
                <w:sz w:val="24"/>
                <w:lang w:val="en-US" w:eastAsia="zh-CN"/>
              </w:rPr>
              <w:t>关于</w:t>
            </w:r>
            <w:r>
              <w:rPr>
                <w:rFonts w:hint="eastAsia"/>
                <w:kern w:val="0"/>
                <w:sz w:val="24"/>
              </w:rPr>
              <w:t>海安市大公镇工业集中区开发建设规划 (2021-2035 年)</w:t>
            </w:r>
            <w:r>
              <w:rPr>
                <w:rFonts w:hint="eastAsia" w:ascii="Times New Roman" w:eastAsia="宋体"/>
                <w:kern w:val="0"/>
                <w:sz w:val="24"/>
                <w:lang w:val="en-US" w:eastAsia="zh-CN"/>
              </w:rPr>
              <w:t>环境影响报告书的审查意见</w:t>
            </w:r>
            <w:r>
              <w:rPr>
                <w:rFonts w:hint="eastAsia"/>
                <w:kern w:val="0"/>
                <w:sz w:val="24"/>
                <w:lang w:val="en-US" w:eastAsia="zh-CN"/>
              </w:rPr>
              <w:t>》（</w:t>
            </w:r>
            <w:r>
              <w:rPr>
                <w:rFonts w:hint="eastAsia" w:ascii="Times New Roman" w:eastAsia="宋体"/>
                <w:kern w:val="0"/>
                <w:sz w:val="24"/>
                <w:lang w:val="en-US" w:eastAsia="zh-CN"/>
              </w:rPr>
              <w:t>通海安环审〔2023〕4号</w:t>
            </w:r>
            <w:r>
              <w:rPr>
                <w:rFonts w:hint="eastAsia"/>
                <w:kern w:val="0"/>
                <w:sz w:val="24"/>
                <w:lang w:val="en-US" w:eastAsia="zh-CN"/>
              </w:rPr>
              <w:t>）相符性分析：</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0" w:firstLineChars="0"/>
              <w:jc w:val="center"/>
              <w:textAlignment w:val="auto"/>
              <w:rPr>
                <w:rFonts w:hint="default"/>
                <w:b/>
                <w:bCs/>
                <w:kern w:val="0"/>
                <w:sz w:val="24"/>
                <w:lang w:val="en-US" w:eastAsia="zh-CN"/>
              </w:rPr>
            </w:pPr>
            <w:r>
              <w:rPr>
                <w:rFonts w:hint="eastAsia"/>
                <w:b/>
                <w:bCs/>
                <w:kern w:val="0"/>
                <w:sz w:val="24"/>
                <w:lang w:val="en-US" w:eastAsia="zh-CN"/>
              </w:rPr>
              <w:t>表1-1  与“</w:t>
            </w:r>
            <w:r>
              <w:rPr>
                <w:rFonts w:hint="eastAsia" w:ascii="Times New Roman" w:eastAsia="宋体"/>
                <w:b/>
                <w:bCs/>
                <w:kern w:val="0"/>
                <w:sz w:val="24"/>
                <w:lang w:val="en-US" w:eastAsia="zh-CN"/>
              </w:rPr>
              <w:t>通海安环审〔2023〕4号</w:t>
            </w:r>
            <w:r>
              <w:rPr>
                <w:rFonts w:hint="eastAsia"/>
                <w:b/>
                <w:bCs/>
                <w:kern w:val="0"/>
                <w:sz w:val="24"/>
                <w:lang w:val="en-US" w:eastAsia="zh-CN"/>
              </w:rPr>
              <w:t>”</w:t>
            </w:r>
            <w:r>
              <w:rPr>
                <w:rFonts w:hint="eastAsia" w:eastAsia="宋体"/>
                <w:b/>
                <w:bCs/>
                <w:kern w:val="0"/>
                <w:sz w:val="24"/>
                <w:lang w:val="en-US" w:eastAsia="zh-CN"/>
              </w:rPr>
              <w:t>相符性分析</w:t>
            </w:r>
          </w:p>
          <w:tbl>
            <w:tblPr>
              <w:tblStyle w:val="18"/>
              <w:tblW w:w="821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Layout w:type="fixed"/>
              <w:tblCellMar>
                <w:top w:w="0" w:type="dxa"/>
                <w:left w:w="0" w:type="dxa"/>
                <w:bottom w:w="0" w:type="dxa"/>
                <w:right w:w="0" w:type="dxa"/>
              </w:tblCellMar>
            </w:tblPr>
            <w:tblGrid>
              <w:gridCol w:w="6357"/>
              <w:gridCol w:w="18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0" w:type="dxa"/>
                  <w:bottom w:w="0" w:type="dxa"/>
                  <w:right w:w="0" w:type="dxa"/>
                </w:tblCellMar>
              </w:tblPrEx>
              <w:trPr>
                <w:trHeight w:val="340" w:hRule="atLeast"/>
                <w:jc w:val="center"/>
              </w:trPr>
              <w:tc>
                <w:tcPr>
                  <w:tcW w:w="3867" w:type="pct"/>
                  <w:tcBorders>
                    <w:tl2br w:val="nil"/>
                    <w:tr2bl w:val="nil"/>
                  </w:tcBorders>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审查意见</w:t>
                  </w:r>
                </w:p>
              </w:tc>
              <w:tc>
                <w:tcPr>
                  <w:tcW w:w="1132" w:type="pct"/>
                  <w:tcBorders>
                    <w:tl2br w:val="nil"/>
                    <w:tr2bl w:val="nil"/>
                  </w:tcBorders>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项目相符性分析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0" w:type="dxa"/>
                  <w:bottom w:w="0" w:type="dxa"/>
                  <w:right w:w="0" w:type="dxa"/>
                </w:tblCellMar>
              </w:tblPrEx>
              <w:trPr>
                <w:trHeight w:val="340" w:hRule="atLeast"/>
                <w:jc w:val="center"/>
              </w:trPr>
              <w:tc>
                <w:tcPr>
                  <w:tcW w:w="3867" w:type="pct"/>
                  <w:tcBorders>
                    <w:tl2br w:val="nil"/>
                    <w:tr2bl w:val="nil"/>
                  </w:tcBorders>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深入贯彻落实习近平生态文明思想，完整准确全面贯彻新发展理念，坚持生态优先、节约集约、绿色低碳发展，以生态保护和环境质量持续改善为目标，做好与国土空间总体规划和生态环境分区管控体系的协调衔接，进一步优化《规划》布局、产业结构和发展规模，降低区域环境风险，协同推进生态环境高水平保护和经济高质量发展。</w:t>
                  </w:r>
                </w:p>
              </w:tc>
              <w:tc>
                <w:tcPr>
                  <w:tcW w:w="1132" w:type="pct"/>
                  <w:tcBorders>
                    <w:tl2br w:val="nil"/>
                    <w:tr2bl w:val="nil"/>
                  </w:tcBorders>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本项目位于</w:t>
                  </w:r>
                  <w:r>
                    <w:rPr>
                      <w:rFonts w:hint="eastAsia" w:ascii="Times New Roman" w:hAnsi="Times New Roman" w:cs="Times New Roman"/>
                      <w:color w:val="auto"/>
                      <w:spacing w:val="0"/>
                      <w:sz w:val="21"/>
                      <w:szCs w:val="21"/>
                      <w:lang w:val="en-US" w:eastAsia="zh-CN"/>
                    </w:rPr>
                    <w:t>大公镇科技产业园</w:t>
                  </w:r>
                  <w:r>
                    <w:rPr>
                      <w:rFonts w:hint="default" w:ascii="Times New Roman" w:hAnsi="Times New Roman" w:cs="Times New Roman"/>
                      <w:color w:val="auto"/>
                      <w:spacing w:val="0"/>
                      <w:sz w:val="21"/>
                      <w:szCs w:val="21"/>
                    </w:rPr>
                    <w:t>，项目所在地规划为工业用地</w:t>
                  </w:r>
                  <w:r>
                    <w:rPr>
                      <w:rFonts w:hint="default" w:ascii="Times New Roman" w:hAnsi="Times New Roman" w:eastAsia="宋体" w:cs="Times New Roman"/>
                      <w:color w:val="auto"/>
                      <w:spacing w:val="0"/>
                      <w:sz w:val="21"/>
                      <w:szCs w:val="21"/>
                    </w:rPr>
                    <w:t>；项目为</w:t>
                  </w:r>
                  <w:r>
                    <w:rPr>
                      <w:rFonts w:hint="eastAsia" w:ascii="Times New Roman" w:hAnsi="Times New Roman" w:eastAsia="宋体"/>
                      <w:color w:val="000000"/>
                      <w:lang w:val="en-US" w:eastAsia="zh-CN"/>
                    </w:rPr>
                    <w:t>智能包装制造项目</w:t>
                  </w:r>
                  <w:r>
                    <w:rPr>
                      <w:rFonts w:hint="default" w:ascii="Times New Roman" w:hAnsi="Times New Roman" w:cs="Times New Roman"/>
                      <w:color w:val="auto"/>
                      <w:spacing w:val="0"/>
                      <w:sz w:val="21"/>
                      <w:szCs w:val="21"/>
                    </w:rPr>
                    <w:t>，不属于园区限制、禁止发展项目清单项目。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0" w:type="dxa"/>
                  <w:bottom w:w="0" w:type="dxa"/>
                  <w:right w:w="0" w:type="dxa"/>
                </w:tblCellMar>
              </w:tblPrEx>
              <w:trPr>
                <w:trHeight w:val="340" w:hRule="atLeast"/>
                <w:jc w:val="center"/>
              </w:trPr>
              <w:tc>
                <w:tcPr>
                  <w:tcW w:w="3867" w:type="pct"/>
                  <w:tcBorders>
                    <w:tl2br w:val="nil"/>
                    <w:tr2bl w:val="nil"/>
                  </w:tcBorders>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严格空间管控，优化空间布局。在《规划》实施过程中，</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保持本轮规划与上层规划的相符性，并做好农用地的占补平衡，按照相关法律规定办理土地变更手续。落实《报告书》提出的现有环境问题整改措施，加快北部生活片区西南部商贸片区内不符合产业定位企业的“退二进三”进程</w:t>
                  </w:r>
                  <w:r>
                    <w:rPr>
                      <w:rFonts w:hint="eastAsia" w:ascii="Times New Roman" w:hAnsi="Times New Roman" w:cs="Times New Roman"/>
                      <w:color w:val="auto"/>
                      <w:spacing w:val="0"/>
                      <w:sz w:val="21"/>
                      <w:szCs w:val="21"/>
                      <w:lang w:eastAsia="zh-CN"/>
                    </w:rPr>
                    <w:t>，</w:t>
                  </w:r>
                  <w:r>
                    <w:rPr>
                      <w:rFonts w:hint="default" w:ascii="Times New Roman" w:hAnsi="Times New Roman" w:cs="Times New Roman"/>
                      <w:color w:val="auto"/>
                      <w:spacing w:val="0"/>
                      <w:sz w:val="21"/>
                      <w:szCs w:val="21"/>
                    </w:rPr>
                    <w:t>将产业园内现有居民点搬迁至规划的生活居住区内。以2025年为期限，确保江苏鹏飞特钢有限公司、江苏鹏飞集团股份有限公司、江苏大公山羊市场有限公司、南通澳润建材科技有限公司卫生防护距离内无敏感目标。严格执行《江苏省通榆河水污染防治条例》要求，禁止引进不符合要求项目，持续推进现有不符合项目问题整改。加强区内空间隔离带建设，优化新引入项目空间布局，保持与居住用地的防护距离，居住区附近的工业用地布设污染性小的工业企业，同时设立30米空间隔离带，确保产业布局与生态环境保护、人居环境安全相协调。</w:t>
                  </w:r>
                </w:p>
              </w:tc>
              <w:tc>
                <w:tcPr>
                  <w:tcW w:w="1132" w:type="pct"/>
                  <w:tcBorders>
                    <w:tl2br w:val="nil"/>
                    <w:tr2bl w:val="nil"/>
                  </w:tcBorders>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cs="Times New Roman"/>
                      <w:color w:val="auto"/>
                      <w:spacing w:val="0"/>
                      <w:sz w:val="21"/>
                      <w:szCs w:val="21"/>
                    </w:rPr>
                    <w:t>本项目</w:t>
                  </w:r>
                  <w:r>
                    <w:rPr>
                      <w:rFonts w:hint="eastAsia" w:ascii="Times New Roman" w:hAnsi="Times New Roman" w:cs="Times New Roman"/>
                      <w:color w:val="auto"/>
                      <w:spacing w:val="0"/>
                      <w:sz w:val="21"/>
                      <w:szCs w:val="21"/>
                      <w:lang w:val="en-US" w:eastAsia="zh-CN"/>
                    </w:rPr>
                    <w:t>不涉及农用地，位于大公镇科技产业园，用地类型属于工业性质，不在通榆河一、二、三级保护区范围内，</w:t>
                  </w:r>
                  <w:r>
                    <w:rPr>
                      <w:rFonts w:hint="default" w:ascii="Times New Roman" w:hAnsi="Times New Roman" w:cs="Times New Roman"/>
                      <w:color w:val="auto"/>
                      <w:spacing w:val="0"/>
                      <w:sz w:val="21"/>
                      <w:szCs w:val="21"/>
                    </w:rPr>
                    <w:t>建设符合《江苏省通榆河水污染防治条例》相关管理要求。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0" w:type="dxa"/>
                  <w:bottom w:w="0" w:type="dxa"/>
                  <w:right w:w="0" w:type="dxa"/>
                </w:tblCellMar>
              </w:tblPrEx>
              <w:trPr>
                <w:trHeight w:val="340" w:hRule="atLeast"/>
                <w:jc w:val="center"/>
              </w:trPr>
              <w:tc>
                <w:tcPr>
                  <w:tcW w:w="3867" w:type="pct"/>
                  <w:tcBorders>
                    <w:tl2br w:val="nil"/>
                    <w:tr2bl w:val="nil"/>
                  </w:tcBorders>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严守环境质量底线，强化污染物排放总量管控。根据国家和省、市关于大气、水、土壤污染防治、区域生态环境分区管控等相关要求，建立以环境质量为核心的污染物总量控制管理体系，推进主要污染物排放浓度和总量“双管控”。强化对涉氟化物排放企业管控，通过科学选址、严格监管等方式防范氟化物对桑蚕养殖的危害。合理规划产业发展规模，强化污染物排放总量管控，确保实现区域环境质量持续改善，空气环境质量稳定达标，通榆河、北凌河、串场河、红星河等集中区内及周边水系稳定达到Ⅲ类水质标准。严格管理建筑施工噪声，强化工业噪声污染和社会噪声污染控制，加强交通噪声防治和管理。做好土壤污染源头防范，强化土壤环境重点监管企业隐患排查，严格控制有毒有害物质排放，制定和实施自行监测方案，并定期将监测数据报生态环境主管部门。积极探索园区污染物排放限值限量管理，切实改善区域生态环境质量。</w:t>
                  </w:r>
                </w:p>
              </w:tc>
              <w:tc>
                <w:tcPr>
                  <w:tcW w:w="1132" w:type="pct"/>
                  <w:tcBorders>
                    <w:tl2br w:val="nil"/>
                    <w:tr2bl w:val="nil"/>
                  </w:tcBorders>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本项目</w:t>
                  </w:r>
                  <w:r>
                    <w:rPr>
                      <w:rFonts w:hint="eastAsia" w:ascii="Times New Roman" w:hAnsi="Times New Roman" w:cs="Times New Roman"/>
                      <w:color w:val="auto"/>
                      <w:spacing w:val="0"/>
                      <w:sz w:val="21"/>
                      <w:szCs w:val="21"/>
                      <w:lang w:val="en-US" w:eastAsia="zh-CN"/>
                    </w:rPr>
                    <w:t>无生产废水排放，少量的印刷清洗废水作为危废委外。</w:t>
                  </w:r>
                  <w:r>
                    <w:rPr>
                      <w:rFonts w:hint="default" w:ascii="Times New Roman" w:hAnsi="Times New Roman" w:eastAsia="宋体" w:cs="Times New Roman"/>
                      <w:color w:val="000000"/>
                      <w:sz w:val="21"/>
                      <w:szCs w:val="21"/>
                      <w:highlight w:val="none"/>
                      <w:lang w:val="en-US" w:eastAsia="zh-CN"/>
                    </w:rPr>
                    <w:t>项目</w:t>
                  </w:r>
                  <w:r>
                    <w:rPr>
                      <w:rFonts w:hint="eastAsia" w:ascii="Times New Roman" w:hAnsi="Times New Roman" w:eastAsia="宋体" w:cs="Times New Roman"/>
                      <w:color w:val="000000"/>
                      <w:sz w:val="21"/>
                      <w:szCs w:val="21"/>
                      <w:highlight w:val="none"/>
                      <w:lang w:val="en-US" w:eastAsia="zh-CN"/>
                    </w:rPr>
                    <w:t>产生的废气能做到应收尽收，并通过布袋除尘、二级活性炭吸附等方式处理后通过排气筒排放，项目污染排放总量进行区域平衡，满足总量控制要求</w:t>
                  </w:r>
                  <w:r>
                    <w:rPr>
                      <w:rFonts w:hint="default" w:ascii="Times New Roman" w:hAnsi="Times New Roman" w:eastAsia="宋体" w:cs="Times New Roman"/>
                      <w:color w:val="000000"/>
                      <w:sz w:val="21"/>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0" w:type="dxa"/>
                  <w:bottom w:w="0" w:type="dxa"/>
                  <w:right w:w="0" w:type="dxa"/>
                </w:tblCellMar>
              </w:tblPrEx>
              <w:trPr>
                <w:trHeight w:val="340" w:hRule="atLeast"/>
                <w:jc w:val="center"/>
              </w:trPr>
              <w:tc>
                <w:tcPr>
                  <w:tcW w:w="3867" w:type="pct"/>
                  <w:tcBorders>
                    <w:tl2br w:val="nil"/>
                    <w:tr2bl w:val="nil"/>
                  </w:tcBorders>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严格入区项目生态环境准入要求，推动高质量发展。落实《报告书》提出的生态环境准入清单，严格控制与主导产业不相关且排污负荷大的项目入区，执行最严格的废水、废气排放控制要求。强化入区企业常规污染物、特征污染物排放控制、碳排放管控、高效治理设施建设以及精细化管控要求。加强源头治理，新建、改建、扩建项目应采用先进的技术和设备，生产工艺、污染治理技术、清洁生产须达到国内先进水平。推行入区企业清洁生产审核，做到“应审尽审”。</w:t>
                  </w:r>
                </w:p>
              </w:tc>
              <w:tc>
                <w:tcPr>
                  <w:tcW w:w="1132" w:type="pct"/>
                  <w:tcBorders>
                    <w:tl2br w:val="nil"/>
                    <w:tr2bl w:val="nil"/>
                  </w:tcBorders>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000000"/>
                      <w:sz w:val="21"/>
                      <w:szCs w:val="21"/>
                      <w:lang w:val="en-US" w:eastAsia="zh-CN"/>
                    </w:rPr>
                    <w:t>本项目的生产工艺、设备、污染治理技术以及单位产品能耗、物耗、污染物排放和资源利用率均达到同行业国</w:t>
                  </w:r>
                  <w:r>
                    <w:rPr>
                      <w:rFonts w:hint="eastAsia" w:cs="Times New Roman"/>
                      <w:color w:val="000000"/>
                      <w:sz w:val="21"/>
                      <w:szCs w:val="21"/>
                      <w:lang w:val="en-US" w:eastAsia="zh-CN"/>
                    </w:rPr>
                    <w:t>内</w:t>
                  </w:r>
                  <w:r>
                    <w:rPr>
                      <w:rFonts w:hint="default" w:ascii="Times New Roman" w:hAnsi="Times New Roman" w:eastAsia="宋体" w:cs="Times New Roman"/>
                      <w:color w:val="000000"/>
                      <w:sz w:val="21"/>
                      <w:szCs w:val="21"/>
                      <w:lang w:val="en-US" w:eastAsia="zh-CN"/>
                    </w:rPr>
                    <w:t>先进水平</w:t>
                  </w:r>
                  <w:r>
                    <w:rPr>
                      <w:rFonts w:hint="default" w:ascii="Times New Roman" w:hAnsi="Times New Roman" w:eastAsia="宋体" w:cs="Times New Roman"/>
                      <w:color w:val="000000"/>
                      <w:sz w:val="21"/>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0" w:type="dxa"/>
                  <w:bottom w:w="0" w:type="dxa"/>
                  <w:right w:w="0" w:type="dxa"/>
                </w:tblCellMar>
              </w:tblPrEx>
              <w:trPr>
                <w:trHeight w:val="340" w:hRule="atLeast"/>
                <w:jc w:val="center"/>
              </w:trPr>
              <w:tc>
                <w:tcPr>
                  <w:tcW w:w="38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0"/>
                      <w:kern w:val="0"/>
                      <w:sz w:val="21"/>
                      <w:szCs w:val="21"/>
                      <w:lang w:val="en-US" w:eastAsia="en-US" w:bidi="ar-SA"/>
                    </w:rPr>
                    <w:t>完善环境基础设施建设，提高基础设施运行效能。根据用地开发时序，加快污水及给水管网敷设进度，确保区内生产废水和生活污水全部接管处理，强化工业废水与生活污水分类收集、分质处理。加强对区内污水、雨水管网敷设情况的排查，完善区域雨污水管网建设。定期开展污水管网渗漏排查工作，建立健全地下水污染监督、检查、管理及修复机制。完善供热管网建设，推行集中供热，严禁建设使用高污染燃料设施。规范危险废物的贮存和转移管理，确保危险废物实现“就地分类收集、及时转移处置、实时全程监控”</w:t>
                  </w:r>
                  <w:r>
                    <w:rPr>
                      <w:rFonts w:hint="eastAsia" w:ascii="Times New Roman" w:hAnsi="Times New Roman" w:eastAsia="宋体" w:cs="Times New Roman"/>
                      <w:color w:val="auto"/>
                      <w:spacing w:val="0"/>
                      <w:kern w:val="0"/>
                      <w:sz w:val="21"/>
                      <w:szCs w:val="21"/>
                      <w:lang w:val="en-US" w:eastAsia="zh-CN" w:bidi="ar-SA"/>
                    </w:rPr>
                    <w:t>，</w:t>
                  </w:r>
                  <w:r>
                    <w:rPr>
                      <w:rFonts w:hint="default" w:ascii="Times New Roman" w:hAnsi="Times New Roman" w:eastAsia="宋体" w:cs="Times New Roman"/>
                      <w:color w:val="auto"/>
                      <w:spacing w:val="0"/>
                      <w:kern w:val="0"/>
                      <w:sz w:val="21"/>
                      <w:szCs w:val="21"/>
                      <w:lang w:val="en-US" w:eastAsia="en-US" w:bidi="ar-SA"/>
                    </w:rPr>
                    <w:t>全面纳入江苏省危废全生命周期系统监管。</w:t>
                  </w:r>
                </w:p>
              </w:tc>
              <w:tc>
                <w:tcPr>
                  <w:tcW w:w="1132" w:type="pct"/>
                  <w:tcBorders>
                    <w:tl2br w:val="nil"/>
                    <w:tr2bl w:val="nil"/>
                  </w:tcBorders>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pacing w:val="0"/>
                      <w:sz w:val="21"/>
                      <w:szCs w:val="21"/>
                      <w:lang w:eastAsia="zh-CN"/>
                    </w:rPr>
                  </w:pPr>
                  <w:r>
                    <w:rPr>
                      <w:rFonts w:hint="default" w:ascii="Times New Roman" w:hAnsi="Times New Roman" w:cs="Times New Roman"/>
                      <w:color w:val="auto"/>
                      <w:spacing w:val="0"/>
                      <w:sz w:val="21"/>
                      <w:szCs w:val="21"/>
                    </w:rPr>
                    <w:t>本项目</w:t>
                  </w:r>
                  <w:r>
                    <w:rPr>
                      <w:rFonts w:hint="default" w:ascii="Times New Roman" w:hAnsi="Times New Roman" w:cs="Times New Roman"/>
                      <w:color w:val="auto"/>
                      <w:spacing w:val="0"/>
                      <w:sz w:val="21"/>
                      <w:szCs w:val="21"/>
                      <w:lang w:val="en-US" w:eastAsia="zh-CN"/>
                    </w:rPr>
                    <w:t>生活污水</w:t>
                  </w:r>
                  <w:r>
                    <w:rPr>
                      <w:rFonts w:hint="default" w:ascii="Times New Roman" w:hAnsi="Times New Roman" w:cs="Times New Roman"/>
                      <w:color w:val="auto"/>
                      <w:spacing w:val="0"/>
                      <w:sz w:val="21"/>
                      <w:szCs w:val="21"/>
                    </w:rPr>
                    <w:t>废水接管</w:t>
                  </w:r>
                  <w:r>
                    <w:rPr>
                      <w:rFonts w:hint="eastAsia" w:ascii="Times New Roman" w:hAnsi="Times New Roman" w:cs="Times New Roman"/>
                      <w:color w:val="auto"/>
                      <w:spacing w:val="0"/>
                      <w:sz w:val="21"/>
                      <w:szCs w:val="21"/>
                      <w:lang w:val="en-US" w:eastAsia="zh-CN"/>
                    </w:rPr>
                    <w:t>市政污水厂进行集中处理</w:t>
                  </w:r>
                  <w:r>
                    <w:rPr>
                      <w:rFonts w:hint="default" w:ascii="Times New Roman" w:hAnsi="Times New Roman" w:cs="Times New Roman"/>
                      <w:color w:val="auto"/>
                      <w:spacing w:val="0"/>
                      <w:sz w:val="21"/>
                      <w:szCs w:val="21"/>
                    </w:rPr>
                    <w:t>。</w:t>
                  </w:r>
                  <w:r>
                    <w:rPr>
                      <w:rFonts w:hint="eastAsia" w:ascii="Times New Roman" w:hAnsi="Times New Roman" w:cs="Times New Roman"/>
                      <w:color w:val="auto"/>
                      <w:spacing w:val="0"/>
                      <w:sz w:val="21"/>
                      <w:szCs w:val="21"/>
                      <w:lang w:val="en-US" w:eastAsia="zh-CN"/>
                    </w:rPr>
                    <w:t>不使用高污染燃料设施，规范</w:t>
                  </w:r>
                  <w:r>
                    <w:rPr>
                      <w:rFonts w:hint="eastAsia" w:ascii="Times New Roman" w:hAnsi="Times New Roman" w:eastAsia="宋体" w:cs="Times New Roman"/>
                      <w:color w:val="000000"/>
                      <w:sz w:val="21"/>
                      <w:szCs w:val="21"/>
                      <w:highlight w:val="none"/>
                      <w:lang w:val="en-US" w:eastAsia="zh-CN"/>
                    </w:rPr>
                    <w:t>危险废物的暂存和处理，并</w:t>
                  </w:r>
                  <w:r>
                    <w:rPr>
                      <w:rFonts w:hint="default" w:ascii="Times New Roman" w:hAnsi="Times New Roman" w:eastAsia="宋体" w:cs="Times New Roman"/>
                      <w:color w:val="auto"/>
                      <w:spacing w:val="0"/>
                      <w:kern w:val="0"/>
                      <w:sz w:val="21"/>
                      <w:szCs w:val="21"/>
                      <w:lang w:val="en-US" w:eastAsia="en-US" w:bidi="ar-SA"/>
                    </w:rPr>
                    <w:t>纳入江苏省危废全生命周期系统监管</w:t>
                  </w:r>
                  <w:r>
                    <w:rPr>
                      <w:rFonts w:hint="default" w:ascii="Times New Roman" w:hAnsi="Times New Roman" w:eastAsia="宋体" w:cs="Times New Roman"/>
                      <w:color w:val="000000"/>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0" w:type="dxa"/>
                  <w:bottom w:w="0" w:type="dxa"/>
                  <w:right w:w="0" w:type="dxa"/>
                </w:tblCellMar>
              </w:tblPrEx>
              <w:trPr>
                <w:trHeight w:val="340" w:hRule="atLeast"/>
                <w:jc w:val="center"/>
              </w:trPr>
              <w:tc>
                <w:tcPr>
                  <w:tcW w:w="38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0"/>
                      <w:sz w:val="21"/>
                      <w:szCs w:val="21"/>
                      <w:lang w:val="en-US" w:eastAsia="en-US" w:bidi="ar-SA"/>
                    </w:rPr>
                  </w:pPr>
                  <w:r>
                    <w:rPr>
                      <w:rFonts w:hint="default" w:ascii="Times New Roman" w:hAnsi="Times New Roman" w:eastAsia="宋体" w:cs="Times New Roman"/>
                      <w:color w:val="auto"/>
                      <w:spacing w:val="0"/>
                      <w:kern w:val="0"/>
                      <w:sz w:val="21"/>
                      <w:szCs w:val="21"/>
                      <w:lang w:val="en-US" w:eastAsia="en-US" w:bidi="ar-SA"/>
                    </w:rPr>
                    <w:t>健全园区环境风险防控体系，建立环境应急管理制度，提升环境应急能力。制定园区突发环境事件应急预案，及时备案修编，定期开展演练，配备充足的环境应急物资，落实应急准备措施，建立应急响应联动机制，完善环境应急响应流程。加强企业应急预案编制监管，建立隐患排查整改制度，推动园区及企业定期开展突发环境事件隐患排查治理，建立隐患清单并及时整改到位。完成园区三级环境防控体系建设，加强雨水管网梳理排查整治，建立完善环境风险防控基础设施，并落实环境风险防范各项措施，确保事故废水不进入外环境。通榆河一级保护区内三级环境防控体系建成前，该区域内新引入的项目不得投产。</w:t>
                  </w:r>
                </w:p>
              </w:tc>
              <w:tc>
                <w:tcPr>
                  <w:tcW w:w="11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0"/>
                      <w:sz w:val="21"/>
                      <w:szCs w:val="21"/>
                      <w:lang w:val="en-US" w:eastAsia="en-US" w:bidi="ar-SA"/>
                    </w:rPr>
                  </w:pPr>
                  <w:r>
                    <w:rPr>
                      <w:rFonts w:hint="eastAsia" w:ascii="Times New Roman" w:hAnsi="Times New Roman" w:eastAsia="宋体" w:cs="Times New Roman"/>
                      <w:color w:val="auto"/>
                      <w:spacing w:val="0"/>
                      <w:kern w:val="0"/>
                      <w:sz w:val="21"/>
                      <w:szCs w:val="21"/>
                      <w:lang w:val="en-US" w:eastAsia="zh-CN" w:bidi="ar-SA"/>
                    </w:rPr>
                    <w:t>企业将依托园区的应急事故池，</w:t>
                  </w:r>
                  <w:r>
                    <w:rPr>
                      <w:rFonts w:hint="default" w:ascii="Times New Roman" w:hAnsi="Times New Roman" w:eastAsia="宋体" w:cs="Times New Roman"/>
                      <w:color w:val="auto"/>
                      <w:spacing w:val="0"/>
                      <w:kern w:val="0"/>
                      <w:sz w:val="21"/>
                      <w:szCs w:val="21"/>
                      <w:lang w:val="en-US" w:eastAsia="en-US" w:bidi="ar-SA"/>
                    </w:rPr>
                    <w:t>一旦发生事故，消防废水可经沟渠自流入</w:t>
                  </w:r>
                  <w:r>
                    <w:rPr>
                      <w:rFonts w:hint="eastAsia" w:ascii="Times New Roman" w:hAnsi="Times New Roman" w:eastAsia="宋体" w:cs="Times New Roman"/>
                      <w:color w:val="auto"/>
                      <w:spacing w:val="0"/>
                      <w:kern w:val="0"/>
                      <w:sz w:val="21"/>
                      <w:szCs w:val="21"/>
                      <w:lang w:val="en-US" w:eastAsia="zh-CN" w:bidi="ar-SA"/>
                    </w:rPr>
                    <w:t>园区</w:t>
                  </w:r>
                  <w:r>
                    <w:rPr>
                      <w:rFonts w:hint="default" w:ascii="Times New Roman" w:hAnsi="Times New Roman" w:eastAsia="宋体" w:cs="Times New Roman"/>
                      <w:color w:val="auto"/>
                      <w:spacing w:val="0"/>
                      <w:kern w:val="0"/>
                      <w:sz w:val="21"/>
                      <w:szCs w:val="21"/>
                      <w:lang w:val="en-US" w:eastAsia="en-US" w:bidi="ar-SA"/>
                    </w:rPr>
                    <w:t>事故废水收集池，在事故池内暂存，待事故得到控制后对事故废水进行检测、委外处理</w:t>
                  </w:r>
                  <w:r>
                    <w:rPr>
                      <w:rFonts w:hint="eastAsia" w:ascii="Times New Roman" w:hAnsi="Times New Roman" w:eastAsia="宋体" w:cs="Times New Roman"/>
                      <w:color w:val="auto"/>
                      <w:spacing w:val="0"/>
                      <w:kern w:val="0"/>
                      <w:sz w:val="21"/>
                      <w:szCs w:val="21"/>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0" w:type="dxa"/>
                  <w:bottom w:w="0" w:type="dxa"/>
                  <w:right w:w="0" w:type="dxa"/>
                </w:tblCellMar>
              </w:tblPrEx>
              <w:trPr>
                <w:trHeight w:val="340" w:hRule="atLeast"/>
                <w:jc w:val="center"/>
              </w:trPr>
              <w:tc>
                <w:tcPr>
                  <w:tcW w:w="38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0"/>
                      <w:kern w:val="0"/>
                      <w:sz w:val="21"/>
                      <w:szCs w:val="21"/>
                      <w:lang w:val="en-US" w:eastAsia="en-US" w:bidi="ar-SA"/>
                    </w:rPr>
                    <w:t>强化环境监测监控和管理体系建设。建立包括环境空气、地表水、地下水、土壤、底泥等环境要素的监控体系，规划期内落实环境跟踪监测与管理。结合区域跟踪监测情况，动态调整开发建设规模和时序进度，优化生态环境保护措施，确保区域环境质量不恶化。对企业关闭、搬迁遗留的污染地块依法开展土壤污染状况调查、治理及修复工作。</w:t>
                  </w:r>
                </w:p>
              </w:tc>
              <w:tc>
                <w:tcPr>
                  <w:tcW w:w="1132" w:type="pct"/>
                  <w:tcBorders>
                    <w:tl2br w:val="nil"/>
                    <w:tr2bl w:val="nil"/>
                  </w:tcBorders>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pacing w:val="0"/>
                      <w:sz w:val="21"/>
                      <w:szCs w:val="21"/>
                      <w:lang w:eastAsia="zh-CN"/>
                    </w:rPr>
                  </w:pPr>
                  <w:r>
                    <w:rPr>
                      <w:rFonts w:hint="default" w:ascii="Times New Roman" w:hAnsi="Times New Roman" w:cs="Times New Roman"/>
                      <w:color w:val="auto"/>
                      <w:spacing w:val="0"/>
                      <w:sz w:val="21"/>
                      <w:szCs w:val="21"/>
                    </w:rPr>
                    <w:t>企业</w:t>
                  </w:r>
                  <w:r>
                    <w:rPr>
                      <w:rFonts w:hint="eastAsia" w:ascii="Times New Roman" w:hAnsi="Times New Roman" w:cs="Times New Roman"/>
                      <w:color w:val="auto"/>
                      <w:spacing w:val="0"/>
                      <w:sz w:val="21"/>
                      <w:szCs w:val="21"/>
                      <w:lang w:val="en-US" w:eastAsia="zh-CN"/>
                    </w:rPr>
                    <w:t>对污染物进行有效处理；</w:t>
                  </w:r>
                  <w:r>
                    <w:rPr>
                      <w:rFonts w:hint="default" w:ascii="Times New Roman" w:hAnsi="Times New Roman" w:cs="Times New Roman"/>
                      <w:color w:val="auto"/>
                      <w:spacing w:val="0"/>
                      <w:sz w:val="21"/>
                      <w:szCs w:val="21"/>
                    </w:rPr>
                    <w:t>制定了定期监测的制度，及时进行信息公开。</w:t>
                  </w:r>
                </w:p>
              </w:tc>
            </w:tr>
          </w:tbl>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0" w:firstLineChars="0"/>
              <w:jc w:val="center"/>
              <w:textAlignment w:val="auto"/>
              <w:rPr>
                <w:rFonts w:hint="default" w:eastAsia="宋体"/>
                <w:b/>
                <w:bCs/>
                <w:kern w:val="0"/>
                <w:sz w:val="24"/>
                <w:lang w:val="en-US" w:eastAsia="zh-CN"/>
              </w:rPr>
            </w:pPr>
            <w:r>
              <w:rPr>
                <w:rFonts w:hint="eastAsia" w:eastAsia="宋体"/>
                <w:b/>
                <w:bCs/>
                <w:kern w:val="0"/>
                <w:sz w:val="24"/>
                <w:lang w:val="en-US" w:eastAsia="zh-CN"/>
              </w:rPr>
              <w:t>表1-2   与海安市大公镇工业集中区生态环境准入清单相符性</w:t>
            </w:r>
          </w:p>
          <w:tbl>
            <w:tblPr>
              <w:tblStyle w:val="48"/>
              <w:tblW w:w="8220"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418"/>
              <w:gridCol w:w="6750"/>
              <w:gridCol w:w="105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5"/>
                      <w:sz w:val="21"/>
                      <w:szCs w:val="21"/>
                    </w:rPr>
                    <w:t>类别</w:t>
                  </w:r>
                </w:p>
              </w:tc>
              <w:tc>
                <w:tcPr>
                  <w:tcW w:w="6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5"/>
                      <w:sz w:val="21"/>
                      <w:szCs w:val="21"/>
                    </w:rPr>
                    <w:t>要求</w:t>
                  </w:r>
                </w:p>
              </w:tc>
              <w:tc>
                <w:tcPr>
                  <w:tcW w:w="10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spacing w:val="-5"/>
                      <w:sz w:val="21"/>
                      <w:szCs w:val="21"/>
                      <w:lang w:val="en-US" w:eastAsia="zh-CN"/>
                    </w:rPr>
                  </w:pPr>
                  <w:r>
                    <w:rPr>
                      <w:rFonts w:hint="default" w:ascii="Times New Roman" w:hAnsi="Times New Roman" w:eastAsia="宋体" w:cs="Times New Roman"/>
                      <w:b/>
                      <w:bCs/>
                      <w:spacing w:val="-5"/>
                      <w:sz w:val="21"/>
                      <w:szCs w:val="21"/>
                      <w:lang w:val="en-US" w:eastAsia="zh-CN"/>
                    </w:rPr>
                    <w:t>相符性</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position w:val="7"/>
                      <w:sz w:val="21"/>
                      <w:szCs w:val="21"/>
                    </w:rPr>
                    <w:t>主导</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产业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定位</w:t>
                  </w:r>
                </w:p>
              </w:tc>
              <w:tc>
                <w:tcPr>
                  <w:tcW w:w="6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重点发展新材料产业、智能制造装备产业、高端纺织、智能家居产业、商贸几大产业。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(1)新材料产业园主要发展纺织新材料、金属新材料、橡塑新材料。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(2)智能制造-精工装备制造产业园主要发展建材机械、环保机械等成套设备及电子装备、精密零部件、智能控制高端装备和数控高</w:t>
                  </w:r>
                  <w:r>
                    <w:rPr>
                      <w:rFonts w:hint="default" w:ascii="Times New Roman" w:hAnsi="Times New Roman" w:eastAsia="宋体" w:cs="Times New Roman"/>
                      <w:spacing w:val="-1"/>
                      <w:sz w:val="21"/>
                      <w:szCs w:val="21"/>
                    </w:rPr>
                    <w:t>端装备制造。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(3)综合产业园主要发展高端纺织、汽车零部件、智能家居等产业，其中高端纺织主要为化纤原料、环保布料及成衣制造，智能家居主要为智能卫浴、智能安防、智能家具等</w:t>
                  </w:r>
                  <w:r>
                    <w:rPr>
                      <w:rFonts w:hint="default" w:ascii="Times New Roman" w:hAnsi="Times New Roman" w:eastAsia="宋体" w:cs="Times New Roman"/>
                      <w:spacing w:val="2"/>
                      <w:sz w:val="21"/>
                      <w:szCs w:val="21"/>
                    </w:rPr>
                    <w:t>智能家居产品。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(4)商贸园主要发展商贸产业。</w:t>
                  </w:r>
                </w:p>
              </w:tc>
              <w:tc>
                <w:tcPr>
                  <w:tcW w:w="105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本项目符合产业政策要求，不属于</w:t>
                  </w:r>
                  <w:r>
                    <w:rPr>
                      <w:rFonts w:hint="eastAsia" w:eastAsia="宋体" w:cs="Times New Roman"/>
                      <w:sz w:val="21"/>
                      <w:szCs w:val="21"/>
                      <w:lang w:val="en-US" w:eastAsia="zh-CN"/>
                    </w:rPr>
                    <w:t>禁止</w:t>
                  </w:r>
                  <w:r>
                    <w:rPr>
                      <w:rFonts w:hint="eastAsia" w:ascii="Times New Roman" w:hAnsi="Times New Roman" w:eastAsia="宋体" w:cs="Times New Roman"/>
                      <w:sz w:val="21"/>
                      <w:szCs w:val="21"/>
                      <w:lang w:val="en-US" w:eastAsia="zh-CN"/>
                    </w:rPr>
                    <w:t>引入</w:t>
                  </w:r>
                  <w:r>
                    <w:rPr>
                      <w:rFonts w:hint="eastAsia" w:eastAsia="宋体" w:cs="Times New Roman"/>
                      <w:sz w:val="21"/>
                      <w:szCs w:val="21"/>
                      <w:lang w:val="en-US" w:eastAsia="zh-CN"/>
                    </w:rPr>
                    <w:t>和</w:t>
                  </w:r>
                  <w:r>
                    <w:rPr>
                      <w:rFonts w:hint="eastAsia" w:ascii="Times New Roman" w:hAnsi="Times New Roman" w:eastAsia="宋体" w:cs="Times New Roman"/>
                      <w:sz w:val="21"/>
                      <w:szCs w:val="21"/>
                      <w:lang w:val="en-US" w:eastAsia="zh-CN"/>
                    </w:rPr>
                    <w:t>限制引入类项目</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禁止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引入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类项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w:t>
                  </w:r>
                </w:p>
              </w:tc>
              <w:tc>
                <w:tcPr>
                  <w:tcW w:w="6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(1)与国家、地方现行产业政策相冲突的项目，包括列入《产业结构调整指导目录》及</w:t>
                  </w:r>
                  <w:r>
                    <w:rPr>
                      <w:rFonts w:hint="default" w:ascii="Times New Roman" w:hAnsi="Times New Roman" w:eastAsia="宋体" w:cs="Times New Roman"/>
                      <w:spacing w:val="1"/>
                      <w:sz w:val="21"/>
                      <w:szCs w:val="21"/>
                    </w:rPr>
                    <w:t>修订、《南通市工业结构调整指导目录》淘汰类产业；列入《市场准入负面清单(2022</w:t>
                  </w:r>
                  <w:r>
                    <w:rPr>
                      <w:rFonts w:hint="default" w:ascii="Times New Roman" w:hAnsi="Times New Roman" w:eastAsia="宋体" w:cs="Times New Roman"/>
                      <w:spacing w:val="3"/>
                      <w:sz w:val="21"/>
                      <w:szCs w:val="21"/>
                    </w:rPr>
                    <w:t>年版)》、《外商投资准入特别管理措施(</w:t>
                  </w:r>
                  <w:r>
                    <w:rPr>
                      <w:rFonts w:hint="default" w:ascii="Times New Roman" w:hAnsi="Times New Roman" w:eastAsia="宋体" w:cs="Times New Roman"/>
                      <w:spacing w:val="2"/>
                      <w:sz w:val="21"/>
                      <w:szCs w:val="21"/>
                    </w:rPr>
                    <w:t>负面清单)(2021年版)》禁止类的产业；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列入《南通市工业产业技术改造负面清单》严格禁止的技术改造工艺装备及产品；采压</w:t>
                  </w:r>
                  <w:r>
                    <w:rPr>
                      <w:rFonts w:hint="default" w:ascii="Times New Roman" w:hAnsi="Times New Roman" w:eastAsia="宋体" w:cs="Times New Roman"/>
                      <w:spacing w:val="-2"/>
                      <w:sz w:val="21"/>
                      <w:szCs w:val="21"/>
                    </w:rPr>
                    <w:t>落后的、淘汰的生产工艺或生产设备，清洁生产达不到国内先进水平的项目；不符合《长</w:t>
                  </w:r>
                  <w:r>
                    <w:rPr>
                      <w:rFonts w:hint="default" w:ascii="Times New Roman" w:hAnsi="Times New Roman" w:eastAsia="宋体" w:cs="Times New Roman"/>
                      <w:sz w:val="21"/>
                      <w:szCs w:val="21"/>
                    </w:rPr>
                    <w:t>江经济带发展负面清单指南(试行，2022年版)》、《&lt;长江</w:t>
                  </w:r>
                  <w:r>
                    <w:rPr>
                      <w:rFonts w:hint="default" w:ascii="Times New Roman" w:hAnsi="Times New Roman" w:eastAsia="宋体" w:cs="Times New Roman"/>
                      <w:spacing w:val="-1"/>
                      <w:sz w:val="21"/>
                      <w:szCs w:val="21"/>
                    </w:rPr>
                    <w:t>经济带发展负面清单指南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(试行，2022年版)&gt;江苏省实施细则》(苏长江办发〔2022〕55号)产业发展要求的</w:t>
                  </w:r>
                  <w:r>
                    <w:rPr>
                      <w:rFonts w:hint="default" w:ascii="Times New Roman" w:hAnsi="Times New Roman" w:eastAsia="宋体" w:cs="Times New Roman"/>
                      <w:spacing w:val="-2"/>
                      <w:sz w:val="21"/>
                      <w:szCs w:val="21"/>
                    </w:rPr>
                    <w:t>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(2)部分行业：钢铁、化工、化学制浆造纸、制革、</w:t>
                  </w:r>
                  <w:r>
                    <w:rPr>
                      <w:rFonts w:hint="default" w:ascii="Times New Roman" w:hAnsi="Times New Roman" w:eastAsia="宋体" w:cs="Times New Roman"/>
                      <w:spacing w:val="1"/>
                      <w:sz w:val="21"/>
                      <w:szCs w:val="21"/>
                      <w:lang w:val="en-US" w:eastAsia="zh-CN"/>
                    </w:rPr>
                    <w:t>发酵</w:t>
                  </w:r>
                  <w:r>
                    <w:rPr>
                      <w:rFonts w:hint="default" w:ascii="Times New Roman" w:hAnsi="Times New Roman" w:eastAsia="宋体" w:cs="Times New Roman"/>
                      <w:spacing w:val="1"/>
                      <w:sz w:val="21"/>
                      <w:szCs w:val="21"/>
                    </w:rPr>
                    <w:t>、印染、电镀项目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(3)智能制造装备产业：使用高有机含量的涂料、胶黏剂的项目；污染治理措施达不到</w:t>
                  </w:r>
                  <w:r>
                    <w:rPr>
                      <w:rFonts w:hint="default" w:ascii="Times New Roman" w:hAnsi="Times New Roman" w:eastAsia="宋体" w:cs="Times New Roman"/>
                      <w:spacing w:val="-7"/>
                      <w:sz w:val="21"/>
                      <w:szCs w:val="21"/>
                    </w:rPr>
                    <w:t>《挥发性有机物(VOCs)污染防治技术政策》、《重点行业挥发性有机物综合治理方案》</w:t>
                  </w:r>
                  <w:r>
                    <w:rPr>
                      <w:rFonts w:hint="default" w:ascii="Times New Roman" w:hAnsi="Times New Roman" w:eastAsia="宋体" w:cs="Times New Roman"/>
                      <w:sz w:val="21"/>
                      <w:szCs w:val="21"/>
                    </w:rPr>
                    <w:t>等要求的项目；亩均工业产值&lt;120万元/亩、亩均税收&lt;13.3</w:t>
                  </w:r>
                  <w:r>
                    <w:rPr>
                      <w:rFonts w:hint="default" w:ascii="Times New Roman" w:hAnsi="Times New Roman" w:eastAsia="宋体" w:cs="Times New Roman"/>
                      <w:spacing w:val="-1"/>
                      <w:sz w:val="21"/>
                      <w:szCs w:val="21"/>
                    </w:rPr>
                    <w:t>万元/亩的新建项目；含电镀工序的项目。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(4)新材料产业：生物基材料制造；含化学合成工艺的新型材料项目；化工原料生产项目；违规新增水泥、砖瓦建材等非金属制品</w:t>
                  </w:r>
                  <w:r>
                    <w:rPr>
                      <w:rFonts w:hint="default" w:ascii="Times New Roman" w:hAnsi="Times New Roman" w:eastAsia="宋体" w:cs="Times New Roman"/>
                      <w:spacing w:val="-1"/>
                      <w:sz w:val="21"/>
                      <w:szCs w:val="21"/>
                    </w:rPr>
                    <w:t>产能的项目。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(5)高端纺织产业：含印染项目。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(6)汽车零部件、智能家居产业：使用高有机含量的涂料、胶黏剂的项目；污染治理措</w:t>
                  </w:r>
                  <w:r>
                    <w:rPr>
                      <w:rFonts w:hint="default" w:ascii="Times New Roman" w:hAnsi="Times New Roman" w:eastAsia="宋体" w:cs="Times New Roman"/>
                      <w:spacing w:val="1"/>
                      <w:sz w:val="21"/>
                      <w:szCs w:val="21"/>
                    </w:rPr>
                    <w:t>施达不到《挥发性有机物(</w:t>
                  </w:r>
                  <w:r>
                    <w:rPr>
                      <w:rFonts w:hint="default" w:ascii="Times New Roman" w:hAnsi="Times New Roman" w:eastAsia="宋体" w:cs="Times New Roman"/>
                      <w:sz w:val="21"/>
                      <w:szCs w:val="21"/>
                    </w:rPr>
                    <w:t>VOCs</w:t>
                  </w:r>
                  <w:r>
                    <w:rPr>
                      <w:rFonts w:hint="default" w:ascii="Times New Roman" w:hAnsi="Times New Roman" w:eastAsia="宋体" w:cs="Times New Roman"/>
                      <w:spacing w:val="1"/>
                      <w:sz w:val="21"/>
                      <w:szCs w:val="21"/>
                    </w:rPr>
                    <w:t>)污染防治技术政策》、《重点行业挥发性有机物综合</w:t>
                  </w:r>
                  <w:r>
                    <w:rPr>
                      <w:rFonts w:hint="default" w:ascii="Times New Roman" w:hAnsi="Times New Roman" w:eastAsia="宋体" w:cs="Times New Roman"/>
                      <w:spacing w:val="-1"/>
                      <w:sz w:val="21"/>
                      <w:szCs w:val="21"/>
                    </w:rPr>
                    <w:t>治理方案》等要求的项目。</w:t>
                  </w:r>
                </w:p>
              </w:tc>
              <w:tc>
                <w:tcPr>
                  <w:tcW w:w="10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限制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引入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类项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w:t>
                  </w:r>
                </w:p>
              </w:tc>
              <w:tc>
                <w:tcPr>
                  <w:tcW w:w="6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pacing w:val="-5"/>
                      <w:sz w:val="21"/>
                      <w:szCs w:val="21"/>
                    </w:rPr>
                    <w:t>(1)《产业结构调整指导目录》及修订、《江苏省工业和信息产业结构调整指导目录(2012</w:t>
                  </w:r>
                  <w:r>
                    <w:rPr>
                      <w:rFonts w:hint="default" w:ascii="Times New Roman" w:hAnsi="Times New Roman" w:eastAsia="宋体" w:cs="Times New Roman"/>
                      <w:sz w:val="21"/>
                      <w:szCs w:val="21"/>
                    </w:rPr>
                    <w:t>年本)》、《江苏省工业和信息产业结构调整限制淘汰目录和能耗限额》中限制类项目</w:t>
                  </w:r>
                  <w:r>
                    <w:rPr>
                      <w:rFonts w:hint="eastAsia"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(2)不符合产业定位的项目。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(3)现有化工企业限制生产规模，除环保设施工程外禁止改扩建，并适时搬迁。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(4)现有金属冶炼等企业限制生产规模，除环保设施工程外禁止改扩</w:t>
                  </w:r>
                  <w:r>
                    <w:rPr>
                      <w:rFonts w:hint="default" w:ascii="Times New Roman" w:hAnsi="Times New Roman" w:eastAsia="宋体" w:cs="Times New Roman"/>
                      <w:spacing w:val="-1"/>
                      <w:sz w:val="21"/>
                      <w:szCs w:val="21"/>
                    </w:rPr>
                    <w:t>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(5)严格限制涉及含氟废水产生排放的项目，须满足《江苏省地表水氟化物污染治理工</w:t>
                  </w:r>
                  <w:r>
                    <w:rPr>
                      <w:rFonts w:hint="default" w:ascii="Times New Roman" w:hAnsi="Times New Roman" w:eastAsia="宋体" w:cs="Times New Roman"/>
                      <w:spacing w:val="-1"/>
                      <w:sz w:val="21"/>
                      <w:szCs w:val="21"/>
                    </w:rPr>
                    <w:t>作方案(2023-2025年)》的相关要求</w:t>
                  </w:r>
                </w:p>
              </w:tc>
              <w:tc>
                <w:tcPr>
                  <w:tcW w:w="10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0"/>
                      <w:sz w:val="21"/>
                      <w:szCs w:val="21"/>
                    </w:rPr>
                    <w:t>空间</w:t>
                  </w:r>
                  <w:r>
                    <w:rPr>
                      <w:rFonts w:hint="default" w:ascii="Times New Roman" w:hAnsi="Times New Roman" w:eastAsia="宋体" w:cs="Times New Roman"/>
                      <w:snapToGrid w:val="0"/>
                      <w:color w:val="000000"/>
                      <w:spacing w:val="9"/>
                      <w:kern w:val="0"/>
                      <w:position w:val="7"/>
                      <w:sz w:val="21"/>
                      <w:szCs w:val="21"/>
                      <w:lang w:eastAsia="en-US"/>
                    </w:rPr>
                    <w:t>布局</w:t>
                  </w:r>
                  <w:r>
                    <w:rPr>
                      <w:rFonts w:hint="default" w:ascii="Times New Roman" w:hAnsi="Times New Roman" w:eastAsia="宋体" w:cs="Times New Roman"/>
                      <w:snapToGrid w:val="0"/>
                      <w:color w:val="000000"/>
                      <w:spacing w:val="5"/>
                      <w:kern w:val="0"/>
                      <w:sz w:val="21"/>
                      <w:szCs w:val="21"/>
                      <w:lang w:eastAsia="en-US"/>
                    </w:rPr>
                    <w:t>约束</w:t>
                  </w:r>
                </w:p>
              </w:tc>
              <w:tc>
                <w:tcPr>
                  <w:tcW w:w="67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pacing w:val="-4"/>
                      <w:sz w:val="21"/>
                      <w:szCs w:val="21"/>
                    </w:rPr>
                    <w:t>(1)入区企业需符合本次规划用地性质。落实江苏省、南通市“三线一单”、《江苏省</w:t>
                  </w:r>
                  <w:r>
                    <w:rPr>
                      <w:rFonts w:hint="default" w:ascii="Times New Roman" w:hAnsi="Times New Roman" w:eastAsia="宋体" w:cs="Times New Roman"/>
                      <w:snapToGrid w:val="0"/>
                      <w:color w:val="000000"/>
                      <w:spacing w:val="-5"/>
                      <w:kern w:val="0"/>
                      <w:sz w:val="21"/>
                      <w:szCs w:val="21"/>
                      <w:lang w:eastAsia="en-US"/>
                    </w:rPr>
                    <w:t>生态空间管控区域规划》、《江苏省国家级</w:t>
                  </w:r>
                  <w:r>
                    <w:rPr>
                      <w:rFonts w:hint="default" w:ascii="Times New Roman" w:hAnsi="Times New Roman" w:eastAsia="宋体" w:cs="Times New Roman"/>
                      <w:snapToGrid w:val="0"/>
                      <w:color w:val="000000"/>
                      <w:spacing w:val="-6"/>
                      <w:kern w:val="0"/>
                      <w:sz w:val="21"/>
                      <w:szCs w:val="21"/>
                      <w:lang w:eastAsia="en-US"/>
                    </w:rPr>
                    <w:t>生态保护红线规划》管控要求管理。</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(2)禁止在大公镇桑蚕种质资源保护区上风向建设产生氟化物的项目；产生氟化物的企业选址尽可能远离大公镇桑蚕种质资源保护区，并配套氟化物有组织收集和处理设施新材料产业园和智能制造-精工装备制造产业园北侧边界设置</w:t>
                  </w:r>
                  <w:r>
                    <w:rPr>
                      <w:rFonts w:hint="default" w:ascii="Times New Roman" w:hAnsi="Times New Roman" w:eastAsia="宋体" w:cs="Times New Roman"/>
                      <w:snapToGrid w:val="0"/>
                      <w:color w:val="000000"/>
                      <w:spacing w:val="-1"/>
                      <w:kern w:val="0"/>
                      <w:sz w:val="21"/>
                      <w:szCs w:val="21"/>
                      <w:lang w:eastAsia="en-US"/>
                    </w:rPr>
                    <w:t>不低于10米的绿化隔离</w:t>
                  </w:r>
                  <w:r>
                    <w:rPr>
                      <w:rFonts w:hint="default" w:ascii="Times New Roman" w:hAnsi="Times New Roman" w:eastAsia="宋体" w:cs="Times New Roman"/>
                      <w:snapToGrid w:val="0"/>
                      <w:color w:val="000000"/>
                      <w:spacing w:val="-2"/>
                      <w:kern w:val="0"/>
                      <w:sz w:val="21"/>
                      <w:szCs w:val="21"/>
                      <w:lang w:eastAsia="en-US"/>
                    </w:rPr>
                    <w:t>带。</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(3)农用地优先保护区，基本农田192.55公顷，农用地优先保护区实行严格保护，确保区域面积不减少、土壤环境质量不下降，除法律规定的重点</w:t>
                  </w:r>
                  <w:r>
                    <w:rPr>
                      <w:rFonts w:hint="default" w:ascii="Times New Roman" w:hAnsi="Times New Roman" w:eastAsia="宋体" w:cs="Times New Roman"/>
                      <w:snapToGrid w:val="0"/>
                      <w:color w:val="000000"/>
                      <w:spacing w:val="-1"/>
                      <w:kern w:val="0"/>
                      <w:sz w:val="21"/>
                      <w:szCs w:val="21"/>
                      <w:lang w:eastAsia="en-US"/>
                    </w:rPr>
                    <w:t>建设项目选址确实无法避</w:t>
                  </w:r>
                  <w:r>
                    <w:rPr>
                      <w:rFonts w:hint="default" w:ascii="Times New Roman" w:hAnsi="Times New Roman" w:eastAsia="宋体" w:cs="Times New Roman"/>
                      <w:snapToGrid w:val="0"/>
                      <w:color w:val="000000"/>
                      <w:kern w:val="0"/>
                      <w:sz w:val="21"/>
                      <w:szCs w:val="21"/>
                      <w:lang w:eastAsia="en-US"/>
                    </w:rPr>
                    <w:t>让外，其他任何建设不得占用；水域面积57.6公顷，落实“蓝线”保护措施；绿地与广场用地137.61公顷，农林用地119.63公顷，限制占用。</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(4)不得在优先保护类耕地集中区域新建有色金属冶炼、石油加工、焦化等行业企</w:t>
                  </w:r>
                  <w:r>
                    <w:rPr>
                      <w:rFonts w:hint="default" w:ascii="Times New Roman" w:hAnsi="Times New Roman" w:eastAsia="宋体" w:cs="Times New Roman"/>
                      <w:snapToGrid w:val="0"/>
                      <w:color w:val="000000"/>
                      <w:spacing w:val="-1"/>
                      <w:kern w:val="0"/>
                      <w:sz w:val="21"/>
                      <w:szCs w:val="21"/>
                      <w:lang w:eastAsia="en-US"/>
                    </w:rPr>
                    <w:t>业。</w:t>
                  </w:r>
                  <w:r>
                    <w:rPr>
                      <w:rFonts w:hint="default" w:ascii="Times New Roman" w:hAnsi="Times New Roman" w:eastAsia="宋体" w:cs="Times New Roman"/>
                      <w:snapToGrid w:val="0"/>
                      <w:color w:val="000000"/>
                      <w:kern w:val="0"/>
                      <w:sz w:val="21"/>
                      <w:szCs w:val="21"/>
                      <w:lang w:eastAsia="en-US"/>
                    </w:rPr>
                    <w:t>不得在居民区、学校、医疗和养老机构等周边新建有色金属冶炼、焦</w:t>
                  </w:r>
                  <w:r>
                    <w:rPr>
                      <w:rFonts w:hint="default" w:ascii="Times New Roman" w:hAnsi="Times New Roman" w:eastAsia="宋体" w:cs="Times New Roman"/>
                      <w:snapToGrid w:val="0"/>
                      <w:color w:val="000000"/>
                      <w:spacing w:val="-1"/>
                      <w:kern w:val="0"/>
                      <w:sz w:val="21"/>
                      <w:szCs w:val="21"/>
                      <w:lang w:eastAsia="en-US"/>
                    </w:rPr>
                    <w:t>化等行业企业。</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(5)新材料产业园区西侧一级保护区内现状与《江苏省通榆河水污染防治条例》冲突的江苏宝艺电力器材有限公司实施改造，确保无生产废水排放，剩余保留企业存续期间除节能减排项目外不得扩建排放废水的项目，同时仍应加强环境监督与管理，确保稳定达标排放；强化环境风险管控。其他新建项目按照《江苏省通榆</w:t>
                  </w:r>
                  <w:r>
                    <w:rPr>
                      <w:rFonts w:hint="default" w:ascii="Times New Roman" w:hAnsi="Times New Roman" w:eastAsia="宋体" w:cs="Times New Roman"/>
                      <w:snapToGrid w:val="0"/>
                      <w:color w:val="000000"/>
                      <w:spacing w:val="-1"/>
                      <w:kern w:val="0"/>
                      <w:sz w:val="21"/>
                      <w:szCs w:val="21"/>
                      <w:lang w:eastAsia="en-US"/>
                    </w:rPr>
                    <w:t>河水污染防治条例》实施</w:t>
                  </w:r>
                  <w:r>
                    <w:rPr>
                      <w:rFonts w:hint="default" w:ascii="Times New Roman" w:hAnsi="Times New Roman" w:eastAsia="宋体" w:cs="Times New Roman"/>
                      <w:snapToGrid w:val="0"/>
                      <w:color w:val="000000"/>
                      <w:spacing w:val="1"/>
                      <w:kern w:val="0"/>
                      <w:sz w:val="21"/>
                      <w:szCs w:val="21"/>
                      <w:lang w:eastAsia="en-US"/>
                    </w:rPr>
                    <w:t>管控。</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color w:val="000000"/>
                      <w:kern w:val="0"/>
                      <w:sz w:val="21"/>
                      <w:szCs w:val="21"/>
                      <w:lang w:eastAsia="en-US"/>
                    </w:rPr>
                    <w:t>(6)居住区附近的工业用地布设污染性小的工业企业，与规划的居住区之间设置不低于30米的空间隔离带；同时建设项目根据环评要求设立相应</w:t>
                  </w:r>
                  <w:r>
                    <w:rPr>
                      <w:rFonts w:hint="default" w:ascii="Times New Roman" w:hAnsi="Times New Roman" w:eastAsia="宋体" w:cs="Times New Roman"/>
                      <w:snapToGrid w:val="0"/>
                      <w:color w:val="000000"/>
                      <w:spacing w:val="-1"/>
                      <w:kern w:val="0"/>
                      <w:sz w:val="21"/>
                      <w:szCs w:val="21"/>
                      <w:lang w:eastAsia="en-US"/>
                    </w:rPr>
                    <w:t>的防护距离。</w:t>
                  </w:r>
                </w:p>
              </w:tc>
              <w:tc>
                <w:tcPr>
                  <w:tcW w:w="10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项目位于大公镇科技产业园，不涉及生态红线及生态管控区，不涉及农田，不涉及通榆河保护区，符合园区规划要求。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spacing w:val="-3"/>
                      <w:kern w:val="0"/>
                      <w:position w:val="7"/>
                      <w:sz w:val="21"/>
                      <w:szCs w:val="21"/>
                      <w:lang w:eastAsia="en-US"/>
                    </w:rPr>
                    <w:t>污染</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spacing w:val="-3"/>
                      <w:kern w:val="0"/>
                      <w:sz w:val="21"/>
                      <w:szCs w:val="21"/>
                      <w:lang w:eastAsia="en-US"/>
                    </w:rPr>
                    <w:t>物排</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spacing w:val="5"/>
                      <w:kern w:val="0"/>
                      <w:sz w:val="21"/>
                      <w:szCs w:val="21"/>
                      <w:lang w:eastAsia="en-US"/>
                    </w:rPr>
                  </w:pPr>
                  <w:r>
                    <w:rPr>
                      <w:rFonts w:hint="default" w:ascii="Times New Roman" w:hAnsi="Times New Roman" w:eastAsia="宋体" w:cs="Times New Roman"/>
                      <w:snapToGrid w:val="0"/>
                      <w:color w:val="000000"/>
                      <w:spacing w:val="-3"/>
                      <w:kern w:val="0"/>
                      <w:sz w:val="21"/>
                      <w:szCs w:val="21"/>
                      <w:lang w:eastAsia="en-US"/>
                    </w:rPr>
                    <w:t>放管</w:t>
                  </w:r>
                  <w:r>
                    <w:rPr>
                      <w:rFonts w:hint="default" w:ascii="Times New Roman" w:hAnsi="Times New Roman" w:eastAsia="宋体" w:cs="Times New Roman"/>
                      <w:snapToGrid w:val="0"/>
                      <w:color w:val="000000"/>
                      <w:kern w:val="0"/>
                      <w:sz w:val="21"/>
                      <w:szCs w:val="21"/>
                      <w:lang w:eastAsia="en-US"/>
                    </w:rPr>
                    <w:t>控</w:t>
                  </w:r>
                </w:p>
              </w:tc>
              <w:tc>
                <w:tcPr>
                  <w:tcW w:w="67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(1)环境质量：</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①大气环境质量达到《环境空气质量标准》二级标准、《环境影响</w:t>
                  </w:r>
                  <w:r>
                    <w:rPr>
                      <w:rFonts w:hint="default" w:ascii="Times New Roman" w:hAnsi="Times New Roman" w:eastAsia="宋体" w:cs="Times New Roman"/>
                      <w:snapToGrid w:val="0"/>
                      <w:color w:val="000000"/>
                      <w:spacing w:val="-1"/>
                      <w:kern w:val="0"/>
                      <w:sz w:val="21"/>
                      <w:szCs w:val="21"/>
                      <w:lang w:eastAsia="en-US"/>
                    </w:rPr>
                    <w:t>评价技术导则大气环</w:t>
                  </w:r>
                  <w:r>
                    <w:rPr>
                      <w:rFonts w:hint="default" w:ascii="Times New Roman" w:hAnsi="Times New Roman" w:eastAsia="宋体" w:cs="Times New Roman"/>
                      <w:snapToGrid w:val="0"/>
                      <w:color w:val="000000"/>
                      <w:kern w:val="0"/>
                      <w:sz w:val="21"/>
                      <w:szCs w:val="21"/>
                      <w:lang w:eastAsia="en-US"/>
                    </w:rPr>
                    <w:t>境》(HJ2.2-2018)附录D其他污染物空气质量浓度参考限值等。</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②通榆河、北凌河、串场河、红星河、立公河等主</w:t>
                  </w:r>
                  <w:r>
                    <w:rPr>
                      <w:rFonts w:hint="default" w:ascii="Times New Roman" w:hAnsi="Times New Roman" w:eastAsia="宋体" w:cs="Times New Roman"/>
                      <w:snapToGrid w:val="0"/>
                      <w:color w:val="000000"/>
                      <w:spacing w:val="-1"/>
                      <w:kern w:val="0"/>
                      <w:sz w:val="21"/>
                      <w:szCs w:val="21"/>
                      <w:lang w:eastAsia="en-US"/>
                    </w:rPr>
                    <w:t>要河道达到《地表水环境质量标准》</w:t>
                  </w:r>
                  <w:r>
                    <w:rPr>
                      <w:rFonts w:hint="default" w:ascii="Times New Roman" w:hAnsi="Times New Roman" w:eastAsia="宋体" w:cs="Times New Roman"/>
                      <w:snapToGrid w:val="0"/>
                      <w:color w:val="000000"/>
                      <w:kern w:val="0"/>
                      <w:sz w:val="21"/>
                      <w:szCs w:val="21"/>
                      <w:lang w:eastAsia="en-US"/>
                    </w:rPr>
                    <w:t>(GB3838-2002)Ⅲ类水标准。</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③土壤达到《土壤环境质量建设用地土壤污染风险管控标准》(GB36600-</w:t>
                  </w:r>
                  <w:r>
                    <w:rPr>
                      <w:rFonts w:hint="default" w:ascii="Times New Roman" w:hAnsi="Times New Roman" w:eastAsia="宋体" w:cs="Times New Roman"/>
                      <w:snapToGrid w:val="0"/>
                      <w:color w:val="000000"/>
                      <w:spacing w:val="-1"/>
                      <w:kern w:val="0"/>
                      <w:sz w:val="21"/>
                      <w:szCs w:val="21"/>
                      <w:lang w:eastAsia="en-US"/>
                    </w:rPr>
                    <w:t>2018)筛选值</w:t>
                  </w:r>
                  <w:r>
                    <w:rPr>
                      <w:rFonts w:hint="default" w:ascii="Times New Roman" w:hAnsi="Times New Roman" w:eastAsia="宋体" w:cs="Times New Roman"/>
                      <w:snapToGrid w:val="0"/>
                      <w:color w:val="000000"/>
                      <w:kern w:val="0"/>
                      <w:sz w:val="21"/>
                      <w:szCs w:val="21"/>
                      <w:lang w:eastAsia="en-US"/>
                    </w:rPr>
                    <w:t>中的第一类、第二类用地标准和《土壤环境质量农用地土壤污染风</w:t>
                  </w:r>
                  <w:r>
                    <w:rPr>
                      <w:rFonts w:hint="default" w:ascii="Times New Roman" w:hAnsi="Times New Roman" w:eastAsia="宋体" w:cs="Times New Roman"/>
                      <w:snapToGrid w:val="0"/>
                      <w:color w:val="000000"/>
                      <w:spacing w:val="-1"/>
                      <w:kern w:val="0"/>
                      <w:sz w:val="21"/>
                      <w:szCs w:val="21"/>
                      <w:lang w:eastAsia="en-US"/>
                    </w:rPr>
                    <w:t>险管控标准》(GB15618-2018)筛选值标准。</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(2)总量控制：</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规划区大气污染物排放量近期：二氧化硫小于88.95吨/年，氮氧化</w:t>
                  </w:r>
                  <w:r>
                    <w:rPr>
                      <w:rFonts w:hint="default" w:ascii="Times New Roman" w:hAnsi="Times New Roman" w:eastAsia="宋体" w:cs="Times New Roman"/>
                      <w:snapToGrid w:val="0"/>
                      <w:color w:val="000000"/>
                      <w:spacing w:val="-1"/>
                      <w:kern w:val="0"/>
                      <w:sz w:val="21"/>
                      <w:szCs w:val="21"/>
                      <w:lang w:eastAsia="en-US"/>
                    </w:rPr>
                    <w:t>物小于140.5吨/年</w:t>
                  </w:r>
                  <w:r>
                    <w:rPr>
                      <w:rFonts w:hint="default" w:ascii="Times New Roman" w:hAnsi="Times New Roman" w:eastAsia="宋体" w:cs="Times New Roman"/>
                      <w:snapToGrid w:val="0"/>
                      <w:color w:val="000000"/>
                      <w:kern w:val="0"/>
                      <w:sz w:val="21"/>
                      <w:szCs w:val="21"/>
                      <w:lang w:eastAsia="en-US"/>
                    </w:rPr>
                    <w:t>颗粒物排放量小于86.68吨/年，VOCs(以非甲烷总烃计)排放量小于5</w:t>
                  </w:r>
                  <w:r>
                    <w:rPr>
                      <w:rFonts w:hint="default" w:ascii="Times New Roman" w:hAnsi="Times New Roman" w:eastAsia="宋体" w:cs="Times New Roman"/>
                      <w:snapToGrid w:val="0"/>
                      <w:color w:val="000000"/>
                      <w:spacing w:val="-1"/>
                      <w:kern w:val="0"/>
                      <w:sz w:val="21"/>
                      <w:szCs w:val="21"/>
                      <w:lang w:eastAsia="en-US"/>
                    </w:rPr>
                    <w:t>7.89吨/年。远</w:t>
                  </w:r>
                  <w:r>
                    <w:rPr>
                      <w:rFonts w:hint="default" w:ascii="Times New Roman" w:hAnsi="Times New Roman" w:eastAsia="宋体" w:cs="Times New Roman"/>
                      <w:snapToGrid w:val="0"/>
                      <w:color w:val="000000"/>
                      <w:kern w:val="0"/>
                      <w:sz w:val="21"/>
                      <w:szCs w:val="21"/>
                      <w:lang w:eastAsia="en-US"/>
                    </w:rPr>
                    <w:t>期：二氧化硫小于95.32吨/年，氮氧化物小于148.46吨/年，颗粒物排放量小于89.08吨/年，VOCs(以非甲烷总烃计)排放量小于61.87吨/年。水污染物排放量近期：化学</w:t>
                  </w:r>
                  <w:r>
                    <w:rPr>
                      <w:rFonts w:hint="default" w:ascii="Times New Roman" w:hAnsi="Times New Roman" w:eastAsia="宋体" w:cs="Times New Roman"/>
                      <w:snapToGrid w:val="0"/>
                      <w:color w:val="000000"/>
                      <w:spacing w:val="1"/>
                      <w:kern w:val="0"/>
                      <w:sz w:val="21"/>
                      <w:szCs w:val="21"/>
                      <w:lang w:eastAsia="en-US"/>
                    </w:rPr>
                    <w:t>需氧量小于114.09吨/年，氨氮小于11</w:t>
                  </w:r>
                  <w:r>
                    <w:rPr>
                      <w:rFonts w:hint="default" w:ascii="Times New Roman" w:hAnsi="Times New Roman" w:eastAsia="宋体" w:cs="Times New Roman"/>
                      <w:snapToGrid w:val="0"/>
                      <w:color w:val="000000"/>
                      <w:kern w:val="0"/>
                      <w:sz w:val="21"/>
                      <w:szCs w:val="21"/>
                      <w:lang w:eastAsia="en-US"/>
                    </w:rPr>
                    <w:t>.41吨/年，总磷小于1.14吨/年。远期：化学需氧量小于179.18吨/年，氨氮小于17.92.吨/年，总磷小于1.79吨/年。</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(3)新增排放主要污染物的项目根据上级政策要求实行区域内总量替</w:t>
                  </w:r>
                  <w:r>
                    <w:rPr>
                      <w:rFonts w:hint="default" w:ascii="Times New Roman" w:hAnsi="Times New Roman" w:eastAsia="宋体" w:cs="Times New Roman"/>
                      <w:snapToGrid w:val="0"/>
                      <w:color w:val="000000"/>
                      <w:spacing w:val="-1"/>
                      <w:kern w:val="0"/>
                      <w:sz w:val="21"/>
                      <w:szCs w:val="21"/>
                      <w:lang w:eastAsia="en-US"/>
                    </w:rPr>
                    <w:t>代。</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(4)现有燃气锅炉应全部实现低氮燃烧改造，现有4蒸吨/小时以上生物质锅炉需安装烟气在线监测，并与生态环境部门联网。现有工业炉窑实施升级改造，达到《工业炉窑大气污染物排放标准》(DB32/3728-2019)(有行业标准的达到行业标准</w:t>
                  </w:r>
                  <w:r>
                    <w:rPr>
                      <w:rFonts w:hint="default" w:ascii="Times New Roman" w:hAnsi="Times New Roman" w:eastAsia="宋体" w:cs="Times New Roman"/>
                      <w:snapToGrid w:val="0"/>
                      <w:color w:val="000000"/>
                      <w:spacing w:val="-1"/>
                      <w:kern w:val="0"/>
                      <w:sz w:val="21"/>
                      <w:szCs w:val="21"/>
                      <w:lang w:eastAsia="en-US"/>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(5)新建项目中有行业标准的执行相应行业标准。区域内自建锅炉执行《锅炉大气污染</w:t>
                  </w:r>
                  <w:r>
                    <w:rPr>
                      <w:rFonts w:hint="default" w:ascii="Times New Roman" w:hAnsi="Times New Roman" w:eastAsia="宋体" w:cs="Times New Roman"/>
                      <w:snapToGrid w:val="0"/>
                      <w:color w:val="000000"/>
                      <w:spacing w:val="-5"/>
                      <w:kern w:val="0"/>
                      <w:sz w:val="21"/>
                      <w:szCs w:val="21"/>
                      <w:lang w:eastAsia="en-US"/>
                    </w:rPr>
                    <w:t>物排放标准》(DB32/4385-2022)表1中规定的排放限值。</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napToGrid w:val="0"/>
                      <w:color w:val="000000"/>
                      <w:spacing w:val="-1"/>
                      <w:kern w:val="0"/>
                      <w:sz w:val="21"/>
                      <w:szCs w:val="21"/>
                      <w:lang w:eastAsia="en-US"/>
                    </w:rPr>
                  </w:pPr>
                  <w:r>
                    <w:rPr>
                      <w:rFonts w:hint="default" w:ascii="Times New Roman" w:hAnsi="Times New Roman" w:eastAsia="宋体" w:cs="Times New Roman"/>
                      <w:snapToGrid w:val="0"/>
                      <w:color w:val="000000"/>
                      <w:kern w:val="0"/>
                      <w:sz w:val="21"/>
                      <w:szCs w:val="21"/>
                      <w:lang w:eastAsia="en-US"/>
                    </w:rPr>
                    <w:t>(6)产生氟化物的企业必须配套氟化物有组织收集和处理设施，减少氟化物的排</w:t>
                  </w:r>
                  <w:r>
                    <w:rPr>
                      <w:rFonts w:hint="default" w:ascii="Times New Roman" w:hAnsi="Times New Roman" w:eastAsia="宋体" w:cs="Times New Roman"/>
                      <w:snapToGrid w:val="0"/>
                      <w:color w:val="000000"/>
                      <w:spacing w:val="-1"/>
                      <w:kern w:val="0"/>
                      <w:sz w:val="21"/>
                      <w:szCs w:val="21"/>
                      <w:lang w:eastAsia="en-US"/>
                    </w:rPr>
                    <w:t>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napToGrid w:val="0"/>
                      <w:color w:val="000000"/>
                      <w:spacing w:val="-1"/>
                      <w:kern w:val="0"/>
                      <w:sz w:val="21"/>
                      <w:szCs w:val="21"/>
                      <w:lang w:eastAsia="en-US"/>
                    </w:rPr>
                  </w:pPr>
                  <w:r>
                    <w:rPr>
                      <w:rFonts w:hint="default" w:ascii="Times New Roman" w:hAnsi="Times New Roman" w:eastAsia="宋体" w:cs="Times New Roman"/>
                      <w:spacing w:val="-1"/>
                      <w:sz w:val="21"/>
                      <w:szCs w:val="21"/>
                    </w:rPr>
                    <w:t>(7)强化VOCs治理，按照“可替尽替、应代尽代”的原则，推进实施源头替代。技术</w:t>
                  </w:r>
                  <w:r>
                    <w:rPr>
                      <w:rFonts w:hint="default" w:ascii="Times New Roman" w:hAnsi="Times New Roman" w:eastAsia="宋体" w:cs="Times New Roman"/>
                      <w:sz w:val="21"/>
                      <w:szCs w:val="21"/>
                    </w:rPr>
                    <w:t>成熟领域全面推广低VOCs含量涂料，技术尚未全部成熟领域开展替代试点，逐步实现涂</w:t>
                  </w:r>
                  <w:r>
                    <w:rPr>
                      <w:rFonts w:hint="default" w:ascii="Times New Roman" w:hAnsi="Times New Roman" w:eastAsia="宋体" w:cs="Times New Roman"/>
                      <w:spacing w:val="5"/>
                      <w:sz w:val="21"/>
                      <w:szCs w:val="21"/>
                    </w:rPr>
                    <w:t>料低</w:t>
                  </w:r>
                  <w:r>
                    <w:rPr>
                      <w:rFonts w:hint="default" w:ascii="Times New Roman" w:hAnsi="Times New Roman" w:eastAsia="宋体" w:cs="Times New Roman"/>
                      <w:sz w:val="21"/>
                      <w:szCs w:val="21"/>
                    </w:rPr>
                    <w:t>VOCs</w:t>
                  </w:r>
                  <w:r>
                    <w:rPr>
                      <w:rFonts w:hint="default" w:ascii="Times New Roman" w:hAnsi="Times New Roman" w:eastAsia="宋体" w:cs="Times New Roman"/>
                      <w:spacing w:val="5"/>
                      <w:sz w:val="21"/>
                      <w:szCs w:val="21"/>
                    </w:rPr>
                    <w:t>化。</w:t>
                  </w:r>
                </w:p>
              </w:tc>
              <w:tc>
                <w:tcPr>
                  <w:tcW w:w="10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项目污染物排放极低，排放总量通过区域平衡获得。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8"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3"/>
                      <w:position w:val="6"/>
                      <w:sz w:val="21"/>
                      <w:szCs w:val="21"/>
                    </w:rPr>
                    <w:t>环境</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风险</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spacing w:val="4"/>
                      <w:sz w:val="21"/>
                      <w:szCs w:val="21"/>
                    </w:rPr>
                    <w:t>防控</w:t>
                  </w:r>
                </w:p>
              </w:tc>
              <w:tc>
                <w:tcPr>
                  <w:tcW w:w="67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spacing w:val="-2"/>
                      <w:kern w:val="0"/>
                      <w:sz w:val="21"/>
                      <w:szCs w:val="21"/>
                      <w:lang w:eastAsia="en-US"/>
                    </w:rPr>
                    <w:t>(1)建立健全环境风险管控体系，加强环境风险防范；及时开展环境风险应急预案修编；</w:t>
                  </w:r>
                  <w:r>
                    <w:rPr>
                      <w:rFonts w:hint="default" w:ascii="Times New Roman" w:hAnsi="Times New Roman" w:eastAsia="宋体" w:cs="Times New Roman"/>
                      <w:snapToGrid w:val="0"/>
                      <w:color w:val="000000"/>
                      <w:kern w:val="0"/>
                      <w:sz w:val="21"/>
                      <w:szCs w:val="21"/>
                      <w:lang w:eastAsia="en-US"/>
                    </w:rPr>
                    <w:t>定期组织应急演练，完善“企业-公共管网-区内水体”水污染三级防控基础设施建设</w:t>
                  </w:r>
                  <w:r>
                    <w:rPr>
                      <w:rFonts w:hint="default" w:ascii="Times New Roman" w:hAnsi="Times New Roman" w:eastAsia="宋体" w:cs="Times New Roman"/>
                      <w:snapToGrid w:val="0"/>
                      <w:color w:val="000000"/>
                      <w:spacing w:val="-3"/>
                      <w:kern w:val="0"/>
                      <w:sz w:val="21"/>
                      <w:szCs w:val="21"/>
                      <w:lang w:eastAsia="en-US"/>
                    </w:rPr>
                    <w:t>加强环境事故应急设施建设、应急队伍和物资配置，提高应急处置能力；建立定期隐患排</w:t>
                  </w:r>
                  <w:r>
                    <w:rPr>
                      <w:rFonts w:hint="default" w:ascii="Times New Roman" w:hAnsi="Times New Roman" w:eastAsia="宋体" w:cs="Times New Roman"/>
                      <w:snapToGrid w:val="0"/>
                      <w:color w:val="000000"/>
                      <w:spacing w:val="-1"/>
                      <w:kern w:val="0"/>
                      <w:sz w:val="21"/>
                      <w:szCs w:val="21"/>
                      <w:lang w:eastAsia="en-US"/>
                    </w:rPr>
                    <w:t>查治理制度，做好污染防治过程中的安全防范。</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(2)企业内部采取严格的防火、防爆、防泄漏措施；编制环境风险应急预案，对重点风</w:t>
                  </w:r>
                  <w:r>
                    <w:rPr>
                      <w:rFonts w:hint="default" w:ascii="Times New Roman" w:hAnsi="Times New Roman" w:eastAsia="宋体" w:cs="Times New Roman"/>
                      <w:snapToGrid w:val="0"/>
                      <w:color w:val="000000"/>
                      <w:spacing w:val="1"/>
                      <w:kern w:val="0"/>
                      <w:sz w:val="21"/>
                      <w:szCs w:val="21"/>
                      <w:lang w:eastAsia="en-US"/>
                    </w:rPr>
                    <w:t>险源编制环境风险评估报告，建立有针对性的风险防范体系，加强对潜在事故的监控。</w:t>
                  </w:r>
                  <w:r>
                    <w:rPr>
                      <w:rFonts w:hint="default" w:ascii="Times New Roman" w:hAnsi="Times New Roman" w:eastAsia="宋体" w:cs="Times New Roman"/>
                      <w:snapToGrid w:val="0"/>
                      <w:color w:val="000000"/>
                      <w:kern w:val="0"/>
                      <w:sz w:val="21"/>
                      <w:szCs w:val="21"/>
                      <w:lang w:eastAsia="en-US"/>
                    </w:rPr>
                    <w:t>生产、存储危险化学品及产生大量废水的企业，应配套有效措施，防止因渗漏污染地下</w:t>
                  </w:r>
                  <w:r>
                    <w:rPr>
                      <w:rFonts w:hint="default" w:ascii="Times New Roman" w:hAnsi="Times New Roman" w:eastAsia="宋体" w:cs="Times New Roman"/>
                      <w:snapToGrid w:val="0"/>
                      <w:color w:val="000000"/>
                      <w:spacing w:val="1"/>
                      <w:kern w:val="0"/>
                      <w:sz w:val="21"/>
                      <w:szCs w:val="21"/>
                      <w:lang w:eastAsia="en-US"/>
                    </w:rPr>
                    <w:t>水、土壤，以及因事故废水直排污染地表水体。</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spacing w:val="1"/>
                      <w:kern w:val="0"/>
                      <w:sz w:val="21"/>
                      <w:szCs w:val="21"/>
                      <w:lang w:eastAsia="en-US"/>
                    </w:rPr>
                    <w:t>(3)对建设用地污染风险重点管控区内关闭</w:t>
                  </w:r>
                  <w:r>
                    <w:rPr>
                      <w:rFonts w:hint="default" w:ascii="Times New Roman" w:hAnsi="Times New Roman" w:eastAsia="宋体" w:cs="Times New Roman"/>
                      <w:snapToGrid w:val="0"/>
                      <w:color w:val="000000"/>
                      <w:kern w:val="0"/>
                      <w:sz w:val="21"/>
                      <w:szCs w:val="21"/>
                      <w:lang w:eastAsia="en-US"/>
                    </w:rPr>
                    <w:t>搬迁、拟变更地利用方式和土地使用权人的重点行业企业用地，由土地使用权人负责开展土壤环境状况调</w:t>
                  </w:r>
                  <w:r>
                    <w:rPr>
                      <w:rFonts w:hint="default" w:ascii="Times New Roman" w:hAnsi="Times New Roman" w:eastAsia="宋体" w:cs="Times New Roman"/>
                      <w:snapToGrid w:val="0"/>
                      <w:color w:val="000000"/>
                      <w:spacing w:val="-1"/>
                      <w:kern w:val="0"/>
                      <w:sz w:val="21"/>
                      <w:szCs w:val="21"/>
                      <w:lang w:eastAsia="en-US"/>
                    </w:rPr>
                    <w:t>查评估。暂不开发利用或</w:t>
                  </w:r>
                  <w:r>
                    <w:rPr>
                      <w:rFonts w:hint="default" w:ascii="Times New Roman" w:hAnsi="Times New Roman" w:eastAsia="宋体" w:cs="Times New Roman"/>
                      <w:snapToGrid w:val="0"/>
                      <w:color w:val="000000"/>
                      <w:kern w:val="0"/>
                      <w:sz w:val="21"/>
                      <w:szCs w:val="21"/>
                      <w:lang w:eastAsia="en-US"/>
                    </w:rPr>
                    <w:t>现阶段不具备治理与修复条件的污染地块，实施以防止污染扩</w:t>
                  </w:r>
                  <w:r>
                    <w:rPr>
                      <w:rFonts w:hint="default" w:ascii="Times New Roman" w:hAnsi="Times New Roman" w:eastAsia="宋体" w:cs="Times New Roman"/>
                      <w:snapToGrid w:val="0"/>
                      <w:color w:val="000000"/>
                      <w:spacing w:val="-1"/>
                      <w:kern w:val="0"/>
                      <w:sz w:val="21"/>
                      <w:szCs w:val="21"/>
                      <w:lang w:eastAsia="en-US"/>
                    </w:rPr>
                    <w:t>散为目的的风险管控。对</w:t>
                  </w:r>
                  <w:r>
                    <w:rPr>
                      <w:rFonts w:hint="default" w:ascii="Times New Roman" w:hAnsi="Times New Roman" w:eastAsia="宋体" w:cs="Times New Roman"/>
                      <w:snapToGrid w:val="0"/>
                      <w:color w:val="000000"/>
                      <w:kern w:val="0"/>
                      <w:sz w:val="21"/>
                      <w:szCs w:val="21"/>
                      <w:lang w:eastAsia="en-US"/>
                    </w:rPr>
                    <w:t>土壤重点行业企业进行排查，严格重点监管单位环境管理，定</w:t>
                  </w:r>
                  <w:r>
                    <w:rPr>
                      <w:rFonts w:hint="default" w:ascii="Times New Roman" w:hAnsi="Times New Roman" w:eastAsia="宋体" w:cs="Times New Roman"/>
                      <w:snapToGrid w:val="0"/>
                      <w:color w:val="000000"/>
                      <w:spacing w:val="-1"/>
                      <w:kern w:val="0"/>
                      <w:sz w:val="21"/>
                      <w:szCs w:val="21"/>
                      <w:lang w:eastAsia="en-US"/>
                    </w:rPr>
                    <w:t>期开展重点监管单位周边</w:t>
                  </w:r>
                  <w:r>
                    <w:rPr>
                      <w:rFonts w:hint="default" w:ascii="Times New Roman" w:hAnsi="Times New Roman" w:eastAsia="宋体" w:cs="Times New Roman"/>
                      <w:snapToGrid w:val="0"/>
                      <w:color w:val="000000"/>
                      <w:spacing w:val="4"/>
                      <w:kern w:val="0"/>
                      <w:sz w:val="21"/>
                      <w:szCs w:val="21"/>
                      <w:lang w:eastAsia="en-US"/>
                    </w:rPr>
                    <w:t>土壤和地下水环境监测。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pacing w:val="-1"/>
                      <w:sz w:val="21"/>
                      <w:szCs w:val="21"/>
                    </w:rPr>
                  </w:pPr>
                  <w:r>
                    <w:rPr>
                      <w:rFonts w:hint="default" w:ascii="Times New Roman" w:hAnsi="Times New Roman" w:eastAsia="宋体" w:cs="Times New Roman"/>
                      <w:snapToGrid w:val="0"/>
                      <w:color w:val="000000"/>
                      <w:spacing w:val="3"/>
                      <w:kern w:val="0"/>
                      <w:sz w:val="21"/>
                      <w:szCs w:val="21"/>
                      <w:lang w:eastAsia="en-US"/>
                    </w:rPr>
                    <w:t>(4)严格管控类农用地，不得在依法划定的特定农产品禁止生产区域</w:t>
                  </w:r>
                  <w:r>
                    <w:rPr>
                      <w:rFonts w:hint="default" w:ascii="Times New Roman" w:hAnsi="Times New Roman" w:eastAsia="宋体" w:cs="Times New Roman"/>
                      <w:snapToGrid w:val="0"/>
                      <w:color w:val="000000"/>
                      <w:spacing w:val="2"/>
                      <w:kern w:val="0"/>
                      <w:sz w:val="21"/>
                      <w:szCs w:val="21"/>
                      <w:lang w:eastAsia="en-US"/>
                    </w:rPr>
                    <w:t>种植食用农产品；</w:t>
                  </w:r>
                  <w:r>
                    <w:rPr>
                      <w:rFonts w:hint="default" w:ascii="Times New Roman" w:hAnsi="Times New Roman" w:eastAsia="宋体" w:cs="Times New Roman"/>
                      <w:snapToGrid w:val="0"/>
                      <w:color w:val="000000"/>
                      <w:kern w:val="0"/>
                      <w:sz w:val="21"/>
                      <w:szCs w:val="21"/>
                      <w:lang w:eastAsia="en-US"/>
                    </w:rPr>
                    <w:t>安全利用类农用地，应制定农艺调控、替代种植、定期开展土壤和农产品协同监测与评</w:t>
                  </w:r>
                  <w:r>
                    <w:rPr>
                      <w:rFonts w:hint="default" w:ascii="Times New Roman" w:hAnsi="Times New Roman" w:eastAsia="宋体" w:cs="Times New Roman"/>
                      <w:snapToGrid w:val="0"/>
                      <w:color w:val="000000"/>
                      <w:spacing w:val="1"/>
                      <w:kern w:val="0"/>
                      <w:sz w:val="21"/>
                      <w:szCs w:val="21"/>
                      <w:lang w:eastAsia="en-US"/>
                    </w:rPr>
                    <w:t>价、技术指导和培训等安全利用方案，降低农产品超</w:t>
                  </w:r>
                  <w:r>
                    <w:rPr>
                      <w:rFonts w:hint="default" w:ascii="Times New Roman" w:hAnsi="Times New Roman" w:eastAsia="宋体" w:cs="Times New Roman"/>
                      <w:snapToGrid w:val="0"/>
                      <w:color w:val="000000"/>
                      <w:kern w:val="0"/>
                      <w:sz w:val="21"/>
                      <w:szCs w:val="21"/>
                      <w:lang w:eastAsia="en-US"/>
                    </w:rPr>
                    <w:t>标风险。</w:t>
                  </w:r>
                </w:p>
              </w:tc>
              <w:tc>
                <w:tcPr>
                  <w:tcW w:w="10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项目生产落实环境风险防范措施，并落实应急预案等环境风险管理要求。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8"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4"/>
                      <w:position w:val="7"/>
                      <w:sz w:val="21"/>
                      <w:szCs w:val="21"/>
                    </w:rPr>
                    <w:t>资源</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开发</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利用</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spacing w:val="-3"/>
                      <w:sz w:val="21"/>
                      <w:szCs w:val="21"/>
                    </w:rPr>
                    <w:t>要求</w:t>
                  </w:r>
                </w:p>
              </w:tc>
              <w:tc>
                <w:tcPr>
                  <w:tcW w:w="67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(1)水资源可开发或利用总量：474.5万吨/年。禁止新增取用地下</w:t>
                  </w:r>
                  <w:r>
                    <w:rPr>
                      <w:rFonts w:hint="default" w:ascii="Times New Roman" w:hAnsi="Times New Roman" w:eastAsia="宋体" w:cs="Times New Roman"/>
                      <w:snapToGrid w:val="0"/>
                      <w:color w:val="000000"/>
                      <w:spacing w:val="-1"/>
                      <w:kern w:val="0"/>
                      <w:sz w:val="21"/>
                      <w:szCs w:val="21"/>
                      <w:lang w:eastAsia="en-US"/>
                    </w:rPr>
                    <w:t>水。</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(2)土地资源可开发或利用总量：建设用地总面积上线近期为944.53公顷，远期为1039.29公顷。</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(3)万元工业增加值综合能耗≤0.5tce/万元，万元工业增加值新鲜水耗量≤8t/万元。</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(4)新建项目禁止配套建设自备燃煤电站。禁止新建燃煤锅炉，禁止建设</w:t>
                  </w:r>
                  <w:r>
                    <w:rPr>
                      <w:rFonts w:hint="default" w:ascii="Times New Roman" w:hAnsi="Times New Roman" w:eastAsia="宋体" w:cs="Times New Roman"/>
                      <w:snapToGrid w:val="0"/>
                      <w:color w:val="000000"/>
                      <w:spacing w:val="-1"/>
                      <w:kern w:val="0"/>
                      <w:sz w:val="21"/>
                      <w:szCs w:val="21"/>
                      <w:lang w:eastAsia="en-US"/>
                    </w:rPr>
                    <w:t>新建、改扩建</w:t>
                  </w:r>
                  <w:r>
                    <w:rPr>
                      <w:rFonts w:hint="default" w:ascii="Times New Roman" w:hAnsi="Times New Roman" w:eastAsia="宋体" w:cs="Times New Roman"/>
                      <w:snapToGrid w:val="0"/>
                      <w:color w:val="000000"/>
                      <w:spacing w:val="-2"/>
                      <w:kern w:val="0"/>
                      <w:sz w:val="21"/>
                      <w:szCs w:val="21"/>
                      <w:lang w:eastAsia="en-US"/>
                    </w:rPr>
                    <w:t>采用高污染燃料的项目和设施，新增锅炉和工业炉窑使</w:t>
                  </w:r>
                  <w:r>
                    <w:rPr>
                      <w:rFonts w:hint="default" w:ascii="Times New Roman" w:hAnsi="Times New Roman" w:eastAsia="宋体" w:cs="Times New Roman"/>
                      <w:snapToGrid w:val="0"/>
                      <w:color w:val="000000"/>
                      <w:spacing w:val="-3"/>
                      <w:kern w:val="0"/>
                      <w:sz w:val="21"/>
                      <w:szCs w:val="21"/>
                      <w:lang w:eastAsia="en-US"/>
                    </w:rPr>
                    <w:t>用天然气或轻质柴油燃料；新增</w:t>
                  </w:r>
                  <w:r>
                    <w:rPr>
                      <w:rFonts w:hint="eastAsia" w:cs="Times New Roman"/>
                      <w:snapToGrid w:val="0"/>
                      <w:color w:val="000000"/>
                      <w:spacing w:val="-3"/>
                      <w:kern w:val="0"/>
                      <w:sz w:val="21"/>
                      <w:szCs w:val="21"/>
                      <w:lang w:eastAsia="zh-CN"/>
                    </w:rPr>
                    <w:t>锅炉</w:t>
                  </w:r>
                  <w:r>
                    <w:rPr>
                      <w:rFonts w:hint="default" w:ascii="Times New Roman" w:hAnsi="Times New Roman" w:eastAsia="宋体" w:cs="Times New Roman"/>
                      <w:snapToGrid w:val="0"/>
                      <w:color w:val="000000"/>
                      <w:kern w:val="0"/>
                      <w:sz w:val="21"/>
                      <w:szCs w:val="21"/>
                      <w:lang w:eastAsia="en-US"/>
                    </w:rPr>
                    <w:t>位于天然气管道敷设范围内的项目需以天</w:t>
                  </w:r>
                  <w:r>
                    <w:rPr>
                      <w:rFonts w:hint="default" w:ascii="Times New Roman" w:hAnsi="Times New Roman" w:eastAsia="宋体" w:cs="Times New Roman"/>
                      <w:snapToGrid w:val="0"/>
                      <w:color w:val="000000"/>
                      <w:spacing w:val="-1"/>
                      <w:kern w:val="0"/>
                      <w:sz w:val="21"/>
                      <w:szCs w:val="21"/>
                      <w:lang w:eastAsia="en-US"/>
                    </w:rPr>
                    <w:t>然气为燃料。</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(5)禁止销售使用燃料为“Ⅱ类”(较严)</w:t>
                  </w:r>
                  <w:r>
                    <w:rPr>
                      <w:rFonts w:hint="eastAsia" w:ascii="Times New Roman" w:hAnsi="Times New Roman" w:eastAsia="宋体" w:cs="Times New Roman"/>
                      <w:snapToGrid w:val="0"/>
                      <w:color w:val="000000"/>
                      <w:kern w:val="0"/>
                      <w:sz w:val="21"/>
                      <w:szCs w:val="21"/>
                      <w:lang w:eastAsia="zh-CN"/>
                    </w:rPr>
                    <w:t>，</w:t>
                  </w:r>
                  <w:r>
                    <w:rPr>
                      <w:rFonts w:hint="default" w:ascii="Times New Roman" w:hAnsi="Times New Roman" w:eastAsia="宋体" w:cs="Times New Roman"/>
                      <w:snapToGrid w:val="0"/>
                      <w:color w:val="000000"/>
                      <w:kern w:val="0"/>
                      <w:sz w:val="21"/>
                      <w:szCs w:val="21"/>
                      <w:lang w:eastAsia="en-US"/>
                    </w:rPr>
                    <w:t>具体包括：除单台出力大于等于20蒸吨/小时锅炉以外燃用的煤炭及其制品；石油焦、油页岩、原油、重油、渣</w:t>
                  </w:r>
                  <w:r>
                    <w:rPr>
                      <w:rFonts w:hint="default" w:ascii="Times New Roman" w:hAnsi="Times New Roman" w:eastAsia="宋体" w:cs="Times New Roman"/>
                      <w:snapToGrid w:val="0"/>
                      <w:color w:val="000000"/>
                      <w:spacing w:val="-1"/>
                      <w:kern w:val="0"/>
                      <w:sz w:val="21"/>
                      <w:szCs w:val="21"/>
                      <w:lang w:eastAsia="en-US"/>
                    </w:rPr>
                    <w:t>油、煤焦油。</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spacing w:val="1"/>
                      <w:kern w:val="0"/>
                      <w:sz w:val="21"/>
                      <w:szCs w:val="21"/>
                      <w:lang w:eastAsia="en-US"/>
                    </w:rPr>
                    <w:t>(6)引进项目的生产工艺、设备、能耗、污染物排放、资源利用等均须</w:t>
                  </w:r>
                  <w:r>
                    <w:rPr>
                      <w:rFonts w:hint="default" w:ascii="Times New Roman" w:hAnsi="Times New Roman" w:eastAsia="宋体" w:cs="Times New Roman"/>
                      <w:snapToGrid w:val="0"/>
                      <w:color w:val="000000"/>
                      <w:kern w:val="0"/>
                      <w:sz w:val="21"/>
                      <w:szCs w:val="21"/>
                      <w:lang w:eastAsia="en-US"/>
                    </w:rPr>
                    <w:t>达到同行业国内先进水平，同时须满足《南通市关于加大污染减排力度推进重点行业绿色发展的指导意见》等要求，强化企业清洁生产改造，推进节水型企业、节水型园区建设，提高资源能</w:t>
                  </w:r>
                  <w:r>
                    <w:rPr>
                      <w:rFonts w:hint="default" w:ascii="Times New Roman" w:hAnsi="Times New Roman" w:eastAsia="宋体" w:cs="Times New Roman"/>
                      <w:snapToGrid w:val="0"/>
                      <w:color w:val="000000"/>
                      <w:spacing w:val="5"/>
                      <w:kern w:val="0"/>
                      <w:sz w:val="21"/>
                      <w:szCs w:val="21"/>
                      <w:lang w:eastAsia="en-US"/>
                    </w:rPr>
                    <w:t>源利用效率。</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pacing w:val="-1"/>
                      <w:sz w:val="21"/>
                      <w:szCs w:val="21"/>
                    </w:rPr>
                  </w:pPr>
                  <w:r>
                    <w:rPr>
                      <w:rFonts w:hint="default" w:ascii="Times New Roman" w:hAnsi="Times New Roman" w:eastAsia="宋体" w:cs="Times New Roman"/>
                      <w:snapToGrid w:val="0"/>
                      <w:color w:val="000000"/>
                      <w:kern w:val="0"/>
                      <w:sz w:val="21"/>
                      <w:szCs w:val="21"/>
                      <w:lang w:eastAsia="en-US"/>
                    </w:rPr>
                    <w:t>(7)根据《关于印发&lt;省生态环境厅2021年推动碳达峰、碳中和工作计划&gt;的通知》(苏环办〔2021〕168号)</w:t>
                  </w:r>
                  <w:r>
                    <w:rPr>
                      <w:rFonts w:hint="eastAsia" w:ascii="Times New Roman" w:hAnsi="Times New Roman" w:eastAsia="宋体" w:cs="Times New Roman"/>
                      <w:snapToGrid w:val="0"/>
                      <w:color w:val="000000"/>
                      <w:kern w:val="0"/>
                      <w:sz w:val="21"/>
                      <w:szCs w:val="21"/>
                      <w:lang w:eastAsia="zh-CN"/>
                    </w:rPr>
                    <w:t>，</w:t>
                  </w:r>
                  <w:r>
                    <w:rPr>
                      <w:rFonts w:hint="default" w:ascii="Times New Roman" w:hAnsi="Times New Roman" w:eastAsia="宋体" w:cs="Times New Roman"/>
                      <w:snapToGrid w:val="0"/>
                      <w:color w:val="000000"/>
                      <w:kern w:val="0"/>
                      <w:sz w:val="21"/>
                      <w:szCs w:val="21"/>
                      <w:lang w:eastAsia="en-US"/>
                    </w:rPr>
                    <w:t>配合完成国家和省下达的煤炭消费总量削</w:t>
                  </w:r>
                  <w:r>
                    <w:rPr>
                      <w:rFonts w:hint="default" w:ascii="Times New Roman" w:hAnsi="Times New Roman" w:eastAsia="宋体" w:cs="Times New Roman"/>
                      <w:snapToGrid w:val="0"/>
                      <w:color w:val="000000"/>
                      <w:spacing w:val="-1"/>
                      <w:kern w:val="0"/>
                      <w:sz w:val="21"/>
                      <w:szCs w:val="21"/>
                      <w:lang w:eastAsia="en-US"/>
                    </w:rPr>
                    <w:t>减目标任务，不突破碳排放配额。</w:t>
                  </w:r>
                </w:p>
              </w:tc>
              <w:tc>
                <w:tcPr>
                  <w:tcW w:w="10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本项目用水、用能极低，符合资源开发利用要求，不使用燃料，生产满足国内先进水平。</w:t>
                  </w:r>
                </w:p>
              </w:tc>
            </w:tr>
          </w:tbl>
          <w:p>
            <w:pPr>
              <w:pStyle w:val="7"/>
              <w:rPr>
                <w:rFonts w:hint="default"/>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both"/>
              <w:textAlignment w:val="auto"/>
              <w:rPr>
                <w:rFonts w:hint="default" w:eastAsia="宋体"/>
                <w:kern w:val="0"/>
                <w:sz w:val="24"/>
                <w:lang w:val="en-US" w:eastAsia="zh-CN"/>
              </w:rPr>
            </w:pPr>
            <w:r>
              <w:rPr>
                <w:rFonts w:hint="eastAsia"/>
                <w:kern w:val="0"/>
                <w:sz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44" w:type="pct"/>
            <w:tcBorders>
              <w:tl2br w:val="nil"/>
              <w:tr2bl w:val="nil"/>
            </w:tcBorders>
            <w:vAlign w:val="center"/>
          </w:tcPr>
          <w:p>
            <w:pPr>
              <w:autoSpaceDE w:val="0"/>
              <w:autoSpaceDN w:val="0"/>
              <w:adjustRightInd w:val="0"/>
              <w:snapToGrid w:val="0"/>
              <w:jc w:val="center"/>
              <w:rPr>
                <w:rFonts w:hint="default" w:eastAsia="宋体"/>
                <w:kern w:val="0"/>
                <w:sz w:val="24"/>
                <w:lang w:val="en-US" w:eastAsia="zh-CN"/>
              </w:rPr>
            </w:pPr>
            <w:r>
              <w:rPr>
                <w:rFonts w:hint="eastAsia"/>
                <w:kern w:val="0"/>
                <w:sz w:val="24"/>
                <w:lang w:val="en-US" w:eastAsia="zh-CN"/>
              </w:rPr>
              <w:t>其他符合性分析</w:t>
            </w:r>
          </w:p>
        </w:tc>
        <w:tc>
          <w:tcPr>
            <w:tcW w:w="4755" w:type="pct"/>
            <w:gridSpan w:val="4"/>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b/>
                <w:bCs/>
                <w:kern w:val="0"/>
                <w:sz w:val="24"/>
              </w:rPr>
            </w:pPr>
            <w:r>
              <w:rPr>
                <w:rFonts w:hint="eastAsia"/>
                <w:b/>
                <w:bCs/>
                <w:kern w:val="0"/>
                <w:sz w:val="24"/>
              </w:rPr>
              <w:t>1、产业政策相符性</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kern w:val="0"/>
                <w:sz w:val="24"/>
              </w:rPr>
            </w:pPr>
            <w:r>
              <w:rPr>
                <w:rFonts w:hint="eastAsia"/>
                <w:kern w:val="0"/>
                <w:sz w:val="24"/>
              </w:rPr>
              <w:t>本项目生产涉及国民经济行业分类中的C2035木</w:t>
            </w:r>
            <w:r>
              <w:rPr>
                <w:rFonts w:hint="eastAsia"/>
                <w:kern w:val="0"/>
                <w:sz w:val="24"/>
                <w:lang w:val="en-US" w:eastAsia="zh-CN"/>
              </w:rPr>
              <w:t>制</w:t>
            </w:r>
            <w:r>
              <w:rPr>
                <w:rFonts w:hint="eastAsia"/>
                <w:kern w:val="0"/>
                <w:sz w:val="24"/>
              </w:rPr>
              <w:t>容器制造、C2926塑料包装箱及容器制造、C223</w:t>
            </w:r>
            <w:r>
              <w:rPr>
                <w:rFonts w:hint="eastAsia"/>
                <w:kern w:val="0"/>
                <w:sz w:val="24"/>
                <w:lang w:val="en-US" w:eastAsia="zh-CN"/>
              </w:rPr>
              <w:t>9其他纸制品</w:t>
            </w:r>
            <w:r>
              <w:rPr>
                <w:rFonts w:hint="eastAsia"/>
                <w:kern w:val="0"/>
                <w:sz w:val="24"/>
              </w:rPr>
              <w:t>制造、C2924泡沫塑料制造，对照《产业结构调整指导目录（2024年本）》</w:t>
            </w:r>
            <w:r>
              <w:rPr>
                <w:rFonts w:hint="eastAsia"/>
                <w:kern w:val="0"/>
                <w:sz w:val="24"/>
                <w:lang w:eastAsia="zh-CN"/>
              </w:rPr>
              <w:t>、</w:t>
            </w:r>
            <w:r>
              <w:rPr>
                <w:rFonts w:hint="eastAsia"/>
                <w:kern w:val="0"/>
                <w:sz w:val="24"/>
              </w:rPr>
              <w:t>《南通市工业结构调整指导目录》，本项目不属于限制及淘汰类。</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kern w:val="0"/>
                <w:sz w:val="24"/>
              </w:rPr>
            </w:pPr>
            <w:r>
              <w:rPr>
                <w:rFonts w:hint="eastAsia"/>
                <w:kern w:val="0"/>
                <w:sz w:val="24"/>
              </w:rPr>
              <w:t>因此，本项目符合国家和地方相关产业政策要求。</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rFonts w:hint="eastAsia"/>
                <w:b/>
                <w:bCs/>
                <w:kern w:val="0"/>
                <w:sz w:val="24"/>
              </w:rPr>
            </w:pPr>
            <w:r>
              <w:rPr>
                <w:rFonts w:hint="eastAsia"/>
                <w:b/>
                <w:bCs/>
                <w:kern w:val="0"/>
                <w:sz w:val="24"/>
              </w:rPr>
              <w:t>2、“三线一单”相符性分析</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rFonts w:hint="eastAsia"/>
                <w:b/>
                <w:bCs/>
                <w:kern w:val="0"/>
                <w:sz w:val="24"/>
              </w:rPr>
            </w:pPr>
            <w:r>
              <w:rPr>
                <w:rFonts w:hint="eastAsia"/>
                <w:b/>
                <w:bCs/>
                <w:kern w:val="0"/>
                <w:sz w:val="24"/>
              </w:rPr>
              <w:t>（1）生态保护红线</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kern w:val="0"/>
                <w:sz w:val="24"/>
              </w:rPr>
            </w:pPr>
            <w:r>
              <w:rPr>
                <w:rFonts w:hint="eastAsia"/>
                <w:kern w:val="0"/>
                <w:sz w:val="24"/>
              </w:rPr>
              <w:t>a.根据《省政府关于印发江苏省国家级生态保护红线规划的通知》（苏政发〔2018〕74号），距本项目最近的江苏省国家级生态红线保护区域为</w:t>
            </w:r>
            <w:r>
              <w:rPr>
                <w:rFonts w:hint="eastAsia"/>
                <w:kern w:val="0"/>
                <w:sz w:val="24"/>
                <w:lang w:val="en-US" w:eastAsia="zh-CN"/>
              </w:rPr>
              <w:t>新通扬运河（海安）饮用水水源保护区</w:t>
            </w:r>
            <w:r>
              <w:rPr>
                <w:rFonts w:hint="eastAsia"/>
                <w:kern w:val="0"/>
                <w:sz w:val="24"/>
              </w:rPr>
              <w:t>，本项目距离国家级生态保护红线</w:t>
            </w:r>
            <w:r>
              <w:rPr>
                <w:rFonts w:hint="eastAsia"/>
                <w:kern w:val="0"/>
                <w:sz w:val="24"/>
                <w:lang w:val="en-US" w:eastAsia="zh-CN"/>
              </w:rPr>
              <w:t>新通扬运河（海安）饮用水水源保护区</w:t>
            </w:r>
            <w:r>
              <w:rPr>
                <w:rFonts w:hint="eastAsia"/>
                <w:kern w:val="0"/>
                <w:sz w:val="24"/>
              </w:rPr>
              <w:t>约</w:t>
            </w:r>
            <w:r>
              <w:rPr>
                <w:rFonts w:hint="eastAsia"/>
                <w:kern w:val="0"/>
                <w:sz w:val="24"/>
                <w:u w:val="none"/>
                <w:lang w:val="en-US" w:eastAsia="zh-CN"/>
              </w:rPr>
              <w:t>10.3</w:t>
            </w:r>
            <w:r>
              <w:rPr>
                <w:rFonts w:hint="eastAsia"/>
                <w:kern w:val="0"/>
                <w:sz w:val="24"/>
                <w:u w:val="none"/>
              </w:rPr>
              <w:t>km</w:t>
            </w:r>
            <w:r>
              <w:rPr>
                <w:rFonts w:hint="eastAsia"/>
                <w:kern w:val="0"/>
                <w:sz w:val="24"/>
              </w:rPr>
              <w:t>，不在红线管控区范围内，符合《江苏省国家级生态保护红线规划》要求。</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default" w:eastAsia="宋体"/>
                <w:kern w:val="0"/>
                <w:sz w:val="24"/>
                <w:lang w:val="en-US" w:eastAsia="zh-CN"/>
              </w:rPr>
            </w:pPr>
            <w:r>
              <w:rPr>
                <w:rFonts w:hint="eastAsia"/>
                <w:kern w:val="0"/>
                <w:sz w:val="24"/>
              </w:rPr>
              <w:t>b.根据《省政府关于印发江苏省生态空间管控区域规划的通知》（苏政发〔2020〕1号）、《海安市生态空间管控区域优化调整方案》及《江苏省自然资源厅关于海安市生态空间管控区域调整方案的复函》（苏自然资函〔2021〕1085号），距离本项目最近生态空间保护区域为</w:t>
            </w:r>
            <w:r>
              <w:rPr>
                <w:rFonts w:hint="eastAsia"/>
                <w:kern w:val="0"/>
                <w:sz w:val="24"/>
                <w:lang w:val="en-US" w:eastAsia="zh-CN"/>
              </w:rPr>
              <w:t>大公镇蚕桑种质资源保护区</w:t>
            </w:r>
            <w:r>
              <w:rPr>
                <w:rFonts w:hint="eastAsia"/>
                <w:kern w:val="0"/>
                <w:sz w:val="24"/>
              </w:rPr>
              <w:t>。本项目距</w:t>
            </w:r>
            <w:r>
              <w:rPr>
                <w:rFonts w:hint="eastAsia"/>
                <w:kern w:val="0"/>
                <w:sz w:val="24"/>
                <w:lang w:val="en-US" w:eastAsia="zh-CN"/>
              </w:rPr>
              <w:t>大公镇蚕桑种质资源保护区</w:t>
            </w:r>
            <w:r>
              <w:rPr>
                <w:rFonts w:hint="eastAsia"/>
                <w:kern w:val="0"/>
                <w:sz w:val="24"/>
              </w:rPr>
              <w:t>为</w:t>
            </w:r>
            <w:r>
              <w:rPr>
                <w:rFonts w:hint="eastAsia"/>
                <w:kern w:val="0"/>
                <w:sz w:val="24"/>
                <w:lang w:val="en-US" w:eastAsia="zh-CN"/>
              </w:rPr>
              <w:t>2.7</w:t>
            </w:r>
            <w:r>
              <w:rPr>
                <w:rFonts w:hint="eastAsia"/>
                <w:kern w:val="0"/>
                <w:sz w:val="24"/>
              </w:rPr>
              <w:t>km，不在管控区范围内，本项目不占用新通扬-通榆河运河清水通道维护区。因此，本项目评价范围不涉及生态空间管控区域，不会导致生态空间管控区域生态服务功能下降。本项目符合海安市生态空间管控区域规划</w:t>
            </w:r>
            <w:r>
              <w:rPr>
                <w:rFonts w:hint="eastAsia"/>
                <w:kern w:val="0"/>
                <w:sz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rFonts w:hint="eastAsia"/>
                <w:b/>
                <w:bCs/>
                <w:kern w:val="0"/>
                <w:sz w:val="24"/>
              </w:rPr>
            </w:pPr>
            <w:r>
              <w:rPr>
                <w:rFonts w:hint="eastAsia"/>
                <w:b/>
                <w:bCs/>
                <w:kern w:val="0"/>
                <w:sz w:val="24"/>
              </w:rPr>
              <w:t>（2）环境质量底线</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both"/>
              <w:textAlignment w:val="auto"/>
              <w:rPr>
                <w:rFonts w:hint="eastAsia"/>
                <w:kern w:val="0"/>
                <w:sz w:val="24"/>
              </w:rPr>
            </w:pPr>
            <w:r>
              <w:rPr>
                <w:rFonts w:hint="eastAsia"/>
                <w:kern w:val="0"/>
                <w:sz w:val="24"/>
              </w:rPr>
              <w:t>环境质量底线是国家和地方设置的大气、水和土壤环境质量目标，也是改善环境质量的基准线。根据《南通市生态环境状况公报》（202</w:t>
            </w:r>
            <w:r>
              <w:rPr>
                <w:rFonts w:hint="eastAsia"/>
                <w:kern w:val="0"/>
                <w:sz w:val="24"/>
                <w:lang w:val="en-US" w:eastAsia="zh-CN"/>
              </w:rPr>
              <w:t>2</w:t>
            </w:r>
            <w:r>
              <w:rPr>
                <w:rFonts w:hint="eastAsia"/>
                <w:kern w:val="0"/>
                <w:sz w:val="24"/>
              </w:rPr>
              <w:t>），202</w:t>
            </w:r>
            <w:r>
              <w:rPr>
                <w:rFonts w:hint="eastAsia"/>
                <w:kern w:val="0"/>
                <w:sz w:val="24"/>
                <w:lang w:val="en-US" w:eastAsia="zh-CN"/>
              </w:rPr>
              <w:t>2</w:t>
            </w:r>
            <w:r>
              <w:rPr>
                <w:rFonts w:hint="eastAsia"/>
                <w:kern w:val="0"/>
                <w:sz w:val="24"/>
              </w:rPr>
              <w:t>年海安主要空气污染物指标监测结果中SO</w:t>
            </w:r>
            <w:r>
              <w:rPr>
                <w:rFonts w:hint="eastAsia"/>
                <w:kern w:val="0"/>
                <w:sz w:val="24"/>
                <w:vertAlign w:val="subscript"/>
              </w:rPr>
              <w:t>2</w:t>
            </w:r>
            <w:r>
              <w:rPr>
                <w:rFonts w:hint="eastAsia"/>
                <w:kern w:val="0"/>
                <w:sz w:val="24"/>
              </w:rPr>
              <w:t>、NO</w:t>
            </w:r>
            <w:r>
              <w:rPr>
                <w:rFonts w:hint="eastAsia"/>
                <w:kern w:val="0"/>
                <w:sz w:val="24"/>
                <w:vertAlign w:val="subscript"/>
              </w:rPr>
              <w:t>2</w:t>
            </w:r>
            <w:r>
              <w:rPr>
                <w:rFonts w:hint="eastAsia"/>
                <w:kern w:val="0"/>
                <w:sz w:val="24"/>
              </w:rPr>
              <w:t>、PM</w:t>
            </w:r>
            <w:r>
              <w:rPr>
                <w:rFonts w:hint="eastAsia"/>
                <w:kern w:val="0"/>
                <w:sz w:val="24"/>
                <w:vertAlign w:val="subscript"/>
              </w:rPr>
              <w:t>10</w:t>
            </w:r>
            <w:r>
              <w:rPr>
                <w:rFonts w:hint="eastAsia"/>
                <w:kern w:val="0"/>
                <w:sz w:val="24"/>
              </w:rPr>
              <w:t>、PM</w:t>
            </w:r>
            <w:r>
              <w:rPr>
                <w:rFonts w:hint="eastAsia"/>
                <w:kern w:val="0"/>
                <w:sz w:val="24"/>
                <w:vertAlign w:val="subscript"/>
              </w:rPr>
              <w:t>2.5</w:t>
            </w:r>
            <w:r>
              <w:rPr>
                <w:rFonts w:hint="eastAsia"/>
                <w:kern w:val="0"/>
                <w:sz w:val="24"/>
              </w:rPr>
              <w:t>、CO、符合《环境空气质量标准》（GB3095-2012）中二级标准，</w:t>
            </w:r>
            <w:r>
              <w:rPr>
                <w:rFonts w:hint="eastAsia"/>
                <w:kern w:val="0"/>
                <w:sz w:val="24"/>
                <w:lang w:val="en-US" w:eastAsia="zh-CN"/>
              </w:rPr>
              <w:t>O</w:t>
            </w:r>
            <w:r>
              <w:rPr>
                <w:rFonts w:hint="eastAsia"/>
                <w:kern w:val="0"/>
                <w:sz w:val="24"/>
                <w:vertAlign w:val="subscript"/>
                <w:lang w:val="en-US" w:eastAsia="zh-CN"/>
              </w:rPr>
              <w:t xml:space="preserve">3 </w:t>
            </w:r>
            <w:r>
              <w:rPr>
                <w:rFonts w:hint="eastAsia"/>
                <w:kern w:val="0"/>
                <w:sz w:val="24"/>
                <w:vertAlign w:val="baseline"/>
                <w:lang w:val="en-US" w:eastAsia="zh-CN"/>
              </w:rPr>
              <w:t>超过</w:t>
            </w:r>
            <w:r>
              <w:rPr>
                <w:rFonts w:hint="eastAsia"/>
                <w:kern w:val="0"/>
                <w:sz w:val="24"/>
              </w:rPr>
              <w:t>《环境空气质量标准》（GB3095-2012）中二级标准</w:t>
            </w:r>
            <w:r>
              <w:rPr>
                <w:rFonts w:hint="eastAsia"/>
                <w:kern w:val="0"/>
                <w:sz w:val="24"/>
                <w:lang w:eastAsia="zh-CN"/>
              </w:rPr>
              <w:t>，</w:t>
            </w:r>
            <w:r>
              <w:rPr>
                <w:rFonts w:hint="eastAsia"/>
                <w:kern w:val="0"/>
                <w:sz w:val="24"/>
              </w:rPr>
              <w:t>因此该区域属于大气环境质量</w:t>
            </w:r>
            <w:r>
              <w:rPr>
                <w:rFonts w:hint="eastAsia"/>
                <w:kern w:val="0"/>
                <w:sz w:val="24"/>
                <w:lang w:val="en-US" w:eastAsia="zh-CN"/>
              </w:rPr>
              <w:t>不</w:t>
            </w:r>
            <w:r>
              <w:rPr>
                <w:rFonts w:hint="eastAsia"/>
                <w:kern w:val="0"/>
                <w:sz w:val="24"/>
              </w:rPr>
              <w:t>达标区。</w:t>
            </w:r>
            <w:r>
              <w:rPr>
                <w:rFonts w:hint="eastAsia"/>
                <w:color w:val="auto"/>
                <w:sz w:val="24"/>
                <w:szCs w:val="24"/>
              </w:rPr>
              <w:t>为推动VOCs和NOx协同减排，有效遏制臭氧污染，南通市已制定《2022-2023年臭氧污染综合治理实施方案》（通污防攻坚指办〔2022〕98号），加快推进清洁原料源头替代，大力实施重点工艺环节综合治理，深入推动重点行业超低排放改造及深度治理，2023年6月底前基本完成2000个VOCs和NOx治理重点工程项目，进一步削减VOCs和NOx排放量，全市环境空气质量保持同比改善。</w:t>
            </w:r>
            <w:r>
              <w:rPr>
                <w:rFonts w:hint="eastAsia"/>
                <w:kern w:val="0"/>
                <w:sz w:val="24"/>
              </w:rPr>
              <w:t>地表水洋蛮河监测断面pH、COD、氨氮、总磷、总氮、SS等各项监测指标均可满足《地表水环境质量标准》（GB3838-2002）中的</w:t>
            </w:r>
            <w:r>
              <w:rPr>
                <w:rFonts w:ascii="Times New Roman" w:hAnsi="Times New Roman"/>
                <w:color w:val="auto"/>
                <w:sz w:val="24"/>
                <w:szCs w:val="24"/>
              </w:rPr>
              <w:t>Ⅲ</w:t>
            </w:r>
            <w:r>
              <w:rPr>
                <w:rFonts w:hint="eastAsia"/>
                <w:kern w:val="0"/>
                <w:sz w:val="24"/>
              </w:rPr>
              <w:t>类水质标准要求。本项目运营期产生的各项污染物通过相应的治理措施处理后均可达标排放，环境风险可控制在安全范围内。</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kern w:val="0"/>
                <w:sz w:val="24"/>
              </w:rPr>
            </w:pPr>
            <w:r>
              <w:rPr>
                <w:rFonts w:hint="eastAsia"/>
                <w:kern w:val="0"/>
                <w:sz w:val="24"/>
              </w:rPr>
              <w:t>因此，本项目的建设对区域环境质量影响较小，符合环境质量底线的相关规定要求。</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rFonts w:hint="eastAsia"/>
                <w:b/>
                <w:bCs/>
                <w:kern w:val="0"/>
                <w:sz w:val="24"/>
              </w:rPr>
            </w:pPr>
            <w:r>
              <w:rPr>
                <w:rFonts w:hint="eastAsia"/>
                <w:b/>
                <w:bCs/>
                <w:kern w:val="0"/>
                <w:sz w:val="24"/>
              </w:rPr>
              <w:t>（3）资源利用上线</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kern w:val="0"/>
                <w:sz w:val="24"/>
              </w:rPr>
            </w:pPr>
            <w:r>
              <w:rPr>
                <w:rFonts w:hint="eastAsia"/>
                <w:kern w:val="0"/>
                <w:sz w:val="24"/>
              </w:rPr>
              <w:t>本项目位于海安市大公镇科技产业园开发大道606号23幢，用水来源为市政自来水，新鲜用水量为</w:t>
            </w:r>
            <w:r>
              <w:rPr>
                <w:rFonts w:hint="eastAsia"/>
                <w:sz w:val="24"/>
                <w:szCs w:val="24"/>
                <w:vertAlign w:val="baseline"/>
                <w:lang w:val="en-US" w:eastAsia="zh-CN"/>
              </w:rPr>
              <w:t>317.5t/a，不</w:t>
            </w:r>
            <w:r>
              <w:rPr>
                <w:rFonts w:hint="eastAsia"/>
                <w:kern w:val="0"/>
                <w:sz w:val="24"/>
              </w:rPr>
              <w:t>会对当地自来水供应状况产生明显影响。本项目用电来源于区域电网，用电量约为</w:t>
            </w:r>
            <w:r>
              <w:rPr>
                <w:rFonts w:hint="eastAsia"/>
                <w:kern w:val="0"/>
                <w:sz w:val="24"/>
                <w:lang w:val="en-US" w:eastAsia="zh-CN"/>
              </w:rPr>
              <w:t>15</w:t>
            </w:r>
            <w:r>
              <w:rPr>
                <w:rFonts w:hint="eastAsia"/>
                <w:color w:val="auto"/>
                <w:kern w:val="0"/>
                <w:sz w:val="24"/>
              </w:rPr>
              <w:t>万千瓦时/年</w:t>
            </w:r>
            <w:r>
              <w:rPr>
                <w:rFonts w:hint="eastAsia"/>
                <w:kern w:val="0"/>
                <w:sz w:val="24"/>
              </w:rPr>
              <w:t>，其用电量不会超出当地用电负荷。因此，本项目的建设未突破资源利用上线。</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rFonts w:hint="eastAsia"/>
                <w:b/>
                <w:bCs/>
                <w:kern w:val="0"/>
                <w:sz w:val="24"/>
              </w:rPr>
            </w:pPr>
            <w:r>
              <w:rPr>
                <w:rFonts w:hint="eastAsia"/>
                <w:b/>
                <w:bCs/>
                <w:kern w:val="0"/>
                <w:sz w:val="24"/>
              </w:rPr>
              <w:t>（4）环境准入负面清单</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kern w:val="0"/>
                <w:sz w:val="24"/>
              </w:rPr>
            </w:pPr>
            <w:r>
              <w:rPr>
                <w:rFonts w:hint="eastAsia"/>
                <w:kern w:val="0"/>
                <w:sz w:val="24"/>
              </w:rPr>
              <w:t>本项目为智能包装制造项目，行业类别为C2035木</w:t>
            </w:r>
            <w:r>
              <w:rPr>
                <w:rFonts w:hint="eastAsia"/>
                <w:kern w:val="0"/>
                <w:sz w:val="24"/>
                <w:lang w:val="en-US" w:eastAsia="zh-CN"/>
              </w:rPr>
              <w:t>制</w:t>
            </w:r>
            <w:r>
              <w:rPr>
                <w:rFonts w:hint="eastAsia"/>
                <w:kern w:val="0"/>
                <w:sz w:val="24"/>
              </w:rPr>
              <w:t>容器制造、C2926塑料包装箱及容器制造、C223</w:t>
            </w:r>
            <w:r>
              <w:rPr>
                <w:rFonts w:hint="eastAsia"/>
                <w:kern w:val="0"/>
                <w:sz w:val="24"/>
                <w:lang w:val="en-US" w:eastAsia="zh-CN"/>
              </w:rPr>
              <w:t>9其他纸制品</w:t>
            </w:r>
            <w:r>
              <w:rPr>
                <w:rFonts w:hint="eastAsia"/>
                <w:kern w:val="0"/>
                <w:sz w:val="24"/>
              </w:rPr>
              <w:t>制造、C2924泡沫塑料制造，对照《关于印发&lt;长江经济带发展负面清单指南（试行，2022年版）&gt;的通知》（长江办〔2022〕7号）、《关于印发&lt;长江经济带发展负面清单指南（试行，2022年版）江苏省实施细则&gt;的通知》（苏长江办〔2022〕55号），本项目不属于条款中所列禁止建设项目；对照《市场准入负面清单（2022年版）》（</w:t>
            </w:r>
            <w:r>
              <w:rPr>
                <w:rFonts w:hint="eastAsia"/>
                <w:kern w:val="0"/>
                <w:sz w:val="24"/>
                <w:lang w:val="en-US" w:eastAsia="zh-CN"/>
              </w:rPr>
              <w:t>发改体改</w:t>
            </w:r>
            <w:r>
              <w:rPr>
                <w:rFonts w:hint="eastAsia" w:ascii="宋体" w:hAnsi="宋体" w:eastAsia="宋体" w:cs="宋体"/>
                <w:kern w:val="0"/>
                <w:sz w:val="24"/>
                <w:szCs w:val="24"/>
              </w:rPr>
              <w:t>规</w:t>
            </w:r>
            <w:r>
              <w:rPr>
                <w:rFonts w:hint="eastAsia"/>
                <w:kern w:val="0"/>
                <w:sz w:val="24"/>
              </w:rPr>
              <w:t>〔2022〕397号），项目不属于负面清单中项目；对照《环境保护综合名录（2021版）》，本项目产品不属于“高环境风险、高污染”产品。</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rFonts w:hint="eastAsia"/>
                <w:b/>
                <w:bCs/>
                <w:kern w:val="0"/>
                <w:sz w:val="24"/>
              </w:rPr>
            </w:pPr>
            <w:r>
              <w:rPr>
                <w:rFonts w:hint="eastAsia"/>
                <w:b/>
                <w:bCs/>
                <w:kern w:val="0"/>
                <w:sz w:val="24"/>
              </w:rPr>
              <w:t>（5）与《省政府关于印发江苏省“三线一单”生态环境分区管控方案的通知》、《南通市“三线一单”生态环境分区管控实施方案》及《海安市“三线一单”生态环境分区管控实施方案》相符性分析</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kern w:val="0"/>
                <w:sz w:val="24"/>
              </w:rPr>
            </w:pPr>
            <w:r>
              <w:rPr>
                <w:rFonts w:hint="eastAsia"/>
                <w:kern w:val="0"/>
                <w:sz w:val="24"/>
              </w:rPr>
              <w:t>根据《省政府关于印发江苏省“三线一单”生态环境分区管控方案的通知》（苏政发〔2020〕49 号）、《南通市“三线一单”生态环境分区管控实施方案》（通政办规〔2021〕4号）及《海安市“三线一单”生态环境分区管控实施方案》（海政办发〔2021〕170号），本项目位于海安市大公镇科技产业园开发大道606号23幢，属于</w:t>
            </w:r>
            <w:r>
              <w:rPr>
                <w:rFonts w:hint="eastAsia"/>
                <w:color w:val="auto"/>
                <w:kern w:val="0"/>
                <w:sz w:val="24"/>
              </w:rPr>
              <w:t>重点管控单元</w:t>
            </w:r>
            <w:r>
              <w:rPr>
                <w:rFonts w:hint="eastAsia"/>
                <w:kern w:val="0"/>
                <w:sz w:val="24"/>
              </w:rPr>
              <w:t>，重点管控单元指涉及水、大气、土壤、自然资源等资源环境要素重点管控的区域，主要包括人口密集的中心城区和产业园区。南通市全市共划分重点管控单元247个，占全市陆域国土面积的24.41%。重点管控单元主要推进产业布局优化、转型升级，不断提高资源利用效率，加强污染物排放控制和环境风险防控，解决突出生态环境问题。</w:t>
            </w:r>
          </w:p>
          <w:p>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b/>
                <w:bCs/>
                <w:kern w:val="0"/>
                <w:sz w:val="24"/>
              </w:rPr>
            </w:pPr>
            <w:r>
              <w:rPr>
                <w:rFonts w:hint="eastAsia"/>
                <w:b/>
                <w:bCs/>
                <w:kern w:val="0"/>
                <w:sz w:val="24"/>
              </w:rPr>
              <w:t>表1-</w:t>
            </w:r>
            <w:r>
              <w:rPr>
                <w:rFonts w:hint="eastAsia"/>
                <w:b/>
                <w:bCs/>
                <w:kern w:val="0"/>
                <w:sz w:val="24"/>
                <w:lang w:val="en-US" w:eastAsia="zh-CN"/>
              </w:rPr>
              <w:t>2</w:t>
            </w:r>
            <w:r>
              <w:rPr>
                <w:rFonts w:hint="eastAsia"/>
                <w:b/>
                <w:bCs/>
                <w:kern w:val="0"/>
                <w:sz w:val="24"/>
              </w:rPr>
              <w:t xml:space="preserve"> 与《南通市“三线一单”生态环境分区管控实施方案》相符性分析</w:t>
            </w:r>
          </w:p>
          <w:tbl>
            <w:tblPr>
              <w:tblStyle w:val="19"/>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74"/>
              <w:gridCol w:w="6649"/>
              <w:gridCol w:w="10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12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b/>
                      <w:bCs/>
                      <w:kern w:val="0"/>
                      <w:szCs w:val="21"/>
                    </w:rPr>
                  </w:pPr>
                  <w:r>
                    <w:rPr>
                      <w:rFonts w:hint="eastAsia"/>
                      <w:b/>
                      <w:bCs/>
                      <w:kern w:val="0"/>
                      <w:szCs w:val="21"/>
                    </w:rPr>
                    <w:t>文件要求</w:t>
                  </w:r>
                </w:p>
              </w:tc>
              <w:tc>
                <w:tcPr>
                  <w:tcW w:w="1097"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b/>
                      <w:bCs/>
                      <w:kern w:val="0"/>
                      <w:szCs w:val="21"/>
                    </w:rPr>
                  </w:pPr>
                  <w:r>
                    <w:rPr>
                      <w:rFonts w:hint="eastAsia"/>
                      <w:b/>
                      <w:bCs/>
                      <w:kern w:val="0"/>
                      <w:szCs w:val="21"/>
                    </w:rPr>
                    <w:t>相符性分析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4"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空间布局约束</w:t>
                  </w:r>
                </w:p>
              </w:tc>
              <w:tc>
                <w:tcPr>
                  <w:tcW w:w="6649"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1、严格执行《南通市长江经济带生态环境保护实施规划》、《南通市“两减六治三提升”专项行动实施方案》、《南通市打赢蓝天保卫战三年行动计划实施方案（2018~2020年）》、《南通市土壤污染防治工作方案》、《南通市水污染防治工作方案》等文件要求。</w:t>
                  </w:r>
                </w:p>
              </w:tc>
              <w:tc>
                <w:tcPr>
                  <w:tcW w:w="1097"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项目符合相关文件要求。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p>
              </w:tc>
              <w:tc>
                <w:tcPr>
                  <w:tcW w:w="6649"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2、严格执行《（长江经济带发展负面清单指南）江苏省实施细则（试行）》；禁止引进列入《南通市工业结构调整指导目录》、淘汰类的产业；列入《南通市工业产业技术改造负面清单》严格禁止的技术改造工艺装备及产品。</w:t>
                  </w:r>
                </w:p>
              </w:tc>
              <w:tc>
                <w:tcPr>
                  <w:tcW w:w="1097"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本项目为智能包装制造项目，不属于上述禁止产业。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p>
              </w:tc>
              <w:tc>
                <w:tcPr>
                  <w:tcW w:w="6649"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3、根据《南通市长江经济带生态环境保护实施规划》（通政办发〔2018〕42号），沿江地区不再新布局石化项目。禁止在长江干流自然保护区、风景名胜区等重点区域新建工业类和污染类项目，现有高风险企业实施限期治理。自然保护区核心区及缓冲区内禁止新建码头工程，逐步拆除已有的各类生产设施以及危化品、石油类泊位。禁止向内河和江海直达船舶销售渣油、重油以及不符合标准的普通柴油，禁止海船使用不符合要求的燃油。</w:t>
                  </w:r>
                </w:p>
              </w:tc>
              <w:tc>
                <w:tcPr>
                  <w:tcW w:w="1097"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项目位于海安市大公镇科技产业园开发大道606号23幢，不属于上述禁止产业。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p>
              </w:tc>
              <w:tc>
                <w:tcPr>
                  <w:tcW w:w="6649"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4、根据《省政府关于加强全省化工园区化工集中区规范化管理的通知》（苏政发〔2020〕94号）、《市政府关于印发南通市化工产业环保准入指导意见的通知》（通政发〔2014〕10号），化工园区、化工集中区处于长江干流和主要支流岸线1公里范围（以下简称沿江1公里范围）内的区域不得新建、扩建化工企业和项目（安全、环保、节能、信息化智能化、提升产品品质技术改造项目除外）。禁止建设属于国家、省和我市禁止类、淘汰类生产工艺、产品的项目。禁止建设危及生态环境及人类健康安全，生产、使用及排放致癌、致畸、致突变物质和恶臭气体的化工项目。从严控制农药、传统医药、染料化工项目审批，原则上不再新上医药中间体、农药中间体、染料中间体项目（具有自主知识产权的关键中间体及高产出、低污染项目除外，分别由科技部门和环保部门认定）。沿江化工园区不再新增农药、染料化工企业。</w:t>
                  </w:r>
                </w:p>
              </w:tc>
              <w:tc>
                <w:tcPr>
                  <w:tcW w:w="1097"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项目不属于化工项目，不属于国家、省和我市禁止建设类项目。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4"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污染物排放管控</w:t>
                  </w:r>
                </w:p>
              </w:tc>
              <w:tc>
                <w:tcPr>
                  <w:tcW w:w="6649"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1、严格落实污染物排放总量控制制度，把主要污染物排放总量指标作为建设项目环境影响评价审批的前置条件。排放主要污染物的建设项目，在环境影响评价文件（以下简称环评文件）审批前，须取得主要污染物排放总量指标。</w:t>
                  </w:r>
                </w:p>
              </w:tc>
              <w:tc>
                <w:tcPr>
                  <w:tcW w:w="1097"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项目所在区域属于环境</w:t>
                  </w:r>
                  <w:r>
                    <w:rPr>
                      <w:rFonts w:hint="eastAsia"/>
                      <w:kern w:val="0"/>
                      <w:szCs w:val="21"/>
                      <w:lang w:val="en-US" w:eastAsia="zh-CN"/>
                    </w:rPr>
                    <w:t>空气</w:t>
                  </w:r>
                  <w:r>
                    <w:rPr>
                      <w:rFonts w:hint="eastAsia"/>
                      <w:kern w:val="0"/>
                      <w:szCs w:val="21"/>
                    </w:rPr>
                    <w:t>质量</w:t>
                  </w:r>
                  <w:r>
                    <w:rPr>
                      <w:rFonts w:hint="eastAsia"/>
                      <w:kern w:val="0"/>
                      <w:szCs w:val="21"/>
                      <w:lang w:val="en-US" w:eastAsia="zh-CN"/>
                    </w:rPr>
                    <w:t>不</w:t>
                  </w:r>
                  <w:r>
                    <w:rPr>
                      <w:rFonts w:hint="eastAsia"/>
                      <w:kern w:val="0"/>
                      <w:szCs w:val="21"/>
                    </w:rPr>
                    <w:t>达标区，新增污染物总量在</w:t>
                  </w:r>
                  <w:r>
                    <w:rPr>
                      <w:rFonts w:hint="eastAsia"/>
                      <w:kern w:val="0"/>
                      <w:szCs w:val="21"/>
                      <w:lang w:val="en-US" w:eastAsia="zh-CN"/>
                    </w:rPr>
                    <w:t>大公镇</w:t>
                  </w:r>
                  <w:r>
                    <w:rPr>
                      <w:rFonts w:hint="eastAsia"/>
                      <w:kern w:val="0"/>
                      <w:szCs w:val="21"/>
                    </w:rPr>
                    <w:t>区域内平衡，“可替代总量指标”不低于项目所需替代的主要污染物排放总量指标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p>
              </w:tc>
              <w:tc>
                <w:tcPr>
                  <w:tcW w:w="6649"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2、用于建设项目的“可替代总量指标”不得低于建设项目所需替代的主要污染物排放总量指标。上一年度环境空气质量年平均浓度不达标的城市、水环境质量未达到要求的市县，相关污染物应按照建设项目所需替代的主要污染物排放总量指标的2倍进行削减替代（燃煤发电机组大气污染物排放浓度基本达到燃气轮机组排放限值的除外）；细颗粒物（PM2.5）年平均浓度不达标的城市，二氧化硫、氮氧化物、烟粉尘、挥发性有机物四项污染物均需进行2倍削减替代（燃煤发电机组大气污染物排放浓度基本达到燃气轮机组排放限值的除外）。</w:t>
                  </w:r>
                </w:p>
              </w:tc>
              <w:tc>
                <w:tcPr>
                  <w:tcW w:w="109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p>
              </w:tc>
              <w:tc>
                <w:tcPr>
                  <w:tcW w:w="6649"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3、落实《省政府办公厅关于印发江苏省排污权有偿使用和交易管理暂行办法的通知》（苏政办发〔2017〕115号）及配套的实施细则中，关于新、改项目获得排污权指标的相关要求。</w:t>
                  </w:r>
                </w:p>
              </w:tc>
              <w:tc>
                <w:tcPr>
                  <w:tcW w:w="109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4"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环境风险防控</w:t>
                  </w:r>
                </w:p>
              </w:tc>
              <w:tc>
                <w:tcPr>
                  <w:tcW w:w="6649"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kern w:val="0"/>
                      <w:szCs w:val="21"/>
                    </w:rPr>
                  </w:pPr>
                  <w:r>
                    <w:rPr>
                      <w:rFonts w:hint="eastAsia"/>
                      <w:kern w:val="0"/>
                      <w:szCs w:val="21"/>
                    </w:rPr>
                    <w:t>1、落实《南通市突发环境事件应急预案（2020年修订版）》（通政办发〔2020〕46号）。</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kern w:val="0"/>
                      <w:szCs w:val="21"/>
                    </w:rPr>
                  </w:pPr>
                  <w:r>
                    <w:rPr>
                      <w:rFonts w:hint="eastAsia"/>
                      <w:kern w:val="0"/>
                      <w:szCs w:val="21"/>
                    </w:rPr>
                    <w:t>2、根据《南通市化工产业安全环保整治提升三年行动计划（2019~2021年）》（通政办发〔2019〕102号），保留提升的化工生产企业必须制订整治提升实施方案。严格危险废物处置管理。企业须在环评报告中准确全面评价固体废物的种类、数量、属性及产生、贮存、利用或处置情况。在安评报告中对固体废物贮存、利用处置环节进行安全性评价，并按标准规范设计、建造或改建贮存、利用处置危险废物的设施设备。生产企业应按照相关管理要求申报、处置废弃危险化学品。强化对危险废物的收集、贮存和处置的监督管理，实现危险废物监管无盲区、无死角。</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3、根据《关于加快全省化工钢铁煤电行业转型升级高质量发展的实施意见》（苏办发〔2018〕32号），钢铁行业企业总平面布置必须符合国家规范要求，有较大变更的必须进行安全风险分析和评估论证。企业必须按规定设计、设置和运行自动控制系统，按规定实施全流程自动控制改造，有条件的鼓励创建智能工厂（装置）。企业涉及重大危险源的设施设备与周边重要公共建筑安全距离须符合国家相关标准要求。坚决淘汰超期服役的高风险设备和设施。</w:t>
                  </w:r>
                </w:p>
              </w:tc>
              <w:tc>
                <w:tcPr>
                  <w:tcW w:w="1097"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项目不属于石化、化工等重点企业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4"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资源利用效率要求</w:t>
                  </w:r>
                </w:p>
              </w:tc>
              <w:tc>
                <w:tcPr>
                  <w:tcW w:w="6649"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kern w:val="0"/>
                      <w:szCs w:val="21"/>
                    </w:rPr>
                  </w:pPr>
                  <w:r>
                    <w:rPr>
                      <w:rFonts w:hint="eastAsia"/>
                      <w:kern w:val="0"/>
                      <w:szCs w:val="21"/>
                    </w:rPr>
                    <w:t>1、根据《南通市土地利用总体规划（2006-2020年）调整方案》及江苏省国土资源厅《关于南通市土地利用总体规划调整方案的复函》（苏国土资函〔2017〕694号），2020年南通市耕地保有量不得低于44.29万公顷，永久基本农田保护面积不低于38.55万公顷。</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kern w:val="0"/>
                      <w:szCs w:val="21"/>
                    </w:rPr>
                  </w:pPr>
                  <w:r>
                    <w:rPr>
                      <w:rFonts w:hint="eastAsia"/>
                      <w:kern w:val="0"/>
                      <w:szCs w:val="21"/>
                    </w:rPr>
                    <w:t>2、根据《中华人民共和国大气污染防治法》，禁燃区禁止新建、扩建燃用高污染燃料的项目和设施，已建成的应逐步或依法限期改用天然气、电或者其他清洁能源。</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kern w:val="0"/>
                      <w:szCs w:val="21"/>
                    </w:rPr>
                  </w:pPr>
                  <w:r>
                    <w:rPr>
                      <w:rFonts w:hint="eastAsia"/>
                      <w:kern w:val="0"/>
                      <w:szCs w:val="21"/>
                    </w:rPr>
                    <w:t>3、化工行业新建化工项目须达到国内清洁生产先进水平或行业先进水平，生产过程连续化、密闭化、自动化、智能化；钢铁行业沿海地区新建钢厂、其他地区钢厂改造升级项目必须符合《江苏省钢铁行业布局优化结构调整项目建设实施标准》要求。</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4、严格控制地下水开采。落实《江苏省地下水超采区划分方案》，在海门区的海门城区、三厂、常乐等乡镇共计136.9平方公里，实施地下水禁采；在如东县的掘港及马塘、岔河、洋口、丰利等乡镇，海门区除三阳、海永外的大部分地区，启东市的汇龙、吕四、北新等乡镇，通州区的东社镇、二甲镇，通州湾的三余镇等地2095.8平方公里，实施地下水限采。</w:t>
                  </w:r>
                </w:p>
              </w:tc>
              <w:tc>
                <w:tcPr>
                  <w:tcW w:w="1097"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kern w:val="0"/>
                      <w:szCs w:val="21"/>
                    </w:rPr>
                  </w:pPr>
                  <w:r>
                    <w:rPr>
                      <w:rFonts w:hint="eastAsia"/>
                      <w:kern w:val="0"/>
                      <w:szCs w:val="21"/>
                    </w:rPr>
                    <w:t>项目不属于高污染项目，不属于化工、钢铁行业，不开采地下水</w:t>
                  </w:r>
                </w:p>
              </w:tc>
            </w:tr>
          </w:tbl>
          <w:p>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b/>
                <w:bCs/>
                <w:kern w:val="0"/>
                <w:sz w:val="24"/>
              </w:rPr>
            </w:pPr>
            <w:r>
              <w:rPr>
                <w:rFonts w:hint="eastAsia"/>
                <w:b/>
                <w:bCs/>
                <w:kern w:val="0"/>
                <w:sz w:val="24"/>
              </w:rPr>
              <w:t>表1-</w:t>
            </w:r>
            <w:r>
              <w:rPr>
                <w:rFonts w:hint="eastAsia"/>
                <w:b/>
                <w:bCs/>
                <w:kern w:val="0"/>
                <w:sz w:val="24"/>
                <w:lang w:val="en-US" w:eastAsia="zh-CN"/>
              </w:rPr>
              <w:t>3</w:t>
            </w:r>
            <w:r>
              <w:rPr>
                <w:rFonts w:hint="eastAsia"/>
                <w:b/>
                <w:bCs/>
                <w:kern w:val="0"/>
                <w:sz w:val="24"/>
              </w:rPr>
              <w:t xml:space="preserve"> 与《海安市“三线一单”生态环境分区管控实施方案》</w:t>
            </w:r>
            <w:r>
              <w:rPr>
                <w:rFonts w:hint="eastAsia"/>
                <w:b/>
                <w:bCs/>
                <w:kern w:val="0"/>
                <w:sz w:val="24"/>
                <w:lang w:eastAsia="zh-CN"/>
              </w:rPr>
              <w:t>（</w:t>
            </w:r>
            <w:r>
              <w:rPr>
                <w:rFonts w:hint="eastAsia"/>
                <w:b/>
                <w:bCs/>
                <w:kern w:val="0"/>
                <w:sz w:val="24"/>
                <w:lang w:val="en-US" w:eastAsia="zh-CN"/>
              </w:rPr>
              <w:t>大公镇工业集中区</w:t>
            </w:r>
            <w:r>
              <w:rPr>
                <w:rFonts w:hint="eastAsia"/>
                <w:b/>
                <w:bCs/>
                <w:kern w:val="0"/>
                <w:sz w:val="24"/>
                <w:lang w:eastAsia="zh-CN"/>
              </w:rPr>
              <w:t>）</w:t>
            </w:r>
            <w:r>
              <w:rPr>
                <w:rFonts w:hint="eastAsia"/>
                <w:b/>
                <w:bCs/>
                <w:kern w:val="0"/>
                <w:sz w:val="24"/>
              </w:rPr>
              <w:t>相符性分析</w:t>
            </w:r>
          </w:p>
          <w:tbl>
            <w:tblPr>
              <w:tblStyle w:val="19"/>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85"/>
              <w:gridCol w:w="5483"/>
              <w:gridCol w:w="2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68" w:type="dxa"/>
                  <w:gridSpan w:val="2"/>
                  <w:vAlign w:val="center"/>
                </w:tcPr>
                <w:p>
                  <w:pPr>
                    <w:autoSpaceDE w:val="0"/>
                    <w:autoSpaceDN w:val="0"/>
                    <w:adjustRightInd w:val="0"/>
                    <w:snapToGrid w:val="0"/>
                    <w:jc w:val="center"/>
                    <w:rPr>
                      <w:b/>
                      <w:bCs/>
                      <w:kern w:val="0"/>
                      <w:szCs w:val="21"/>
                      <w:highlight w:val="red"/>
                    </w:rPr>
                  </w:pPr>
                  <w:r>
                    <w:rPr>
                      <w:rFonts w:hint="eastAsia"/>
                      <w:b/>
                      <w:bCs/>
                      <w:kern w:val="0"/>
                      <w:szCs w:val="21"/>
                    </w:rPr>
                    <w:t>文件要求</w:t>
                  </w:r>
                </w:p>
              </w:tc>
              <w:tc>
                <w:tcPr>
                  <w:tcW w:w="2252" w:type="dxa"/>
                  <w:vAlign w:val="center"/>
                </w:tcPr>
                <w:p>
                  <w:pPr>
                    <w:autoSpaceDE w:val="0"/>
                    <w:autoSpaceDN w:val="0"/>
                    <w:adjustRightInd w:val="0"/>
                    <w:snapToGrid w:val="0"/>
                    <w:jc w:val="center"/>
                    <w:rPr>
                      <w:b/>
                      <w:bCs/>
                      <w:kern w:val="0"/>
                      <w:szCs w:val="21"/>
                    </w:rPr>
                  </w:pPr>
                  <w:r>
                    <w:rPr>
                      <w:rFonts w:hint="eastAsia"/>
                      <w:b/>
                      <w:bCs/>
                      <w:kern w:val="0"/>
                      <w:szCs w:val="21"/>
                    </w:rPr>
                    <w:t>相符性分析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5" w:type="dxa"/>
                  <w:vAlign w:val="center"/>
                </w:tcPr>
                <w:p>
                  <w:pPr>
                    <w:autoSpaceDE w:val="0"/>
                    <w:autoSpaceDN w:val="0"/>
                    <w:adjustRightInd w:val="0"/>
                    <w:snapToGrid w:val="0"/>
                    <w:jc w:val="center"/>
                    <w:rPr>
                      <w:rFonts w:hint="eastAsia"/>
                      <w:kern w:val="0"/>
                      <w:szCs w:val="21"/>
                    </w:rPr>
                  </w:pPr>
                  <w:r>
                    <w:rPr>
                      <w:rFonts w:hint="eastAsia"/>
                      <w:kern w:val="0"/>
                      <w:szCs w:val="21"/>
                    </w:rPr>
                    <w:t>空间布局约束</w:t>
                  </w:r>
                </w:p>
              </w:tc>
              <w:tc>
                <w:tcPr>
                  <w:tcW w:w="5483" w:type="dxa"/>
                  <w:vAlign w:val="center"/>
                </w:tcPr>
                <w:p>
                  <w:pPr>
                    <w:autoSpaceDE w:val="0"/>
                    <w:autoSpaceDN w:val="0"/>
                    <w:adjustRightInd w:val="0"/>
                    <w:snapToGrid w:val="0"/>
                    <w:jc w:val="center"/>
                    <w:rPr>
                      <w:rFonts w:hint="eastAsia"/>
                      <w:kern w:val="0"/>
                      <w:szCs w:val="21"/>
                    </w:rPr>
                  </w:pPr>
                  <w:r>
                    <w:rPr>
                      <w:rFonts w:hint="default"/>
                      <w:kern w:val="0"/>
                      <w:szCs w:val="21"/>
                    </w:rPr>
                    <w:t>主导产业：工业制造业、机械制造、电子商务等行业。禁止引入高能耗、不符合产业政策、重污染的项目。</w:t>
                  </w:r>
                </w:p>
              </w:tc>
              <w:tc>
                <w:tcPr>
                  <w:tcW w:w="2252" w:type="dxa"/>
                  <w:vAlign w:val="center"/>
                </w:tcPr>
                <w:p>
                  <w:pPr>
                    <w:autoSpaceDE w:val="0"/>
                    <w:autoSpaceDN w:val="0"/>
                    <w:adjustRightInd w:val="0"/>
                    <w:snapToGrid w:val="0"/>
                    <w:jc w:val="center"/>
                    <w:rPr>
                      <w:kern w:val="0"/>
                      <w:szCs w:val="21"/>
                    </w:rPr>
                  </w:pPr>
                  <w:r>
                    <w:rPr>
                      <w:rFonts w:hint="eastAsia"/>
                      <w:kern w:val="0"/>
                      <w:szCs w:val="21"/>
                    </w:rPr>
                    <w:t>本项目位于海安市大公镇科技产业园开发大道606号23幢，项目用地不占用基本农田等环境保护目标，项目为智能包装制造项目，属于允许类。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5" w:type="dxa"/>
                  <w:vAlign w:val="center"/>
                </w:tcPr>
                <w:p>
                  <w:pPr>
                    <w:autoSpaceDE w:val="0"/>
                    <w:autoSpaceDN w:val="0"/>
                    <w:adjustRightInd w:val="0"/>
                    <w:snapToGrid w:val="0"/>
                    <w:jc w:val="center"/>
                    <w:rPr>
                      <w:kern w:val="0"/>
                      <w:szCs w:val="21"/>
                    </w:rPr>
                  </w:pPr>
                  <w:r>
                    <w:rPr>
                      <w:rFonts w:hint="eastAsia"/>
                      <w:kern w:val="0"/>
                      <w:szCs w:val="21"/>
                    </w:rPr>
                    <w:t>污染物排放管控</w:t>
                  </w:r>
                </w:p>
              </w:tc>
              <w:tc>
                <w:tcPr>
                  <w:tcW w:w="5483" w:type="dxa"/>
                  <w:vAlign w:val="center"/>
                </w:tcPr>
                <w:p>
                  <w:pPr>
                    <w:autoSpaceDE w:val="0"/>
                    <w:autoSpaceDN w:val="0"/>
                    <w:adjustRightInd w:val="0"/>
                    <w:snapToGrid w:val="0"/>
                    <w:jc w:val="center"/>
                    <w:rPr>
                      <w:kern w:val="0"/>
                      <w:szCs w:val="21"/>
                    </w:rPr>
                  </w:pPr>
                  <w:r>
                    <w:rPr>
                      <w:rFonts w:hint="eastAsia"/>
                      <w:kern w:val="0"/>
                      <w:szCs w:val="21"/>
                    </w:rPr>
                    <w:t>以规划环评（跟踪评价）及批复文件为准。</w:t>
                  </w:r>
                </w:p>
              </w:tc>
              <w:tc>
                <w:tcPr>
                  <w:tcW w:w="2252" w:type="dxa"/>
                  <w:vAlign w:val="center"/>
                </w:tcPr>
                <w:p>
                  <w:pPr>
                    <w:autoSpaceDE w:val="0"/>
                    <w:autoSpaceDN w:val="0"/>
                    <w:adjustRightInd w:val="0"/>
                    <w:snapToGrid w:val="0"/>
                    <w:jc w:val="center"/>
                    <w:rPr>
                      <w:kern w:val="0"/>
                      <w:szCs w:val="21"/>
                    </w:rPr>
                  </w:pPr>
                  <w:r>
                    <w:rPr>
                      <w:rFonts w:hint="eastAsia"/>
                      <w:kern w:val="0"/>
                      <w:szCs w:val="21"/>
                    </w:rPr>
                    <w:t>本项目VOCs、颗粒物等主要污染物在</w:t>
                  </w:r>
                  <w:r>
                    <w:rPr>
                      <w:rFonts w:hint="eastAsia"/>
                      <w:kern w:val="0"/>
                      <w:szCs w:val="21"/>
                      <w:lang w:val="en-US" w:eastAsia="zh-CN"/>
                    </w:rPr>
                    <w:t>大公镇</w:t>
                  </w:r>
                  <w:r>
                    <w:rPr>
                      <w:rFonts w:hint="eastAsia"/>
                      <w:kern w:val="0"/>
                      <w:szCs w:val="21"/>
                    </w:rPr>
                    <w:t>区域内平衡。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5" w:type="dxa"/>
                  <w:vAlign w:val="center"/>
                </w:tcPr>
                <w:p>
                  <w:pPr>
                    <w:autoSpaceDE w:val="0"/>
                    <w:autoSpaceDN w:val="0"/>
                    <w:adjustRightInd w:val="0"/>
                    <w:snapToGrid w:val="0"/>
                    <w:jc w:val="center"/>
                    <w:rPr>
                      <w:kern w:val="0"/>
                      <w:szCs w:val="21"/>
                    </w:rPr>
                  </w:pPr>
                  <w:r>
                    <w:rPr>
                      <w:rFonts w:hint="eastAsia"/>
                      <w:kern w:val="0"/>
                      <w:szCs w:val="21"/>
                    </w:rPr>
                    <w:t>环境风险防控</w:t>
                  </w:r>
                </w:p>
              </w:tc>
              <w:tc>
                <w:tcPr>
                  <w:tcW w:w="5483" w:type="dxa"/>
                  <w:vAlign w:val="center"/>
                </w:tcPr>
                <w:p>
                  <w:pPr>
                    <w:autoSpaceDE w:val="0"/>
                    <w:autoSpaceDN w:val="0"/>
                    <w:adjustRightInd w:val="0"/>
                    <w:snapToGrid w:val="0"/>
                    <w:jc w:val="center"/>
                    <w:rPr>
                      <w:rFonts w:hint="eastAsia"/>
                      <w:kern w:val="0"/>
                      <w:szCs w:val="21"/>
                    </w:rPr>
                  </w:pPr>
                  <w:r>
                    <w:rPr>
                      <w:rFonts w:hint="default"/>
                      <w:kern w:val="0"/>
                      <w:szCs w:val="21"/>
                    </w:rPr>
                    <w:t>建立环境应急体系。加强环境影响跟踪监测，建立健全各环境要素监控体系，完善并落实园区日常环境监测与污染源监控计划。居民区与工业企业之间要预留足够的卫生防护距离。</w:t>
                  </w:r>
                </w:p>
              </w:tc>
              <w:tc>
                <w:tcPr>
                  <w:tcW w:w="2252" w:type="dxa"/>
                  <w:vAlign w:val="center"/>
                </w:tcPr>
                <w:p>
                  <w:pPr>
                    <w:autoSpaceDE w:val="0"/>
                    <w:autoSpaceDN w:val="0"/>
                    <w:adjustRightInd w:val="0"/>
                    <w:snapToGrid w:val="0"/>
                    <w:jc w:val="center"/>
                    <w:rPr>
                      <w:kern w:val="0"/>
                      <w:szCs w:val="21"/>
                    </w:rPr>
                  </w:pPr>
                  <w:r>
                    <w:rPr>
                      <w:rFonts w:hint="eastAsia"/>
                      <w:kern w:val="0"/>
                      <w:szCs w:val="21"/>
                    </w:rPr>
                    <w:t>本项目将按照有关要求对产生的危险废物进行收集、贮存和处置。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5" w:type="dxa"/>
                  <w:vAlign w:val="center"/>
                </w:tcPr>
                <w:p>
                  <w:pPr>
                    <w:autoSpaceDE w:val="0"/>
                    <w:autoSpaceDN w:val="0"/>
                    <w:adjustRightInd w:val="0"/>
                    <w:snapToGrid w:val="0"/>
                    <w:jc w:val="center"/>
                    <w:rPr>
                      <w:kern w:val="0"/>
                      <w:szCs w:val="21"/>
                    </w:rPr>
                  </w:pPr>
                  <w:r>
                    <w:rPr>
                      <w:rFonts w:hint="eastAsia"/>
                      <w:kern w:val="0"/>
                      <w:szCs w:val="21"/>
                    </w:rPr>
                    <w:t>资源利用效率要求</w:t>
                  </w:r>
                </w:p>
              </w:tc>
              <w:tc>
                <w:tcPr>
                  <w:tcW w:w="5483" w:type="dxa"/>
                  <w:vAlign w:val="center"/>
                </w:tcPr>
                <w:p>
                  <w:pPr>
                    <w:autoSpaceDE w:val="0"/>
                    <w:autoSpaceDN w:val="0"/>
                    <w:adjustRightInd w:val="0"/>
                    <w:snapToGrid w:val="0"/>
                    <w:jc w:val="center"/>
                    <w:rPr>
                      <w:rFonts w:hint="eastAsia"/>
                      <w:kern w:val="0"/>
                      <w:szCs w:val="21"/>
                    </w:rPr>
                  </w:pPr>
                  <w:r>
                    <w:rPr>
                      <w:rFonts w:hint="default"/>
                      <w:kern w:val="0"/>
                      <w:szCs w:val="21"/>
                    </w:rPr>
                    <w:t>禁止销售使用燃料为“Ⅱ类”（较严），具体包括：除单台出力大于等于20蒸吨/小时锅炉以外燃用的煤炭及其制品；石油焦、油页岩、原油、重油、渣油、煤焦油。</w:t>
                  </w:r>
                </w:p>
              </w:tc>
              <w:tc>
                <w:tcPr>
                  <w:tcW w:w="2252" w:type="dxa"/>
                  <w:vAlign w:val="center"/>
                </w:tcPr>
                <w:p>
                  <w:pPr>
                    <w:autoSpaceDE w:val="0"/>
                    <w:autoSpaceDN w:val="0"/>
                    <w:adjustRightInd w:val="0"/>
                    <w:snapToGrid w:val="0"/>
                    <w:jc w:val="center"/>
                    <w:rPr>
                      <w:kern w:val="0"/>
                      <w:szCs w:val="21"/>
                    </w:rPr>
                  </w:pPr>
                  <w:r>
                    <w:rPr>
                      <w:rFonts w:hint="eastAsia"/>
                      <w:kern w:val="0"/>
                      <w:szCs w:val="21"/>
                    </w:rPr>
                    <w:t>本项目的生产工艺、设备、污染治理技术以及单位产品能耗、物耗、污染物排放和资源利用率均达到同行业国际先进水平，本项目不销售使用“Ⅱ类”（较严）燃料。</w:t>
                  </w:r>
                </w:p>
              </w:tc>
            </w:tr>
          </w:tbl>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kern w:val="0"/>
                <w:sz w:val="24"/>
              </w:rPr>
            </w:pPr>
            <w:r>
              <w:rPr>
                <w:rFonts w:hint="eastAsia"/>
                <w:kern w:val="0"/>
                <w:sz w:val="24"/>
              </w:rPr>
              <w:t>综上所述，项目符合《省政府关于印发江苏省“三线一单”生态环境分区管控方案的通知》、《南通市“三线一单”生态环境分区管控实施方案》（通政办规〔2021〕4号）、《海安市“三线一单”生态环境分区管控实施方案》的要求。</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rFonts w:hint="eastAsia"/>
                <w:b/>
                <w:bCs/>
                <w:kern w:val="0"/>
                <w:sz w:val="24"/>
              </w:rPr>
            </w:pPr>
            <w:r>
              <w:rPr>
                <w:rFonts w:hint="eastAsia"/>
                <w:b/>
                <w:bCs/>
                <w:kern w:val="0"/>
                <w:sz w:val="24"/>
              </w:rPr>
              <w:t>3、与《江苏省通榆河水污染防治条例》相符性分析</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eastAsia="宋体"/>
                <w:kern w:val="0"/>
                <w:sz w:val="24"/>
                <w:lang w:eastAsia="zh-CN"/>
              </w:rPr>
            </w:pPr>
            <w:r>
              <w:rPr>
                <w:rFonts w:hint="eastAsia"/>
                <w:color w:val="auto"/>
                <w:kern w:val="0"/>
                <w:sz w:val="24"/>
              </w:rPr>
              <w:t>本项目位于</w:t>
            </w:r>
            <w:r>
              <w:rPr>
                <w:rFonts w:hint="eastAsia"/>
                <w:color w:val="auto"/>
                <w:kern w:val="0"/>
                <w:sz w:val="24"/>
                <w:szCs w:val="24"/>
              </w:rPr>
              <w:t>海安市大公镇科技产业园开发大道606号23幢</w:t>
            </w:r>
            <w:r>
              <w:rPr>
                <w:rFonts w:hint="eastAsia"/>
                <w:kern w:val="0"/>
                <w:sz w:val="24"/>
                <w:lang w:eastAsia="zh-CN"/>
              </w:rPr>
              <w:t>，</w:t>
            </w:r>
            <w:r>
              <w:rPr>
                <w:rFonts w:hint="eastAsia"/>
                <w:kern w:val="0"/>
                <w:sz w:val="24"/>
                <w:lang w:val="en-US" w:eastAsia="zh-CN"/>
              </w:rPr>
              <w:t>距离通榆河约5千米，</w:t>
            </w:r>
            <w:r>
              <w:rPr>
                <w:rFonts w:hint="eastAsia"/>
                <w:color w:val="auto"/>
                <w:kern w:val="0"/>
                <w:sz w:val="24"/>
                <w:lang w:val="en-US" w:eastAsia="zh-CN"/>
              </w:rPr>
              <w:t>距离通榆河约5千米，</w:t>
            </w:r>
            <w:r>
              <w:rPr>
                <w:rFonts w:hint="eastAsia"/>
                <w:color w:val="auto"/>
                <w:kern w:val="0"/>
                <w:sz w:val="24"/>
              </w:rPr>
              <w:t>所在地</w:t>
            </w:r>
            <w:r>
              <w:rPr>
                <w:rFonts w:hint="eastAsia"/>
                <w:color w:val="auto"/>
                <w:kern w:val="0"/>
                <w:sz w:val="24"/>
                <w:lang w:val="en-US" w:eastAsia="zh-CN"/>
              </w:rPr>
              <w:t>不在通榆河一级、二级、三级保护区内，因此本项目符合</w:t>
            </w:r>
            <w:r>
              <w:rPr>
                <w:rFonts w:hint="eastAsia"/>
                <w:kern w:val="0"/>
                <w:sz w:val="24"/>
              </w:rPr>
              <w:t>《江苏省通榆河水污染防治条例》的相关保护要求</w:t>
            </w:r>
            <w:r>
              <w:rPr>
                <w:rFonts w:hint="eastAsia"/>
                <w:kern w:val="0"/>
                <w:sz w:val="24"/>
                <w:lang w:eastAsia="zh-CN"/>
              </w:rPr>
              <w:t>。</w:t>
            </w:r>
          </w:p>
          <w:p>
            <w:pPr>
              <w:pStyle w:val="6"/>
              <w:numPr>
                <w:ilvl w:val="0"/>
                <w:numId w:val="0"/>
              </w:numPr>
              <w:adjustRightInd w:val="0"/>
              <w:snapToGrid w:val="0"/>
              <w:spacing w:line="500" w:lineRule="exact"/>
              <w:ind w:firstLine="482" w:firstLineChars="200"/>
              <w:rPr>
                <w:rFonts w:hint="eastAsia" w:ascii="Times New Roman" w:hAnsi="Times New Roman"/>
                <w:b/>
                <w:bCs/>
                <w:color w:val="auto"/>
                <w:sz w:val="24"/>
                <w:szCs w:val="24"/>
                <w:lang w:val="en-US" w:eastAsia="zh-CN"/>
              </w:rPr>
            </w:pPr>
            <w:r>
              <w:rPr>
                <w:rFonts w:hint="eastAsia" w:ascii="Times New Roman" w:hAnsi="Times New Roman"/>
                <w:b/>
                <w:bCs/>
                <w:color w:val="auto"/>
                <w:sz w:val="24"/>
                <w:szCs w:val="24"/>
                <w:lang w:val="en-US" w:eastAsia="zh-CN"/>
              </w:rPr>
              <w:t>4、与挥发性有机物相关文件相符性分析</w:t>
            </w:r>
          </w:p>
          <w:p>
            <w:pPr>
              <w:pStyle w:val="9"/>
              <w:snapToGrid/>
              <w:spacing w:before="0" w:after="0" w:line="500" w:lineRule="exact"/>
              <w:ind w:right="0"/>
              <w:jc w:val="center"/>
              <w:rPr>
                <w:rFonts w:ascii="Times New Roman" w:hAnsi="Times New Roman"/>
                <w:b/>
                <w:bCs/>
                <w:color w:val="auto"/>
                <w:sz w:val="24"/>
                <w:szCs w:val="24"/>
                <w:lang w:val="en-US" w:eastAsia="zh-CN"/>
              </w:rPr>
            </w:pPr>
          </w:p>
          <w:p>
            <w:pPr>
              <w:pStyle w:val="9"/>
              <w:snapToGrid/>
              <w:spacing w:before="0" w:after="0" w:line="500" w:lineRule="exact"/>
              <w:ind w:right="0"/>
              <w:jc w:val="center"/>
              <w:rPr>
                <w:rFonts w:ascii="Times New Roman" w:hAnsi="Times New Roman"/>
                <w:b/>
                <w:bCs/>
                <w:color w:val="auto"/>
                <w:sz w:val="24"/>
                <w:szCs w:val="24"/>
                <w:lang w:val="en-US" w:eastAsia="zh-CN"/>
              </w:rPr>
            </w:pPr>
          </w:p>
          <w:p>
            <w:pPr>
              <w:pStyle w:val="9"/>
              <w:snapToGrid/>
              <w:spacing w:before="0" w:after="0" w:line="500" w:lineRule="exact"/>
              <w:ind w:right="0"/>
              <w:jc w:val="center"/>
              <w:rPr>
                <w:rFonts w:ascii="Times New Roman" w:hAnsi="Times New Roman"/>
                <w:b/>
                <w:bCs/>
                <w:color w:val="auto"/>
                <w:sz w:val="24"/>
                <w:szCs w:val="24"/>
                <w:lang w:val="en-US" w:eastAsia="zh-CN"/>
              </w:rPr>
            </w:pPr>
            <w:r>
              <w:rPr>
                <w:rFonts w:ascii="Times New Roman" w:hAnsi="Times New Roman"/>
                <w:b/>
                <w:bCs/>
                <w:color w:val="auto"/>
                <w:sz w:val="24"/>
                <w:szCs w:val="24"/>
                <w:lang w:val="en-US" w:eastAsia="zh-CN"/>
              </w:rPr>
              <w:t>表1-</w:t>
            </w:r>
            <w:r>
              <w:rPr>
                <w:rFonts w:hint="eastAsia" w:ascii="Times New Roman" w:hAnsi="Times New Roman"/>
                <w:b/>
                <w:bCs/>
                <w:color w:val="auto"/>
                <w:sz w:val="24"/>
                <w:szCs w:val="24"/>
                <w:lang w:val="en-US" w:eastAsia="zh-CN"/>
              </w:rPr>
              <w:t xml:space="preserve">3 </w:t>
            </w:r>
            <w:r>
              <w:rPr>
                <w:rFonts w:ascii="Times New Roman" w:hAnsi="Times New Roman"/>
                <w:b/>
                <w:bCs/>
                <w:color w:val="auto"/>
                <w:sz w:val="24"/>
                <w:szCs w:val="24"/>
                <w:lang w:val="en-US" w:eastAsia="zh-CN"/>
              </w:rPr>
              <w:t>与</w:t>
            </w:r>
            <w:r>
              <w:rPr>
                <w:rFonts w:hint="eastAsia" w:ascii="Times New Roman" w:hAnsi="Times New Roman"/>
                <w:b/>
                <w:bCs/>
                <w:color w:val="auto"/>
                <w:sz w:val="24"/>
                <w:szCs w:val="24"/>
                <w:lang w:val="en-US" w:eastAsia="zh-CN"/>
              </w:rPr>
              <w:t>挥发性有机物相关文件相符性</w:t>
            </w:r>
            <w:r>
              <w:rPr>
                <w:rFonts w:ascii="Times New Roman" w:hAnsi="Times New Roman"/>
                <w:b/>
                <w:bCs/>
                <w:color w:val="auto"/>
                <w:sz w:val="24"/>
                <w:szCs w:val="24"/>
                <w:lang w:val="en-US" w:eastAsia="zh-CN"/>
              </w:rPr>
              <w:t>分析</w:t>
            </w:r>
          </w:p>
          <w:tbl>
            <w:tblPr>
              <w:tblStyle w:val="18"/>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85"/>
              <w:gridCol w:w="1493"/>
              <w:gridCol w:w="4668"/>
              <w:gridCol w:w="14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56" w:type="pct"/>
                  <w:noWrap w:val="0"/>
                  <w:vAlign w:val="center"/>
                </w:tcPr>
                <w:p>
                  <w:pPr>
                    <w:pStyle w:val="6"/>
                    <w:adjustRightInd w:val="0"/>
                    <w:snapToGrid w:val="0"/>
                    <w:ind w:firstLine="0" w:firstLineChars="0"/>
                    <w:jc w:val="center"/>
                    <w:rPr>
                      <w:b/>
                      <w:bCs/>
                      <w:color w:val="auto"/>
                      <w:sz w:val="21"/>
                      <w:szCs w:val="21"/>
                      <w:lang w:val="en-US" w:eastAsia="zh-CN"/>
                    </w:rPr>
                  </w:pPr>
                  <w:r>
                    <w:rPr>
                      <w:b/>
                      <w:bCs/>
                      <w:color w:val="auto"/>
                      <w:sz w:val="21"/>
                      <w:szCs w:val="21"/>
                      <w:lang w:val="en-US" w:eastAsia="zh-CN"/>
                    </w:rPr>
                    <w:t>序号</w:t>
                  </w:r>
                </w:p>
              </w:tc>
              <w:tc>
                <w:tcPr>
                  <w:tcW w:w="908" w:type="pct"/>
                  <w:noWrap w:val="0"/>
                  <w:vAlign w:val="center"/>
                </w:tcPr>
                <w:p>
                  <w:pPr>
                    <w:pStyle w:val="6"/>
                    <w:adjustRightInd w:val="0"/>
                    <w:snapToGrid w:val="0"/>
                    <w:ind w:firstLine="0" w:firstLineChars="0"/>
                    <w:jc w:val="center"/>
                    <w:rPr>
                      <w:b/>
                      <w:bCs/>
                      <w:color w:val="auto"/>
                      <w:sz w:val="21"/>
                      <w:szCs w:val="21"/>
                      <w:lang w:val="en-US" w:eastAsia="zh-CN"/>
                    </w:rPr>
                  </w:pPr>
                  <w:r>
                    <w:rPr>
                      <w:b/>
                      <w:bCs/>
                      <w:color w:val="auto"/>
                      <w:sz w:val="21"/>
                      <w:szCs w:val="21"/>
                      <w:lang w:val="en-US" w:eastAsia="zh-CN"/>
                    </w:rPr>
                    <w:t>与挥发性有机物相关文件</w:t>
                  </w:r>
                </w:p>
              </w:tc>
              <w:tc>
                <w:tcPr>
                  <w:tcW w:w="2839" w:type="pct"/>
                  <w:noWrap w:val="0"/>
                  <w:vAlign w:val="center"/>
                </w:tcPr>
                <w:p>
                  <w:pPr>
                    <w:pStyle w:val="6"/>
                    <w:adjustRightInd w:val="0"/>
                    <w:snapToGrid w:val="0"/>
                    <w:ind w:firstLine="0" w:firstLineChars="0"/>
                    <w:jc w:val="center"/>
                    <w:rPr>
                      <w:b/>
                      <w:bCs/>
                      <w:color w:val="auto"/>
                      <w:sz w:val="21"/>
                      <w:szCs w:val="21"/>
                      <w:lang w:val="en-US" w:eastAsia="zh-CN"/>
                    </w:rPr>
                  </w:pPr>
                  <w:r>
                    <w:rPr>
                      <w:b/>
                      <w:bCs/>
                      <w:color w:val="auto"/>
                      <w:sz w:val="21"/>
                      <w:szCs w:val="21"/>
                      <w:lang w:val="en-US" w:eastAsia="zh-CN"/>
                    </w:rPr>
                    <w:t>要求</w:t>
                  </w:r>
                </w:p>
              </w:tc>
              <w:tc>
                <w:tcPr>
                  <w:tcW w:w="896" w:type="pct"/>
                  <w:noWrap w:val="0"/>
                  <w:vAlign w:val="center"/>
                </w:tcPr>
                <w:p>
                  <w:pPr>
                    <w:pStyle w:val="6"/>
                    <w:adjustRightInd w:val="0"/>
                    <w:snapToGrid w:val="0"/>
                    <w:ind w:firstLine="0" w:firstLineChars="0"/>
                    <w:jc w:val="center"/>
                    <w:rPr>
                      <w:b/>
                      <w:bCs/>
                      <w:color w:val="auto"/>
                      <w:sz w:val="18"/>
                      <w:szCs w:val="18"/>
                      <w:lang w:val="en-US" w:eastAsia="zh-CN"/>
                    </w:rPr>
                  </w:pPr>
                  <w:r>
                    <w:rPr>
                      <w:b/>
                      <w:bCs/>
                      <w:color w:val="auto"/>
                      <w:sz w:val="21"/>
                      <w:szCs w:val="21"/>
                      <w:lang w:val="en-US" w:eastAsia="zh-CN"/>
                    </w:rPr>
                    <w:t>本项目情况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56" w:type="pct"/>
                  <w:noWrap w:val="0"/>
                  <w:vAlign w:val="center"/>
                </w:tcPr>
                <w:p>
                  <w:pPr>
                    <w:pStyle w:val="6"/>
                    <w:adjustRightInd w:val="0"/>
                    <w:snapToGrid w:val="0"/>
                    <w:ind w:firstLine="0" w:firstLineChars="0"/>
                    <w:jc w:val="center"/>
                    <w:rPr>
                      <w:color w:val="auto"/>
                      <w:sz w:val="18"/>
                      <w:szCs w:val="18"/>
                      <w:lang w:val="en-US" w:eastAsia="zh-CN"/>
                    </w:rPr>
                  </w:pPr>
                  <w:r>
                    <w:rPr>
                      <w:rFonts w:hint="eastAsia"/>
                      <w:color w:val="auto"/>
                      <w:sz w:val="18"/>
                      <w:szCs w:val="18"/>
                      <w:lang w:val="en-US" w:eastAsia="zh-CN"/>
                    </w:rPr>
                    <w:t>1</w:t>
                  </w:r>
                </w:p>
              </w:tc>
              <w:tc>
                <w:tcPr>
                  <w:tcW w:w="908" w:type="pct"/>
                  <w:noWrap w:val="0"/>
                  <w:vAlign w:val="center"/>
                </w:tcPr>
                <w:p>
                  <w:pPr>
                    <w:pStyle w:val="6"/>
                    <w:adjustRightInd w:val="0"/>
                    <w:snapToGrid w:val="0"/>
                    <w:ind w:firstLine="0" w:firstLineChars="0"/>
                    <w:jc w:val="center"/>
                    <w:rPr>
                      <w:color w:val="auto"/>
                      <w:sz w:val="21"/>
                      <w:szCs w:val="21"/>
                      <w:lang w:val="en-US" w:eastAsia="zh-CN"/>
                    </w:rPr>
                  </w:pPr>
                  <w:r>
                    <w:rPr>
                      <w:color w:val="auto"/>
                      <w:sz w:val="21"/>
                      <w:szCs w:val="21"/>
                      <w:lang w:val="en-US" w:eastAsia="zh-CN"/>
                    </w:rPr>
                    <w:t>《江苏省重点行业挥发性有机物污染控制指南》（苏环办〔2014〕128号）</w:t>
                  </w:r>
                </w:p>
              </w:tc>
              <w:tc>
                <w:tcPr>
                  <w:tcW w:w="2839" w:type="pct"/>
                  <w:noWrap w:val="0"/>
                  <w:vAlign w:val="center"/>
                </w:tcPr>
                <w:p>
                  <w:pPr>
                    <w:pStyle w:val="6"/>
                    <w:adjustRightInd w:val="0"/>
                    <w:snapToGrid w:val="0"/>
                    <w:ind w:firstLine="0" w:firstLineChars="0"/>
                    <w:jc w:val="center"/>
                    <w:rPr>
                      <w:color w:val="auto"/>
                      <w:sz w:val="21"/>
                      <w:szCs w:val="21"/>
                      <w:lang w:val="en-US" w:eastAsia="zh-CN"/>
                    </w:rPr>
                  </w:pPr>
                  <w:r>
                    <w:rPr>
                      <w:color w:val="auto"/>
                      <w:sz w:val="21"/>
                      <w:szCs w:val="21"/>
                      <w:lang w:val="en-US" w:eastAsia="zh-CN"/>
                    </w:rPr>
                    <w:t>对应生产单元或设施进行密闭，从源头控制VOCs的产生，减少废气污染物排放；有机化工、医药化工、橡胶和塑料制品（有溶剂浸胶工艺）、溶剂型涂料表面涂装、包装印刷业的VOCs总收集、净化处理率均不低于90%，其他行业原则上不低于75%</w:t>
                  </w:r>
                </w:p>
              </w:tc>
              <w:tc>
                <w:tcPr>
                  <w:tcW w:w="896" w:type="pct"/>
                  <w:vMerge w:val="restart"/>
                  <w:noWrap w:val="0"/>
                  <w:vAlign w:val="center"/>
                </w:tcPr>
                <w:p>
                  <w:pPr>
                    <w:numPr>
                      <w:ilvl w:val="0"/>
                      <w:numId w:val="1"/>
                    </w:numPr>
                    <w:autoSpaceDE w:val="0"/>
                    <w:autoSpaceDN w:val="0"/>
                    <w:adjustRightInd w:val="0"/>
                    <w:snapToGrid w:val="0"/>
                    <w:jc w:val="center"/>
                    <w:rPr>
                      <w:color w:val="auto"/>
                      <w:sz w:val="21"/>
                      <w:szCs w:val="21"/>
                    </w:rPr>
                  </w:pPr>
                  <w:r>
                    <w:rPr>
                      <w:rFonts w:hint="eastAsia"/>
                      <w:color w:val="auto"/>
                      <w:sz w:val="21"/>
                      <w:szCs w:val="21"/>
                      <w:lang w:val="en-US" w:eastAsia="zh-CN"/>
                    </w:rPr>
                    <w:t>本</w:t>
                  </w:r>
                  <w:r>
                    <w:rPr>
                      <w:color w:val="auto"/>
                      <w:sz w:val="21"/>
                      <w:szCs w:val="21"/>
                    </w:rPr>
                    <w:t>项目使用的</w:t>
                  </w:r>
                  <w:r>
                    <w:rPr>
                      <w:rFonts w:hint="default" w:ascii="Times New Roman" w:hAnsi="Times New Roman" w:eastAsia="宋体" w:cs="Times New Roman"/>
                      <w:color w:val="auto"/>
                      <w:sz w:val="21"/>
                      <w:szCs w:val="21"/>
                    </w:rPr>
                    <w:t>水性</w:t>
                  </w:r>
                  <w:r>
                    <w:rPr>
                      <w:rFonts w:hint="eastAsia" w:ascii="Times New Roman" w:hAnsi="Times New Roman" w:eastAsia="宋体" w:cs="Times New Roman"/>
                      <w:color w:val="auto"/>
                      <w:sz w:val="21"/>
                      <w:szCs w:val="21"/>
                      <w:lang w:val="en-US" w:eastAsia="zh-CN"/>
                    </w:rPr>
                    <w:t>油墨</w:t>
                  </w:r>
                  <w:r>
                    <w:rPr>
                      <w:rFonts w:hint="default" w:ascii="Times New Roman" w:hAnsi="Times New Roman" w:eastAsia="宋体" w:cs="Times New Roman"/>
                      <w:color w:val="auto"/>
                      <w:sz w:val="21"/>
                      <w:szCs w:val="21"/>
                    </w:rPr>
                    <w:t>中挥发性有机物含量</w:t>
                  </w:r>
                  <w:r>
                    <w:rPr>
                      <w:rFonts w:hint="eastAsia" w:cs="Times New Roman"/>
                      <w:color w:val="auto"/>
                      <w:sz w:val="21"/>
                      <w:szCs w:val="21"/>
                      <w:lang w:val="en-US" w:eastAsia="zh-CN"/>
                    </w:rPr>
                    <w:t>低于检出限</w:t>
                  </w:r>
                  <w:r>
                    <w:rPr>
                      <w:rFonts w:hint="eastAsia" w:ascii="Times New Roman" w:hAnsi="Times New Roman" w:eastAsia="宋体" w:cs="Times New Roman"/>
                      <w:color w:val="auto"/>
                      <w:sz w:val="21"/>
                      <w:szCs w:val="21"/>
                      <w:lang w:val="en-US" w:eastAsia="zh-CN"/>
                    </w:rPr>
                    <w:t>0.1%</w:t>
                  </w:r>
                  <w:r>
                    <w:rPr>
                      <w:rFonts w:hint="default" w:ascii="Times New Roman" w:hAnsi="Times New Roman" w:eastAsia="宋体" w:cs="Times New Roman"/>
                      <w:color w:val="auto"/>
                      <w:sz w:val="21"/>
                      <w:szCs w:val="21"/>
                    </w:rPr>
                    <w:t>，</w:t>
                  </w:r>
                  <w:r>
                    <w:rPr>
                      <w:rFonts w:hint="eastAsia"/>
                      <w:color w:val="auto"/>
                      <w:sz w:val="21"/>
                      <w:szCs w:val="21"/>
                    </w:rPr>
                    <w:t>能</w:t>
                  </w:r>
                  <w:r>
                    <w:rPr>
                      <w:color w:val="auto"/>
                      <w:sz w:val="21"/>
                      <w:szCs w:val="21"/>
                    </w:rPr>
                    <w:t>满足《</w:t>
                  </w:r>
                  <w:r>
                    <w:rPr>
                      <w:rFonts w:hint="eastAsia"/>
                      <w:color w:val="auto"/>
                      <w:sz w:val="21"/>
                      <w:szCs w:val="21"/>
                      <w:lang w:val="en-US" w:eastAsia="zh-CN"/>
                    </w:rPr>
                    <w:t>油墨中可挥发性有机化合物（VOC</w:t>
                  </w:r>
                  <w:r>
                    <w:rPr>
                      <w:rFonts w:hint="eastAsia"/>
                      <w:color w:val="auto"/>
                      <w:sz w:val="21"/>
                      <w:szCs w:val="21"/>
                      <w:vertAlign w:val="subscript"/>
                      <w:lang w:val="en-US" w:eastAsia="zh-CN"/>
                    </w:rPr>
                    <w:t>S</w:t>
                  </w:r>
                  <w:r>
                    <w:rPr>
                      <w:rFonts w:hint="eastAsia"/>
                      <w:color w:val="auto"/>
                      <w:sz w:val="21"/>
                      <w:szCs w:val="21"/>
                      <w:lang w:val="en-US" w:eastAsia="zh-CN"/>
                    </w:rPr>
                    <w:t>）含量的限值</w:t>
                  </w:r>
                  <w:r>
                    <w:rPr>
                      <w:color w:val="auto"/>
                      <w:sz w:val="21"/>
                      <w:szCs w:val="21"/>
                    </w:rPr>
                    <w:t>》（GB 385</w:t>
                  </w:r>
                  <w:r>
                    <w:rPr>
                      <w:rFonts w:hint="eastAsia"/>
                      <w:color w:val="auto"/>
                      <w:sz w:val="21"/>
                      <w:szCs w:val="21"/>
                      <w:lang w:val="en-US" w:eastAsia="zh-CN"/>
                    </w:rPr>
                    <w:t>0</w:t>
                  </w:r>
                  <w:r>
                    <w:rPr>
                      <w:color w:val="auto"/>
                      <w:sz w:val="21"/>
                      <w:szCs w:val="21"/>
                    </w:rPr>
                    <w:t>7-2020）</w:t>
                  </w:r>
                  <w:r>
                    <w:rPr>
                      <w:rFonts w:hint="default" w:ascii="Times New Roman" w:hAnsi="Times New Roman" w:eastAsia="宋体" w:cs="Times New Roman"/>
                      <w:b w:val="0"/>
                      <w:bCs w:val="0"/>
                      <w:snapToGrid/>
                      <w:color w:val="auto"/>
                      <w:kern w:val="2"/>
                      <w:sz w:val="21"/>
                      <w:szCs w:val="21"/>
                      <w:highlight w:val="none"/>
                      <w:lang w:val="en-US" w:eastAsia="zh-CN"/>
                    </w:rPr>
                    <w:t>表1</w:t>
                  </w:r>
                  <w:r>
                    <w:rPr>
                      <w:rFonts w:hint="eastAsia" w:ascii="Times New Roman" w:hAnsi="Times New Roman" w:eastAsia="宋体" w:cs="Times New Roman"/>
                      <w:b w:val="0"/>
                      <w:bCs w:val="0"/>
                      <w:snapToGrid/>
                      <w:color w:val="auto"/>
                      <w:kern w:val="2"/>
                      <w:sz w:val="21"/>
                      <w:szCs w:val="21"/>
                      <w:highlight w:val="none"/>
                      <w:lang w:val="en-US" w:eastAsia="zh-CN"/>
                    </w:rPr>
                    <w:t>柔印</w:t>
                  </w:r>
                  <w:r>
                    <w:rPr>
                      <w:rFonts w:hint="default" w:ascii="Times New Roman" w:hAnsi="Times New Roman" w:eastAsia="宋体" w:cs="Times New Roman"/>
                      <w:b w:val="0"/>
                      <w:bCs w:val="0"/>
                      <w:snapToGrid/>
                      <w:color w:val="auto"/>
                      <w:kern w:val="2"/>
                      <w:sz w:val="21"/>
                      <w:szCs w:val="21"/>
                      <w:highlight w:val="none"/>
                      <w:lang w:val="en-US" w:eastAsia="zh-CN"/>
                    </w:rPr>
                    <w:t>油墨</w:t>
                  </w:r>
                  <w:r>
                    <w:rPr>
                      <w:rFonts w:hint="eastAsia" w:ascii="Times New Roman" w:hAnsi="Times New Roman" w:eastAsia="宋体" w:cs="Times New Roman"/>
                      <w:b w:val="0"/>
                      <w:bCs w:val="0"/>
                      <w:snapToGrid/>
                      <w:color w:val="auto"/>
                      <w:kern w:val="2"/>
                      <w:sz w:val="21"/>
                      <w:szCs w:val="21"/>
                      <w:highlight w:val="none"/>
                      <w:lang w:val="en-US" w:eastAsia="zh-CN"/>
                    </w:rPr>
                    <w:t>-吸收性承印物</w:t>
                  </w:r>
                  <w:r>
                    <w:rPr>
                      <w:rFonts w:hint="default" w:ascii="Times New Roman" w:hAnsi="Times New Roman" w:eastAsia="宋体" w:cs="Times New Roman"/>
                      <w:b w:val="0"/>
                      <w:bCs w:val="0"/>
                      <w:snapToGrid/>
                      <w:color w:val="auto"/>
                      <w:kern w:val="2"/>
                      <w:sz w:val="21"/>
                      <w:szCs w:val="21"/>
                      <w:highlight w:val="none"/>
                      <w:lang w:val="en-US" w:eastAsia="zh-CN"/>
                    </w:rPr>
                    <w:t>挥发性有机化合物（VOCs）限值≤</w:t>
                  </w:r>
                  <w:r>
                    <w:rPr>
                      <w:rFonts w:hint="eastAsia" w:ascii="Times New Roman" w:hAnsi="Times New Roman" w:eastAsia="宋体" w:cs="Times New Roman"/>
                      <w:b w:val="0"/>
                      <w:bCs w:val="0"/>
                      <w:snapToGrid/>
                      <w:color w:val="auto"/>
                      <w:kern w:val="2"/>
                      <w:sz w:val="21"/>
                      <w:szCs w:val="21"/>
                      <w:highlight w:val="none"/>
                      <w:lang w:val="en-US" w:eastAsia="zh-CN"/>
                    </w:rPr>
                    <w:t>5</w:t>
                  </w:r>
                  <w:r>
                    <w:rPr>
                      <w:rFonts w:hint="default" w:ascii="Times New Roman" w:hAnsi="Times New Roman" w:eastAsia="宋体" w:cs="Times New Roman"/>
                      <w:b w:val="0"/>
                      <w:bCs w:val="0"/>
                      <w:snapToGrid/>
                      <w:color w:val="auto"/>
                      <w:kern w:val="2"/>
                      <w:sz w:val="21"/>
                      <w:szCs w:val="21"/>
                      <w:highlight w:val="none"/>
                      <w:lang w:val="en-US" w:eastAsia="zh-CN"/>
                    </w:rPr>
                    <w:t>%</w:t>
                  </w:r>
                  <w:r>
                    <w:rPr>
                      <w:rFonts w:hint="eastAsia" w:ascii="Times New Roman" w:hAnsi="Times New Roman" w:eastAsia="宋体" w:cs="Times New Roman"/>
                      <w:b w:val="0"/>
                      <w:bCs w:val="0"/>
                      <w:snapToGrid/>
                      <w:color w:val="auto"/>
                      <w:kern w:val="2"/>
                      <w:sz w:val="21"/>
                      <w:szCs w:val="21"/>
                      <w:highlight w:val="none"/>
                      <w:lang w:val="en-US" w:eastAsia="zh-CN"/>
                    </w:rPr>
                    <w:t>的</w:t>
                  </w:r>
                  <w:r>
                    <w:rPr>
                      <w:rFonts w:hint="eastAsia"/>
                      <w:color w:val="auto"/>
                      <w:sz w:val="21"/>
                      <w:szCs w:val="21"/>
                    </w:rPr>
                    <w:t>限值要求</w:t>
                  </w:r>
                  <w:r>
                    <w:rPr>
                      <w:color w:val="auto"/>
                      <w:sz w:val="21"/>
                      <w:szCs w:val="21"/>
                    </w:rPr>
                    <w:t>，因此项目使用的</w:t>
                  </w:r>
                  <w:r>
                    <w:rPr>
                      <w:rFonts w:hint="eastAsia"/>
                      <w:color w:val="auto"/>
                      <w:sz w:val="21"/>
                      <w:szCs w:val="21"/>
                      <w:lang w:val="en-US" w:eastAsia="zh-CN"/>
                    </w:rPr>
                    <w:t>油墨</w:t>
                  </w:r>
                  <w:r>
                    <w:rPr>
                      <w:color w:val="auto"/>
                      <w:sz w:val="21"/>
                      <w:szCs w:val="21"/>
                    </w:rPr>
                    <w:t>属于低VOCs含量的</w:t>
                  </w:r>
                  <w:r>
                    <w:rPr>
                      <w:rFonts w:hint="eastAsia"/>
                      <w:color w:val="auto"/>
                      <w:sz w:val="21"/>
                      <w:szCs w:val="21"/>
                      <w:lang w:val="en-US" w:eastAsia="zh-CN"/>
                    </w:rPr>
                    <w:t>油墨</w:t>
                  </w:r>
                  <w:r>
                    <w:rPr>
                      <w:color w:val="auto"/>
                      <w:sz w:val="21"/>
                      <w:szCs w:val="21"/>
                    </w:rPr>
                    <w:t>。</w:t>
                  </w:r>
                </w:p>
                <w:p>
                  <w:pPr>
                    <w:numPr>
                      <w:ilvl w:val="0"/>
                      <w:numId w:val="1"/>
                    </w:numPr>
                    <w:autoSpaceDE w:val="0"/>
                    <w:autoSpaceDN w:val="0"/>
                    <w:adjustRightInd w:val="0"/>
                    <w:snapToGrid w:val="0"/>
                    <w:jc w:val="center"/>
                    <w:rPr>
                      <w:color w:val="auto"/>
                      <w:sz w:val="21"/>
                      <w:szCs w:val="21"/>
                    </w:rPr>
                  </w:pPr>
                  <w:r>
                    <w:rPr>
                      <w:rFonts w:hint="eastAsia"/>
                      <w:color w:val="auto"/>
                      <w:sz w:val="21"/>
                      <w:szCs w:val="21"/>
                      <w:lang w:val="en-US" w:eastAsia="zh-CN"/>
                    </w:rPr>
                    <w:t>本</w:t>
                  </w:r>
                  <w:r>
                    <w:rPr>
                      <w:color w:val="auto"/>
                      <w:sz w:val="21"/>
                      <w:szCs w:val="21"/>
                    </w:rPr>
                    <w:t>项目使用的</w:t>
                  </w:r>
                  <w:r>
                    <w:rPr>
                      <w:rFonts w:hint="eastAsia"/>
                      <w:color w:val="auto"/>
                      <w:sz w:val="21"/>
                      <w:szCs w:val="21"/>
                    </w:rPr>
                    <w:t>白乳胶</w:t>
                  </w:r>
                  <w:r>
                    <w:rPr>
                      <w:color w:val="auto"/>
                      <w:sz w:val="21"/>
                      <w:szCs w:val="21"/>
                    </w:rPr>
                    <w:t>中挥发性有机物含量为</w:t>
                  </w:r>
                  <w:r>
                    <w:rPr>
                      <w:rFonts w:hint="eastAsia"/>
                      <w:color w:val="auto"/>
                      <w:sz w:val="21"/>
                      <w:szCs w:val="21"/>
                      <w:lang w:val="en-US" w:eastAsia="zh-CN"/>
                    </w:rPr>
                    <w:t>41</w:t>
                  </w:r>
                  <w:r>
                    <w:rPr>
                      <w:color w:val="auto"/>
                      <w:sz w:val="21"/>
                      <w:szCs w:val="21"/>
                    </w:rPr>
                    <w:t>g/L</w:t>
                  </w:r>
                  <w:r>
                    <w:rPr>
                      <w:rFonts w:hint="eastAsia"/>
                      <w:color w:val="auto"/>
                      <w:sz w:val="21"/>
                      <w:szCs w:val="21"/>
                    </w:rPr>
                    <w:t>，满足</w:t>
                  </w:r>
                  <w:r>
                    <w:rPr>
                      <w:color w:val="auto"/>
                      <w:sz w:val="21"/>
                      <w:szCs w:val="21"/>
                    </w:rPr>
                    <w:t>《胶黏剂挥发性有机化合物限量》（GB 33372-2020）</w:t>
                  </w:r>
                  <w:r>
                    <w:rPr>
                      <w:rFonts w:hint="eastAsia"/>
                      <w:color w:val="auto"/>
                      <w:sz w:val="21"/>
                      <w:szCs w:val="21"/>
                    </w:rPr>
                    <w:t>表2中其他类水基型胶粘剂中</w:t>
                  </w:r>
                  <w:r>
                    <w:rPr>
                      <w:color w:val="auto"/>
                      <w:sz w:val="21"/>
                      <w:szCs w:val="21"/>
                    </w:rPr>
                    <w:t>挥发性有机物</w:t>
                  </w:r>
                  <w:r>
                    <w:rPr>
                      <w:rFonts w:hint="eastAsia"/>
                      <w:color w:val="auto"/>
                      <w:sz w:val="21"/>
                      <w:szCs w:val="21"/>
                    </w:rPr>
                    <w:t>限量（</w:t>
                  </w:r>
                  <w:r>
                    <w:rPr>
                      <w:color w:val="auto"/>
                      <w:sz w:val="21"/>
                      <w:szCs w:val="21"/>
                    </w:rPr>
                    <w:t>≤</w:t>
                  </w:r>
                  <w:r>
                    <w:rPr>
                      <w:rFonts w:hint="eastAsia"/>
                      <w:color w:val="auto"/>
                      <w:sz w:val="21"/>
                      <w:szCs w:val="21"/>
                    </w:rPr>
                    <w:t>50</w:t>
                  </w:r>
                  <w:r>
                    <w:rPr>
                      <w:color w:val="auto"/>
                      <w:sz w:val="21"/>
                      <w:szCs w:val="21"/>
                    </w:rPr>
                    <w:t>g/L</w:t>
                  </w:r>
                  <w:r>
                    <w:rPr>
                      <w:rFonts w:hint="eastAsia"/>
                      <w:color w:val="auto"/>
                      <w:sz w:val="21"/>
                      <w:szCs w:val="21"/>
                    </w:rPr>
                    <w:t>）</w:t>
                  </w:r>
                  <w:r>
                    <w:rPr>
                      <w:color w:val="auto"/>
                      <w:sz w:val="21"/>
                      <w:szCs w:val="21"/>
                    </w:rPr>
                    <w:t>的要求</w:t>
                  </w:r>
                  <w:r>
                    <w:rPr>
                      <w:rFonts w:hint="eastAsia"/>
                      <w:color w:val="auto"/>
                      <w:sz w:val="21"/>
                      <w:szCs w:val="21"/>
                    </w:rPr>
                    <w:t>。</w:t>
                  </w:r>
                  <w:r>
                    <w:rPr>
                      <w:color w:val="auto"/>
                      <w:sz w:val="21"/>
                      <w:szCs w:val="21"/>
                    </w:rPr>
                    <w:t>因此</w:t>
                  </w:r>
                  <w:r>
                    <w:rPr>
                      <w:rFonts w:hint="eastAsia"/>
                      <w:color w:val="auto"/>
                      <w:sz w:val="21"/>
                      <w:szCs w:val="21"/>
                      <w:lang w:val="en-US" w:eastAsia="zh-CN"/>
                    </w:rPr>
                    <w:t>本</w:t>
                  </w:r>
                  <w:r>
                    <w:rPr>
                      <w:color w:val="auto"/>
                      <w:sz w:val="21"/>
                      <w:szCs w:val="21"/>
                    </w:rPr>
                    <w:t>项目使用的</w:t>
                  </w:r>
                  <w:r>
                    <w:rPr>
                      <w:rFonts w:hint="eastAsia"/>
                      <w:color w:val="auto"/>
                      <w:sz w:val="21"/>
                      <w:szCs w:val="21"/>
                      <w:highlight w:val="none"/>
                    </w:rPr>
                    <w:t>白乳胶</w:t>
                  </w:r>
                  <w:r>
                    <w:rPr>
                      <w:color w:val="auto"/>
                      <w:sz w:val="21"/>
                      <w:szCs w:val="21"/>
                    </w:rPr>
                    <w:t>属于低VOCs含量的胶黏剂，属于环保型胶黏剂</w:t>
                  </w:r>
                  <w:r>
                    <w:rPr>
                      <w:rFonts w:hint="eastAsia"/>
                      <w:color w:val="auto"/>
                      <w:sz w:val="21"/>
                      <w:szCs w:val="21"/>
                    </w:rPr>
                    <w:t>。</w:t>
                  </w:r>
                </w:p>
                <w:p>
                  <w:pPr>
                    <w:numPr>
                      <w:ilvl w:val="0"/>
                      <w:numId w:val="1"/>
                    </w:numPr>
                    <w:autoSpaceDE w:val="0"/>
                    <w:autoSpaceDN w:val="0"/>
                    <w:adjustRightInd w:val="0"/>
                    <w:snapToGrid w:val="0"/>
                    <w:jc w:val="center"/>
                    <w:rPr>
                      <w:color w:val="auto"/>
                      <w:sz w:val="18"/>
                      <w:szCs w:val="18"/>
                    </w:rPr>
                  </w:pPr>
                  <w:r>
                    <w:rPr>
                      <w:rFonts w:hint="eastAsia"/>
                      <w:color w:val="auto"/>
                      <w:sz w:val="21"/>
                      <w:szCs w:val="21"/>
                      <w:lang w:val="en-US" w:eastAsia="zh-CN"/>
                    </w:rPr>
                    <w:t>本</w:t>
                  </w:r>
                  <w:r>
                    <w:rPr>
                      <w:color w:val="auto"/>
                      <w:sz w:val="21"/>
                      <w:szCs w:val="21"/>
                    </w:rPr>
                    <w:t>项目不属于重点行业，通过对生产设备在车间的合理布局，提高废气收集的效率（收集效率可达</w:t>
                  </w:r>
                  <w:r>
                    <w:rPr>
                      <w:rFonts w:hint="eastAsia"/>
                      <w:color w:val="auto"/>
                      <w:sz w:val="21"/>
                      <w:szCs w:val="21"/>
                      <w:lang w:val="en-US" w:eastAsia="zh-CN"/>
                    </w:rPr>
                    <w:t>80</w:t>
                  </w:r>
                  <w:r>
                    <w:rPr>
                      <w:color w:val="auto"/>
                      <w:sz w:val="21"/>
                      <w:szCs w:val="21"/>
                    </w:rPr>
                    <w:t>%）</w:t>
                  </w:r>
                  <w:r>
                    <w:rPr>
                      <w:rFonts w:hint="eastAsia"/>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56" w:type="pct"/>
                  <w:noWrap w:val="0"/>
                  <w:vAlign w:val="center"/>
                </w:tcPr>
                <w:p>
                  <w:pPr>
                    <w:pStyle w:val="6"/>
                    <w:adjustRightInd w:val="0"/>
                    <w:snapToGrid w:val="0"/>
                    <w:ind w:firstLine="0" w:firstLineChars="0"/>
                    <w:jc w:val="center"/>
                    <w:rPr>
                      <w:color w:val="auto"/>
                      <w:sz w:val="18"/>
                      <w:szCs w:val="18"/>
                      <w:lang w:val="en-US" w:eastAsia="zh-CN"/>
                    </w:rPr>
                  </w:pPr>
                  <w:r>
                    <w:rPr>
                      <w:rFonts w:hint="eastAsia"/>
                      <w:color w:val="auto"/>
                      <w:sz w:val="18"/>
                      <w:szCs w:val="18"/>
                      <w:lang w:val="en-US" w:eastAsia="zh-CN"/>
                    </w:rPr>
                    <w:t>2</w:t>
                  </w:r>
                </w:p>
              </w:tc>
              <w:tc>
                <w:tcPr>
                  <w:tcW w:w="908" w:type="pct"/>
                  <w:noWrap w:val="0"/>
                  <w:vAlign w:val="center"/>
                </w:tcPr>
                <w:p>
                  <w:pPr>
                    <w:pStyle w:val="6"/>
                    <w:adjustRightInd w:val="0"/>
                    <w:snapToGrid w:val="0"/>
                    <w:ind w:firstLine="0" w:firstLineChars="0"/>
                    <w:jc w:val="center"/>
                    <w:rPr>
                      <w:color w:val="auto"/>
                      <w:sz w:val="21"/>
                      <w:szCs w:val="21"/>
                      <w:lang w:val="en-US" w:eastAsia="zh-CN"/>
                    </w:rPr>
                  </w:pPr>
                  <w:r>
                    <w:rPr>
                      <w:color w:val="auto"/>
                      <w:sz w:val="21"/>
                      <w:szCs w:val="21"/>
                      <w:lang w:val="en-US" w:eastAsia="zh-CN"/>
                    </w:rPr>
                    <w:t>《南通市2021年深入打好污染防治攻坚计划》（通政办发〔2021〕16号）</w:t>
                  </w:r>
                </w:p>
              </w:tc>
              <w:tc>
                <w:tcPr>
                  <w:tcW w:w="2839" w:type="pct"/>
                  <w:noWrap w:val="0"/>
                  <w:vAlign w:val="center"/>
                </w:tcPr>
                <w:p>
                  <w:pPr>
                    <w:pStyle w:val="6"/>
                    <w:adjustRightInd w:val="0"/>
                    <w:snapToGrid w:val="0"/>
                    <w:ind w:firstLine="0" w:firstLineChars="0"/>
                    <w:jc w:val="center"/>
                    <w:rPr>
                      <w:color w:val="auto"/>
                      <w:sz w:val="21"/>
                      <w:szCs w:val="21"/>
                      <w:lang w:val="en-US" w:eastAsia="zh-CN"/>
                    </w:rPr>
                  </w:pPr>
                  <w:r>
                    <w:rPr>
                      <w:color w:val="auto"/>
                      <w:sz w:val="21"/>
                      <w:szCs w:val="21"/>
                      <w:lang w:val="en-US" w:eastAsia="zh-CN"/>
                    </w:rPr>
                    <w:t>12.严格执行产品有害物质含量限值强制性标准。全面执行各类涂料、胶黏剂、清洗剂等产品有害物质含量限值相关强制性国家标准，开展相关强制性质量标准实施情况监督抽查。13.大力推进源头替代。以减少苯、甲苯、二甲苯等溶剂和助剂的使用为重点，推进低VOCs含量、低反应活性原辅材料和产品的替代。禁止建设生产和使用高VOCs含量的溶剂型涂料、油墨、胶黏剂等项目。</w:t>
                  </w:r>
                </w:p>
              </w:tc>
              <w:tc>
                <w:tcPr>
                  <w:tcW w:w="896" w:type="pct"/>
                  <w:vMerge w:val="continue"/>
                  <w:noWrap w:val="0"/>
                  <w:vAlign w:val="center"/>
                </w:tcPr>
                <w:p>
                  <w:pPr>
                    <w:pStyle w:val="6"/>
                    <w:adjustRightInd w:val="0"/>
                    <w:snapToGrid w:val="0"/>
                    <w:ind w:firstLine="0" w:firstLineChars="0"/>
                    <w:jc w:val="center"/>
                    <w:rPr>
                      <w:color w:val="auto"/>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56" w:type="pct"/>
                  <w:noWrap w:val="0"/>
                  <w:vAlign w:val="center"/>
                </w:tcPr>
                <w:p>
                  <w:pPr>
                    <w:pStyle w:val="6"/>
                    <w:adjustRightInd w:val="0"/>
                    <w:snapToGrid w:val="0"/>
                    <w:ind w:firstLine="0" w:firstLineChars="0"/>
                    <w:jc w:val="center"/>
                    <w:rPr>
                      <w:color w:val="auto"/>
                      <w:sz w:val="18"/>
                      <w:szCs w:val="18"/>
                      <w:lang w:val="en-US" w:eastAsia="zh-CN"/>
                    </w:rPr>
                  </w:pPr>
                  <w:r>
                    <w:rPr>
                      <w:rFonts w:hint="eastAsia"/>
                      <w:color w:val="auto"/>
                      <w:sz w:val="18"/>
                      <w:szCs w:val="18"/>
                      <w:lang w:val="en-US" w:eastAsia="zh-CN"/>
                    </w:rPr>
                    <w:t>3</w:t>
                  </w:r>
                </w:p>
              </w:tc>
              <w:tc>
                <w:tcPr>
                  <w:tcW w:w="908" w:type="pct"/>
                  <w:noWrap w:val="0"/>
                  <w:vAlign w:val="center"/>
                </w:tcPr>
                <w:p>
                  <w:pPr>
                    <w:pStyle w:val="6"/>
                    <w:adjustRightInd w:val="0"/>
                    <w:snapToGrid w:val="0"/>
                    <w:ind w:firstLine="0" w:firstLineChars="0"/>
                    <w:jc w:val="center"/>
                    <w:rPr>
                      <w:color w:val="auto"/>
                      <w:sz w:val="21"/>
                      <w:szCs w:val="21"/>
                      <w:lang w:val="en-US" w:eastAsia="zh-CN"/>
                    </w:rPr>
                  </w:pPr>
                  <w:r>
                    <w:rPr>
                      <w:color w:val="auto"/>
                      <w:kern w:val="0"/>
                      <w:sz w:val="21"/>
                      <w:szCs w:val="21"/>
                      <w:lang w:val="en-US" w:eastAsia="zh-CN"/>
                    </w:rPr>
                    <w:t>《</w:t>
                  </w:r>
                  <w:r>
                    <w:rPr>
                      <w:rFonts w:hint="eastAsia"/>
                      <w:color w:val="auto"/>
                      <w:kern w:val="0"/>
                      <w:sz w:val="21"/>
                      <w:szCs w:val="21"/>
                      <w:lang w:val="en-US" w:eastAsia="zh-CN"/>
                    </w:rPr>
                    <w:t>省大气办关于印发</w:t>
                  </w:r>
                  <w:r>
                    <w:rPr>
                      <w:color w:val="auto"/>
                      <w:kern w:val="0"/>
                      <w:sz w:val="21"/>
                      <w:szCs w:val="21"/>
                      <w:lang w:val="en-US" w:eastAsia="zh-CN"/>
                    </w:rPr>
                    <w:t>江苏省</w:t>
                  </w:r>
                  <w:r>
                    <w:rPr>
                      <w:rFonts w:hint="eastAsia"/>
                      <w:color w:val="auto"/>
                      <w:kern w:val="0"/>
                      <w:sz w:val="21"/>
                      <w:szCs w:val="21"/>
                      <w:lang w:val="en-US" w:eastAsia="zh-CN"/>
                    </w:rPr>
                    <w:t>重点行业</w:t>
                  </w:r>
                  <w:r>
                    <w:rPr>
                      <w:color w:val="auto"/>
                      <w:kern w:val="0"/>
                      <w:sz w:val="21"/>
                      <w:szCs w:val="21"/>
                      <w:lang w:val="en-US" w:eastAsia="zh-CN"/>
                    </w:rPr>
                    <w:t>挥发性有机物清洁原料替代工作方案</w:t>
                  </w:r>
                  <w:r>
                    <w:rPr>
                      <w:rFonts w:hint="eastAsia"/>
                      <w:color w:val="auto"/>
                      <w:kern w:val="0"/>
                      <w:sz w:val="21"/>
                      <w:szCs w:val="21"/>
                      <w:lang w:val="en-US" w:eastAsia="zh-CN"/>
                    </w:rPr>
                    <w:t>的通知</w:t>
                  </w:r>
                  <w:r>
                    <w:rPr>
                      <w:color w:val="auto"/>
                      <w:kern w:val="0"/>
                      <w:sz w:val="21"/>
                      <w:szCs w:val="21"/>
                      <w:lang w:val="en-US" w:eastAsia="zh-CN"/>
                    </w:rPr>
                    <w:t>》</w:t>
                  </w:r>
                </w:p>
              </w:tc>
              <w:tc>
                <w:tcPr>
                  <w:tcW w:w="2839" w:type="pct"/>
                  <w:noWrap w:val="0"/>
                  <w:vAlign w:val="center"/>
                </w:tcPr>
                <w:p>
                  <w:pPr>
                    <w:pStyle w:val="6"/>
                    <w:adjustRightInd w:val="0"/>
                    <w:snapToGrid w:val="0"/>
                    <w:ind w:firstLine="0" w:firstLineChars="0"/>
                    <w:jc w:val="center"/>
                    <w:rPr>
                      <w:color w:val="auto"/>
                      <w:sz w:val="21"/>
                      <w:szCs w:val="21"/>
                      <w:lang w:val="en-US" w:eastAsia="zh-CN"/>
                    </w:rPr>
                  </w:pPr>
                  <w:r>
                    <w:rPr>
                      <w:rFonts w:hint="eastAsia"/>
                      <w:color w:val="auto"/>
                      <w:sz w:val="21"/>
                      <w:szCs w:val="21"/>
                      <w:lang w:val="en-US" w:eastAsia="zh-CN"/>
                    </w:rPr>
                    <w:t>禁止建设生产和使用高VOC</w:t>
                  </w:r>
                  <w:r>
                    <w:rPr>
                      <w:rFonts w:hint="eastAsia"/>
                      <w:color w:val="auto"/>
                      <w:sz w:val="21"/>
                      <w:szCs w:val="21"/>
                      <w:vertAlign w:val="subscript"/>
                      <w:lang w:val="en-US" w:eastAsia="zh-CN"/>
                    </w:rPr>
                    <w:t>s</w:t>
                  </w:r>
                  <w:r>
                    <w:rPr>
                      <w:rFonts w:hint="eastAsia"/>
                      <w:color w:val="auto"/>
                      <w:sz w:val="21"/>
                      <w:szCs w:val="21"/>
                      <w:lang w:val="en-US" w:eastAsia="zh-CN"/>
                    </w:rPr>
                    <w:t>含量的涂料、油墨、胶黏剂等项目。</w:t>
                  </w:r>
                </w:p>
              </w:tc>
              <w:tc>
                <w:tcPr>
                  <w:tcW w:w="896" w:type="pct"/>
                  <w:vMerge w:val="continue"/>
                  <w:noWrap w:val="0"/>
                  <w:vAlign w:val="center"/>
                </w:tcPr>
                <w:p>
                  <w:pPr>
                    <w:pStyle w:val="6"/>
                    <w:adjustRightInd w:val="0"/>
                    <w:snapToGrid w:val="0"/>
                    <w:ind w:firstLine="0" w:firstLineChars="0"/>
                    <w:jc w:val="center"/>
                    <w:rPr>
                      <w:color w:val="auto"/>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56" w:type="pct"/>
                  <w:noWrap w:val="0"/>
                  <w:vAlign w:val="center"/>
                </w:tcPr>
                <w:p>
                  <w:pPr>
                    <w:pStyle w:val="6"/>
                    <w:adjustRightInd w:val="0"/>
                    <w:snapToGrid w:val="0"/>
                    <w:ind w:firstLine="0" w:firstLineChars="0"/>
                    <w:jc w:val="center"/>
                    <w:rPr>
                      <w:color w:val="auto"/>
                      <w:sz w:val="18"/>
                      <w:szCs w:val="18"/>
                      <w:lang w:val="en-US" w:eastAsia="zh-CN"/>
                    </w:rPr>
                  </w:pPr>
                  <w:r>
                    <w:rPr>
                      <w:rFonts w:hint="eastAsia"/>
                      <w:color w:val="auto"/>
                      <w:sz w:val="18"/>
                      <w:szCs w:val="18"/>
                      <w:lang w:val="en-US" w:eastAsia="zh-CN"/>
                    </w:rPr>
                    <w:t>4</w:t>
                  </w:r>
                </w:p>
              </w:tc>
              <w:tc>
                <w:tcPr>
                  <w:tcW w:w="908" w:type="pct"/>
                  <w:noWrap w:val="0"/>
                  <w:vAlign w:val="center"/>
                </w:tcPr>
                <w:p>
                  <w:pPr>
                    <w:pStyle w:val="6"/>
                    <w:adjustRightInd w:val="0"/>
                    <w:snapToGrid w:val="0"/>
                    <w:ind w:firstLine="0" w:firstLineChars="0"/>
                    <w:jc w:val="center"/>
                    <w:rPr>
                      <w:color w:val="auto"/>
                      <w:sz w:val="21"/>
                      <w:szCs w:val="21"/>
                      <w:lang w:val="en-US" w:eastAsia="zh-CN"/>
                    </w:rPr>
                  </w:pPr>
                  <w:r>
                    <w:rPr>
                      <w:color w:val="auto"/>
                      <w:kern w:val="0"/>
                      <w:sz w:val="21"/>
                      <w:szCs w:val="21"/>
                      <w:lang w:val="en-US" w:eastAsia="zh-CN"/>
                    </w:rPr>
                    <w:t>《江苏省挥发性有机物清洁原料替代工作方案》的通知（苏大气办〔2021〕2号）</w:t>
                  </w:r>
                </w:p>
              </w:tc>
              <w:tc>
                <w:tcPr>
                  <w:tcW w:w="2839" w:type="pct"/>
                  <w:noWrap w:val="0"/>
                  <w:vAlign w:val="center"/>
                </w:tcPr>
                <w:p>
                  <w:pPr>
                    <w:pStyle w:val="6"/>
                    <w:adjustRightInd w:val="0"/>
                    <w:snapToGrid w:val="0"/>
                    <w:ind w:firstLine="0" w:firstLineChars="0"/>
                    <w:jc w:val="center"/>
                    <w:rPr>
                      <w:color w:val="auto"/>
                      <w:sz w:val="21"/>
                      <w:szCs w:val="21"/>
                      <w:lang w:val="en-US" w:eastAsia="zh-CN"/>
                    </w:rPr>
                  </w:pPr>
                  <w:r>
                    <w:rPr>
                      <w:color w:val="auto"/>
                      <w:kern w:val="0"/>
                      <w:sz w:val="21"/>
                      <w:szCs w:val="21"/>
                      <w:lang w:val="en-US" w:eastAsia="zh-CN"/>
                    </w:rPr>
                    <w:t>（二）严格准入条件。禁止建设生产和使用高VOCs含量的涂料、油墨、胶黏剂等项目。2021年起，全省工业涂装、包装印刷、纺织、木材加工等行业以及涂料、油墨等企业的新（改、扩）建项目需满足低（无）VOCs含量限值要求。</w:t>
                  </w:r>
                </w:p>
              </w:tc>
              <w:tc>
                <w:tcPr>
                  <w:tcW w:w="896" w:type="pct"/>
                  <w:vMerge w:val="continue"/>
                  <w:noWrap w:val="0"/>
                  <w:vAlign w:val="center"/>
                </w:tcPr>
                <w:p>
                  <w:pPr>
                    <w:pStyle w:val="6"/>
                    <w:adjustRightInd w:val="0"/>
                    <w:snapToGrid w:val="0"/>
                    <w:ind w:firstLine="0" w:firstLineChars="0"/>
                    <w:jc w:val="center"/>
                    <w:rPr>
                      <w:color w:val="auto"/>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56" w:type="pct"/>
                  <w:noWrap w:val="0"/>
                  <w:vAlign w:val="center"/>
                </w:tcPr>
                <w:p>
                  <w:pPr>
                    <w:pStyle w:val="6"/>
                    <w:adjustRightInd w:val="0"/>
                    <w:snapToGrid w:val="0"/>
                    <w:ind w:firstLine="0" w:firstLineChars="0"/>
                    <w:jc w:val="center"/>
                    <w:rPr>
                      <w:rFonts w:hint="default"/>
                      <w:color w:val="auto"/>
                      <w:sz w:val="18"/>
                      <w:szCs w:val="18"/>
                      <w:lang w:val="en-US" w:eastAsia="zh-CN"/>
                    </w:rPr>
                  </w:pPr>
                  <w:r>
                    <w:rPr>
                      <w:rFonts w:hint="eastAsia"/>
                      <w:color w:val="auto"/>
                      <w:sz w:val="18"/>
                      <w:szCs w:val="18"/>
                      <w:lang w:val="en-US" w:eastAsia="zh-CN"/>
                    </w:rPr>
                    <w:t>5</w:t>
                  </w:r>
                </w:p>
              </w:tc>
              <w:tc>
                <w:tcPr>
                  <w:tcW w:w="908" w:type="pct"/>
                  <w:noWrap w:val="0"/>
                  <w:vAlign w:val="center"/>
                </w:tcPr>
                <w:p>
                  <w:pPr>
                    <w:pStyle w:val="6"/>
                    <w:adjustRightInd w:val="0"/>
                    <w:snapToGrid w:val="0"/>
                    <w:ind w:firstLine="0" w:firstLineChars="0"/>
                    <w:jc w:val="center"/>
                    <w:rPr>
                      <w:color w:val="auto"/>
                      <w:kern w:val="0"/>
                      <w:sz w:val="21"/>
                      <w:szCs w:val="21"/>
                      <w:lang w:val="en-US" w:eastAsia="zh-CN"/>
                    </w:rPr>
                  </w:pPr>
                  <w:r>
                    <w:rPr>
                      <w:rFonts w:ascii="Times New Roman" w:hAnsi="Times New Roman"/>
                      <w:color w:val="000000"/>
                      <w:sz w:val="21"/>
                      <w:szCs w:val="21"/>
                    </w:rPr>
                    <w:t>市政府办公室关于印发海安市“十四五”生态建设与环境保护规划（2021-2025年）的通知</w:t>
                  </w:r>
                </w:p>
              </w:tc>
              <w:tc>
                <w:tcPr>
                  <w:tcW w:w="2839" w:type="pct"/>
                  <w:noWrap w:val="0"/>
                  <w:vAlign w:val="center"/>
                </w:tcPr>
                <w:p>
                  <w:pPr>
                    <w:pStyle w:val="6"/>
                    <w:adjustRightInd w:val="0"/>
                    <w:snapToGrid w:val="0"/>
                    <w:ind w:firstLine="0" w:firstLineChars="0"/>
                    <w:jc w:val="center"/>
                    <w:rPr>
                      <w:color w:val="auto"/>
                      <w:kern w:val="0"/>
                      <w:sz w:val="21"/>
                      <w:szCs w:val="21"/>
                      <w:lang w:val="en-US" w:eastAsia="zh-CN"/>
                    </w:rPr>
                  </w:pPr>
                  <w:r>
                    <w:rPr>
                      <w:rFonts w:ascii="Times New Roman" w:hAnsi="Times New Roman"/>
                      <w:color w:val="000000"/>
                      <w:sz w:val="21"/>
                      <w:szCs w:val="21"/>
                    </w:rPr>
                    <w:t>加大VOCs治理力度。大力推进源头替代，以减少苯、甲苯、二甲苯等溶剂和助剂的使用为重点，推进低VOCs含量、低反应活性原辅材料和产品的替代，实现南通晓星变压器有限公司、凯琦森家具海安有限公司等20个企业低VOCs清洁原料替代。深化重点行业VOCs深度治理，推进大气“绿岛”废活性炭集中脱附中心建设，开展家具、机械制造等工业涂装行业VOCs专项整治，开展恒泽安装工程股份有限公司、南通盛品钢结构有限公司等14个工业企业VOCs深度治理。</w:t>
                  </w:r>
                </w:p>
              </w:tc>
              <w:tc>
                <w:tcPr>
                  <w:tcW w:w="896" w:type="pct"/>
                  <w:vMerge w:val="continue"/>
                  <w:noWrap w:val="0"/>
                  <w:vAlign w:val="center"/>
                </w:tcPr>
                <w:p>
                  <w:pPr>
                    <w:pStyle w:val="6"/>
                    <w:adjustRightInd w:val="0"/>
                    <w:snapToGrid w:val="0"/>
                    <w:ind w:firstLine="0" w:firstLineChars="0"/>
                    <w:jc w:val="center"/>
                    <w:rPr>
                      <w:color w:val="auto"/>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56" w:type="pct"/>
                  <w:noWrap w:val="0"/>
                  <w:vAlign w:val="center"/>
                </w:tcPr>
                <w:p>
                  <w:pPr>
                    <w:pStyle w:val="6"/>
                    <w:adjustRightInd w:val="0"/>
                    <w:snapToGrid w:val="0"/>
                    <w:ind w:firstLine="0" w:firstLineChars="0"/>
                    <w:jc w:val="center"/>
                    <w:rPr>
                      <w:rFonts w:hint="default"/>
                      <w:color w:val="auto"/>
                      <w:sz w:val="18"/>
                      <w:szCs w:val="18"/>
                      <w:lang w:val="en-US" w:eastAsia="zh-CN"/>
                    </w:rPr>
                  </w:pPr>
                  <w:r>
                    <w:rPr>
                      <w:rFonts w:hint="eastAsia"/>
                      <w:color w:val="auto"/>
                      <w:sz w:val="18"/>
                      <w:szCs w:val="18"/>
                      <w:lang w:val="en-US" w:eastAsia="zh-CN"/>
                    </w:rPr>
                    <w:t>6</w:t>
                  </w:r>
                </w:p>
              </w:tc>
              <w:tc>
                <w:tcPr>
                  <w:tcW w:w="908" w:type="pct"/>
                  <w:noWrap w:val="0"/>
                  <w:vAlign w:val="center"/>
                </w:tcPr>
                <w:p>
                  <w:pPr>
                    <w:pStyle w:val="6"/>
                    <w:adjustRightInd w:val="0"/>
                    <w:snapToGrid w:val="0"/>
                    <w:ind w:firstLine="0" w:firstLineChars="0"/>
                    <w:jc w:val="center"/>
                    <w:rPr>
                      <w:rFonts w:ascii="Times New Roman" w:hAnsi="Times New Roman"/>
                      <w:color w:val="000000"/>
                      <w:sz w:val="21"/>
                      <w:szCs w:val="21"/>
                    </w:rPr>
                  </w:pPr>
                  <w:r>
                    <w:rPr>
                      <w:rStyle w:val="23"/>
                      <w:rFonts w:ascii="Times New Roman" w:hAnsi="Times New Roman"/>
                      <w:kern w:val="0"/>
                      <w:szCs w:val="21"/>
                    </w:rPr>
                    <w:t>《深入打好重污染天气消除、臭氧污染防治和柴油货车污染治理攻坚战行动方案》的通知 (环大气〔2022〕68号)</w:t>
                  </w:r>
                </w:p>
              </w:tc>
              <w:tc>
                <w:tcPr>
                  <w:tcW w:w="2839" w:type="pct"/>
                  <w:noWrap w:val="0"/>
                  <w:vAlign w:val="center"/>
                </w:tcPr>
                <w:p>
                  <w:pPr>
                    <w:pStyle w:val="6"/>
                    <w:adjustRightInd w:val="0"/>
                    <w:snapToGrid w:val="0"/>
                    <w:ind w:firstLine="0" w:firstLineChars="0"/>
                    <w:jc w:val="center"/>
                    <w:rPr>
                      <w:color w:val="auto"/>
                      <w:kern w:val="0"/>
                      <w:sz w:val="21"/>
                      <w:szCs w:val="21"/>
                      <w:lang w:val="en-US" w:eastAsia="zh-CN"/>
                    </w:rPr>
                  </w:pPr>
                  <w:r>
                    <w:rPr>
                      <w:rStyle w:val="23"/>
                      <w:rFonts w:ascii="Times New Roman" w:hAnsi="Times New Roman"/>
                      <w:kern w:val="0"/>
                      <w:szCs w:val="21"/>
                    </w:rPr>
                    <w:t>各地对溶剂型涂料、油墨、胶粘剂、清洗剂使用企业制定低VOCs含量原辅材料替代计划。全面推进汽车整车制造底漆、中涂、色漆使用低VOCs含量涂料；在木质 家具、汽车零部件、工程机械、钢结构、船舶制造技术成熟的工艺环节，大力推广使用低VOCs含量涂料，重点区域、中央企业加大使用比例。开展简易低效VOCs治理设施清理整治。各地全面梳理VOCs治理设施台账，分析治理技术、处理能力与 VOCs废气排放特征、组分等匹配性，对采用单一低温等离子、光氧化、光催化以及非水溶性VOCs废气采用单一喷淋吸收等治理技术且无法稳定达标的，加快推进升级改造，严把工程质量，确保达标排放。强化VOCs无组织排放整治。各地全面排查含 VOCs 物料储存、转移和输送、设备与管线组件、敞开液面以及工艺过程等环节无组织排放情况，对达不到相关标准要求的开展整治。石化、现代煤化工、制药、农药行业重点治理储罐配件失效、装载和污水处理密闭收集效果差、装置区废水预处理池和废水储罐废气未收集、LDAR不符合标准规范等问题；焦化行业重点治理酚氰废水处理未密闭、煤气管线及焦炉等装置泄漏等问题；工业涂装、包装印刷等行业重点治理集气罩收集效果差、含VOCs原辅材料和废料储存环节无组织排放等问题。</w:t>
                  </w:r>
                </w:p>
              </w:tc>
              <w:tc>
                <w:tcPr>
                  <w:tcW w:w="896" w:type="pct"/>
                  <w:vMerge w:val="continue"/>
                  <w:noWrap w:val="0"/>
                  <w:vAlign w:val="center"/>
                </w:tcPr>
                <w:p>
                  <w:pPr>
                    <w:pStyle w:val="6"/>
                    <w:adjustRightInd w:val="0"/>
                    <w:snapToGrid w:val="0"/>
                    <w:ind w:firstLine="0" w:firstLineChars="0"/>
                    <w:jc w:val="center"/>
                    <w:rPr>
                      <w:color w:val="auto"/>
                      <w:sz w:val="18"/>
                      <w:szCs w:val="18"/>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rFonts w:hint="eastAsia" w:eastAsia="宋体"/>
                <w:b/>
                <w:bCs/>
                <w:kern w:val="0"/>
                <w:sz w:val="24"/>
                <w:lang w:val="en-US" w:eastAsia="zh-CN"/>
              </w:rPr>
            </w:pPr>
            <w:r>
              <w:rPr>
                <w:rFonts w:hint="eastAsia"/>
                <w:b/>
                <w:bCs/>
                <w:kern w:val="0"/>
                <w:sz w:val="24"/>
                <w:lang w:val="en-US" w:eastAsia="zh-CN"/>
              </w:rPr>
              <w:t>5、</w:t>
            </w:r>
            <w:r>
              <w:rPr>
                <w:rFonts w:ascii="宋体" w:hAnsi="宋体" w:eastAsia="宋体" w:cs="宋体"/>
                <w:b/>
                <w:bCs/>
                <w:sz w:val="24"/>
                <w:szCs w:val="24"/>
              </w:rPr>
              <w:t>与</w:t>
            </w:r>
            <w:r>
              <w:rPr>
                <w:rFonts w:hint="eastAsia" w:ascii="宋体" w:hAnsi="宋体" w:eastAsia="宋体" w:cs="宋体"/>
                <w:b/>
                <w:bCs/>
                <w:sz w:val="24"/>
                <w:szCs w:val="24"/>
              </w:rPr>
              <w:t>《南通市关于加强减污降碳协同推进重点行业绿色发展的指导意见》</w:t>
            </w:r>
            <w:r>
              <w:rPr>
                <w:rFonts w:ascii="宋体" w:hAnsi="宋体" w:eastAsia="宋体" w:cs="宋体"/>
                <w:b/>
                <w:bCs/>
                <w:sz w:val="24"/>
                <w:szCs w:val="24"/>
              </w:rPr>
              <w:t>（通办</w:t>
            </w:r>
            <w:r>
              <w:rPr>
                <w:rFonts w:hint="default" w:ascii="Times New Roman" w:hAnsi="Times New Roman" w:eastAsia="宋体" w:cs="Times New Roman"/>
                <w:b/>
                <w:bCs/>
                <w:sz w:val="24"/>
                <w:szCs w:val="24"/>
              </w:rPr>
              <w:t>〔202</w:t>
            </w:r>
            <w:r>
              <w:rPr>
                <w:rFonts w:hint="eastAsia" w:cs="Times New Roman"/>
                <w:b/>
                <w:bCs/>
                <w:sz w:val="24"/>
                <w:szCs w:val="24"/>
                <w:lang w:val="en-US" w:eastAsia="zh-CN"/>
              </w:rPr>
              <w:t>4</w:t>
            </w:r>
            <w:r>
              <w:rPr>
                <w:rFonts w:hint="default" w:ascii="Times New Roman" w:hAnsi="Times New Roman" w:eastAsia="宋体" w:cs="Times New Roman"/>
                <w:b/>
                <w:bCs/>
                <w:sz w:val="24"/>
                <w:szCs w:val="24"/>
              </w:rPr>
              <w:t>〕</w:t>
            </w:r>
            <w:r>
              <w:rPr>
                <w:rFonts w:hint="eastAsia" w:cs="Times New Roman"/>
                <w:b/>
                <w:bCs/>
                <w:sz w:val="24"/>
                <w:szCs w:val="24"/>
                <w:lang w:val="en-US" w:eastAsia="zh-CN"/>
              </w:rPr>
              <w:t>6</w:t>
            </w:r>
            <w:r>
              <w:rPr>
                <w:rFonts w:hint="default" w:ascii="Times New Roman" w:hAnsi="Times New Roman" w:eastAsia="宋体" w:cs="Times New Roman"/>
                <w:b/>
                <w:bCs/>
                <w:sz w:val="24"/>
                <w:szCs w:val="24"/>
              </w:rPr>
              <w:t>号</w:t>
            </w:r>
            <w:r>
              <w:rPr>
                <w:rFonts w:ascii="宋体" w:hAnsi="宋体" w:eastAsia="宋体" w:cs="宋体"/>
                <w:b/>
                <w:bCs/>
                <w:sz w:val="24"/>
                <w:szCs w:val="24"/>
              </w:rPr>
              <w:t>）相符性分析</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Style w:val="23"/>
                <w:color w:val="auto"/>
                <w:kern w:val="0"/>
                <w:sz w:val="24"/>
              </w:rPr>
            </w:pPr>
            <w:r>
              <w:rPr>
                <w:rStyle w:val="23"/>
                <w:color w:val="auto"/>
                <w:kern w:val="0"/>
                <w:sz w:val="24"/>
              </w:rPr>
              <w:t>根据</w:t>
            </w:r>
            <w:r>
              <w:rPr>
                <w:rStyle w:val="23"/>
                <w:rFonts w:hint="eastAsia"/>
                <w:color w:val="auto"/>
                <w:kern w:val="0"/>
                <w:sz w:val="24"/>
              </w:rPr>
              <w:t>《南通市关于加强减污降碳协同推进重点行业绿色发展的指导意见》（通办〔2024〕6号）</w:t>
            </w:r>
            <w:r>
              <w:rPr>
                <w:rStyle w:val="23"/>
                <w:color w:val="auto"/>
                <w:kern w:val="0"/>
                <w:sz w:val="24"/>
              </w:rPr>
              <w:t>中的任务内容：</w:t>
            </w:r>
            <w:r>
              <w:rPr>
                <w:rStyle w:val="23"/>
                <w:rFonts w:hint="eastAsia"/>
                <w:color w:val="auto"/>
                <w:kern w:val="0"/>
                <w:sz w:val="24"/>
                <w:lang w:eastAsia="zh-CN"/>
              </w:rPr>
              <w:t>“</w:t>
            </w:r>
            <w:r>
              <w:rPr>
                <w:rStyle w:val="23"/>
                <w:rFonts w:hint="eastAsia"/>
                <w:color w:val="auto"/>
                <w:kern w:val="0"/>
                <w:sz w:val="24"/>
                <w:lang w:val="en-US" w:eastAsia="zh-CN"/>
              </w:rPr>
              <w:t>总体目标为：</w:t>
            </w:r>
            <w:r>
              <w:rPr>
                <w:rStyle w:val="23"/>
                <w:rFonts w:hint="eastAsia"/>
                <w:color w:val="auto"/>
                <w:kern w:val="0"/>
                <w:sz w:val="24"/>
              </w:rPr>
              <w:t>到2025年，全市产业结构和能源消费结构明显优化，绿色发展水平显著提升，产业链耦合共生、资源能源高效利用的绿色低碳循环体系初步建立，产业绿色发展的体制机制逐步完善，主要污染物排放总量明显减少，碳排放强度合理优化，生态环境持续改善，美丽南通建设成效初步显现。</w:t>
            </w:r>
            <w:r>
              <w:rPr>
                <w:rStyle w:val="23"/>
                <w:rFonts w:hint="eastAsia"/>
                <w:color w:val="auto"/>
                <w:kern w:val="0"/>
                <w:sz w:val="24"/>
                <w:lang w:val="en-US" w:eastAsia="zh-CN"/>
              </w:rPr>
              <w:t>①</w:t>
            </w:r>
            <w:r>
              <w:rPr>
                <w:rStyle w:val="23"/>
                <w:rFonts w:hint="eastAsia"/>
                <w:color w:val="auto"/>
                <w:kern w:val="0"/>
                <w:sz w:val="24"/>
              </w:rPr>
              <w:t>传统行业绿色发展水平明显提升。</w:t>
            </w:r>
            <w:r>
              <w:rPr>
                <w:rStyle w:val="23"/>
                <w:rFonts w:hint="eastAsia"/>
                <w:color w:val="auto"/>
                <w:kern w:val="0"/>
                <w:sz w:val="24"/>
                <w:lang w:val="en-US" w:eastAsia="zh-CN"/>
              </w:rPr>
              <w:t>②</w:t>
            </w:r>
            <w:r>
              <w:rPr>
                <w:rStyle w:val="23"/>
                <w:rFonts w:hint="eastAsia"/>
                <w:color w:val="auto"/>
                <w:kern w:val="0"/>
                <w:sz w:val="24"/>
              </w:rPr>
              <w:t>新兴产业空间布局规划更加合理。</w:t>
            </w:r>
            <w:r>
              <w:rPr>
                <w:rStyle w:val="23"/>
                <w:rFonts w:hint="eastAsia"/>
                <w:color w:val="auto"/>
                <w:kern w:val="0"/>
                <w:sz w:val="24"/>
                <w:lang w:val="en-US" w:eastAsia="zh-CN"/>
              </w:rPr>
              <w:t>③</w:t>
            </w:r>
            <w:r>
              <w:rPr>
                <w:rStyle w:val="23"/>
                <w:rFonts w:hint="eastAsia"/>
                <w:color w:val="auto"/>
                <w:kern w:val="0"/>
                <w:sz w:val="24"/>
              </w:rPr>
              <w:t>资源能源利用更加集约高效。</w:t>
            </w:r>
            <w:r>
              <w:rPr>
                <w:rStyle w:val="23"/>
                <w:rFonts w:hint="eastAsia"/>
                <w:color w:val="auto"/>
                <w:kern w:val="0"/>
                <w:sz w:val="24"/>
                <w:lang w:val="en-US" w:eastAsia="zh-CN"/>
              </w:rPr>
              <w:t>④</w:t>
            </w:r>
            <w:r>
              <w:rPr>
                <w:rStyle w:val="23"/>
                <w:rFonts w:hint="eastAsia"/>
                <w:color w:val="auto"/>
                <w:kern w:val="0"/>
                <w:sz w:val="24"/>
              </w:rPr>
              <w:t>绿色产业发展机制体制日益健全。</w:t>
            </w:r>
            <w:r>
              <w:rPr>
                <w:rStyle w:val="23"/>
                <w:rFonts w:hint="eastAsia"/>
                <w:color w:val="auto"/>
                <w:kern w:val="0"/>
                <w:sz w:val="24"/>
                <w:lang w:eastAsia="zh-CN"/>
              </w:rPr>
              <w:t>”“</w:t>
            </w:r>
            <w:r>
              <w:rPr>
                <w:rStyle w:val="23"/>
                <w:rFonts w:hint="eastAsia"/>
                <w:color w:val="auto"/>
                <w:kern w:val="0"/>
                <w:sz w:val="24"/>
                <w:lang w:val="en-US" w:eastAsia="zh-CN"/>
              </w:rPr>
              <w:t>分行业目标”分别对印染、装备制造、船舶海工、造纸、非金属制品、化工、电力与热力供应等八大行业提出了节能减排降碳的优化提升要求</w:t>
            </w:r>
            <w:r>
              <w:rPr>
                <w:rStyle w:val="23"/>
                <w:color w:val="auto"/>
                <w:kern w:val="0"/>
                <w:sz w:val="24"/>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Style w:val="23"/>
                <w:color w:val="auto"/>
                <w:kern w:val="0"/>
                <w:sz w:val="24"/>
              </w:rPr>
            </w:pPr>
            <w:r>
              <w:rPr>
                <w:rStyle w:val="23"/>
                <w:color w:val="auto"/>
                <w:kern w:val="0"/>
                <w:sz w:val="24"/>
              </w:rPr>
              <w:t>本项目为</w:t>
            </w:r>
            <w:r>
              <w:rPr>
                <w:rStyle w:val="23"/>
                <w:rFonts w:hint="eastAsia"/>
                <w:color w:val="auto"/>
                <w:kern w:val="0"/>
                <w:sz w:val="24"/>
                <w:lang w:val="en-US" w:eastAsia="zh-CN"/>
              </w:rPr>
              <w:t>智能包装制造项目</w:t>
            </w:r>
            <w:r>
              <w:rPr>
                <w:rStyle w:val="23"/>
                <w:color w:val="auto"/>
                <w:kern w:val="0"/>
                <w:sz w:val="24"/>
              </w:rPr>
              <w:t>，</w:t>
            </w:r>
            <w:r>
              <w:rPr>
                <w:rStyle w:val="23"/>
                <w:rFonts w:hint="eastAsia"/>
                <w:color w:val="auto"/>
                <w:kern w:val="0"/>
                <w:sz w:val="24"/>
                <w:lang w:val="en-US" w:eastAsia="zh-CN"/>
              </w:rPr>
              <w:t>项目的印刷、胶黏均采用低VOCS含量的水性墨、水性胶以及本体型胶黏剂，且有机废气</w:t>
            </w:r>
            <w:r>
              <w:rPr>
                <w:rStyle w:val="23"/>
                <w:rFonts w:hint="eastAsia"/>
                <w:color w:val="auto"/>
                <w:kern w:val="0"/>
                <w:sz w:val="24"/>
              </w:rPr>
              <w:t>废气经</w:t>
            </w:r>
            <w:r>
              <w:rPr>
                <w:rStyle w:val="23"/>
                <w:color w:val="auto"/>
                <w:kern w:val="0"/>
                <w:sz w:val="24"/>
              </w:rPr>
              <w:t>二级活性炭处理后通过</w:t>
            </w:r>
            <w:r>
              <w:rPr>
                <w:rStyle w:val="23"/>
                <w:rFonts w:hint="eastAsia"/>
                <w:color w:val="auto"/>
                <w:kern w:val="0"/>
                <w:sz w:val="24"/>
                <w:lang w:val="en-US" w:eastAsia="zh-CN"/>
              </w:rPr>
              <w:t>25</w:t>
            </w:r>
            <w:r>
              <w:rPr>
                <w:rStyle w:val="23"/>
                <w:color w:val="auto"/>
                <w:kern w:val="0"/>
                <w:sz w:val="24"/>
              </w:rPr>
              <w:t>m高</w:t>
            </w:r>
            <w:r>
              <w:rPr>
                <w:rStyle w:val="23"/>
                <w:rFonts w:hint="eastAsia"/>
                <w:color w:val="auto"/>
                <w:kern w:val="0"/>
                <w:sz w:val="24"/>
                <w:lang w:eastAsia="zh-CN"/>
              </w:rPr>
              <w:t>（</w:t>
            </w:r>
            <w:r>
              <w:rPr>
                <w:rStyle w:val="23"/>
                <w:rFonts w:hint="eastAsia"/>
                <w:color w:val="auto"/>
                <w:kern w:val="0"/>
                <w:sz w:val="24"/>
                <w:lang w:val="en-US" w:eastAsia="zh-CN"/>
              </w:rPr>
              <w:t>1#</w:t>
            </w:r>
            <w:r>
              <w:rPr>
                <w:rStyle w:val="23"/>
                <w:rFonts w:hint="eastAsia"/>
                <w:color w:val="auto"/>
                <w:kern w:val="0"/>
                <w:sz w:val="24"/>
                <w:lang w:eastAsia="zh-CN"/>
              </w:rPr>
              <w:t>）</w:t>
            </w:r>
            <w:r>
              <w:rPr>
                <w:rStyle w:val="23"/>
                <w:color w:val="auto"/>
                <w:kern w:val="0"/>
                <w:sz w:val="24"/>
              </w:rPr>
              <w:t>排气筒排放</w:t>
            </w:r>
            <w:r>
              <w:rPr>
                <w:rStyle w:val="23"/>
                <w:rFonts w:hint="eastAsia"/>
                <w:color w:val="auto"/>
                <w:kern w:val="0"/>
                <w:sz w:val="24"/>
                <w:lang w:eastAsia="zh-CN"/>
              </w:rPr>
              <w:t>，</w:t>
            </w:r>
            <w:r>
              <w:rPr>
                <w:rStyle w:val="23"/>
                <w:rFonts w:hint="eastAsia"/>
                <w:color w:val="auto"/>
                <w:kern w:val="0"/>
                <w:sz w:val="24"/>
                <w:lang w:val="en-US" w:eastAsia="zh-CN"/>
              </w:rPr>
              <w:t>木制品加工</w:t>
            </w:r>
            <w:r>
              <w:rPr>
                <w:rStyle w:val="23"/>
                <w:color w:val="auto"/>
                <w:kern w:val="0"/>
                <w:sz w:val="24"/>
              </w:rPr>
              <w:t>粉尘采用袋式除尘器处理后经</w:t>
            </w:r>
            <w:r>
              <w:rPr>
                <w:rStyle w:val="23"/>
                <w:rFonts w:hint="eastAsia"/>
                <w:color w:val="auto"/>
                <w:kern w:val="0"/>
                <w:sz w:val="24"/>
                <w:lang w:val="en-US" w:eastAsia="zh-CN"/>
              </w:rPr>
              <w:t>25</w:t>
            </w:r>
            <w:r>
              <w:rPr>
                <w:rStyle w:val="23"/>
                <w:color w:val="auto"/>
                <w:kern w:val="0"/>
                <w:sz w:val="24"/>
              </w:rPr>
              <w:t>m高</w:t>
            </w:r>
            <w:r>
              <w:rPr>
                <w:rStyle w:val="23"/>
                <w:rFonts w:hint="eastAsia"/>
                <w:color w:val="auto"/>
                <w:kern w:val="0"/>
                <w:sz w:val="24"/>
                <w:lang w:eastAsia="zh-CN"/>
              </w:rPr>
              <w:t>（</w:t>
            </w:r>
            <w:r>
              <w:rPr>
                <w:rStyle w:val="23"/>
                <w:rFonts w:hint="eastAsia"/>
                <w:color w:val="auto"/>
                <w:kern w:val="0"/>
                <w:sz w:val="24"/>
                <w:lang w:val="en-US" w:eastAsia="zh-CN"/>
              </w:rPr>
              <w:t>2#</w:t>
            </w:r>
            <w:r>
              <w:rPr>
                <w:rStyle w:val="23"/>
                <w:rFonts w:hint="eastAsia"/>
                <w:color w:val="auto"/>
                <w:kern w:val="0"/>
                <w:sz w:val="24"/>
                <w:lang w:eastAsia="zh-CN"/>
              </w:rPr>
              <w:t>）</w:t>
            </w:r>
            <w:r>
              <w:rPr>
                <w:rStyle w:val="23"/>
                <w:color w:val="auto"/>
                <w:kern w:val="0"/>
                <w:sz w:val="24"/>
              </w:rPr>
              <w:t>排气筒</w:t>
            </w:r>
            <w:r>
              <w:rPr>
                <w:rStyle w:val="23"/>
                <w:rFonts w:hint="eastAsia"/>
                <w:color w:val="auto"/>
                <w:kern w:val="0"/>
                <w:sz w:val="24"/>
                <w:lang w:val="en-US" w:eastAsia="zh-CN"/>
              </w:rPr>
              <w:t>排放，做到了减排降碳。</w:t>
            </w:r>
            <w:r>
              <w:rPr>
                <w:rStyle w:val="23"/>
                <w:color w:val="auto"/>
                <w:kern w:val="0"/>
                <w:sz w:val="24"/>
              </w:rPr>
              <w:t>因此本项目符合</w:t>
            </w:r>
            <w:r>
              <w:rPr>
                <w:rStyle w:val="23"/>
                <w:rFonts w:hint="eastAsia"/>
                <w:color w:val="auto"/>
                <w:kern w:val="0"/>
                <w:sz w:val="24"/>
              </w:rPr>
              <w:t>《南通市关于加强减污降碳协同推进重点行业绿色发展的指导意见》（通办〔2024〕6号）</w:t>
            </w:r>
            <w:r>
              <w:rPr>
                <w:rStyle w:val="23"/>
                <w:rFonts w:hint="eastAsia"/>
                <w:color w:val="auto"/>
                <w:kern w:val="0"/>
                <w:sz w:val="24"/>
                <w:lang w:eastAsia="zh-CN"/>
              </w:rPr>
              <w:t>的</w:t>
            </w:r>
            <w:r>
              <w:rPr>
                <w:rStyle w:val="23"/>
                <w:rFonts w:hint="eastAsia"/>
                <w:color w:val="auto"/>
                <w:kern w:val="0"/>
                <w:sz w:val="24"/>
                <w:lang w:val="en-US" w:eastAsia="zh-CN"/>
              </w:rPr>
              <w:t>相关</w:t>
            </w:r>
            <w:r>
              <w:rPr>
                <w:rStyle w:val="23"/>
                <w:color w:val="auto"/>
                <w:kern w:val="0"/>
                <w:sz w:val="24"/>
              </w:rPr>
              <w:t>要求。</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rStyle w:val="23"/>
                <w:b/>
                <w:bCs/>
                <w:color w:val="000000"/>
                <w:kern w:val="0"/>
                <w:sz w:val="24"/>
              </w:rPr>
            </w:pPr>
            <w:r>
              <w:rPr>
                <w:rStyle w:val="23"/>
                <w:rFonts w:hint="eastAsia"/>
                <w:b/>
                <w:bCs/>
                <w:color w:val="000000"/>
                <w:kern w:val="0"/>
                <w:sz w:val="24"/>
                <w:lang w:val="en-US" w:eastAsia="zh-CN"/>
              </w:rPr>
              <w:t>6、</w:t>
            </w:r>
            <w:r>
              <w:rPr>
                <w:rStyle w:val="23"/>
                <w:rFonts w:hint="eastAsia"/>
                <w:b/>
                <w:bCs/>
                <w:color w:val="000000"/>
                <w:kern w:val="0"/>
                <w:sz w:val="24"/>
              </w:rPr>
              <w:t>与《关于加强高耗能、高排放建设项目生态环境源头防控的指导意见》（环环评</w:t>
            </w:r>
            <w:r>
              <w:rPr>
                <w:rFonts w:hint="default" w:ascii="Times New Roman" w:hAnsi="Times New Roman" w:eastAsia="宋体" w:cs="Times New Roman"/>
                <w:b/>
                <w:bCs/>
                <w:sz w:val="24"/>
                <w:szCs w:val="24"/>
              </w:rPr>
              <w:t>〔2021〕</w:t>
            </w:r>
            <w:r>
              <w:rPr>
                <w:rStyle w:val="23"/>
                <w:rFonts w:hint="eastAsia"/>
                <w:b/>
                <w:bCs/>
                <w:color w:val="000000"/>
                <w:kern w:val="0"/>
                <w:sz w:val="24"/>
              </w:rPr>
              <w:t>45</w:t>
            </w:r>
            <w:r>
              <w:rPr>
                <w:rStyle w:val="23"/>
                <w:b/>
                <w:bCs/>
                <w:color w:val="000000"/>
                <w:kern w:val="0"/>
                <w:sz w:val="24"/>
              </w:rPr>
              <w:t>号</w:t>
            </w:r>
            <w:r>
              <w:rPr>
                <w:rStyle w:val="23"/>
                <w:rFonts w:hint="eastAsia"/>
                <w:b/>
                <w:bCs/>
                <w:color w:val="000000"/>
                <w:kern w:val="0"/>
                <w:sz w:val="24"/>
              </w:rPr>
              <w:t>）相符性分析</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Style w:val="23"/>
                <w:rFonts w:hint="eastAsia"/>
                <w:color w:val="000000"/>
                <w:kern w:val="0"/>
                <w:sz w:val="24"/>
              </w:rPr>
            </w:pPr>
            <w:r>
              <w:rPr>
                <w:rStyle w:val="23"/>
                <w:color w:val="000000"/>
                <w:kern w:val="0"/>
                <w:sz w:val="24"/>
              </w:rPr>
              <w:t>对照《关于加强高耗能、高排放建设项目生态环境源头防控的指导意见》（环环评﹝2021﹞45号），</w:t>
            </w:r>
            <w:r>
              <w:rPr>
                <w:rStyle w:val="23"/>
                <w:rFonts w:hint="eastAsia"/>
                <w:color w:val="000000"/>
                <w:kern w:val="0"/>
                <w:sz w:val="24"/>
                <w:lang w:eastAsia="zh-CN"/>
              </w:rPr>
              <w:t>“</w:t>
            </w:r>
            <w:r>
              <w:rPr>
                <w:rStyle w:val="23"/>
                <w:color w:val="000000"/>
                <w:kern w:val="0"/>
                <w:sz w:val="24"/>
              </w:rPr>
              <w:t>两高</w:t>
            </w:r>
            <w:r>
              <w:rPr>
                <w:rStyle w:val="23"/>
                <w:rFonts w:hint="eastAsia"/>
                <w:color w:val="000000"/>
                <w:kern w:val="0"/>
                <w:sz w:val="24"/>
                <w:lang w:eastAsia="zh-CN"/>
              </w:rPr>
              <w:t>”</w:t>
            </w:r>
            <w:r>
              <w:rPr>
                <w:rStyle w:val="23"/>
                <w:color w:val="000000"/>
                <w:kern w:val="0"/>
                <w:sz w:val="24"/>
              </w:rPr>
              <w:t>项目</w:t>
            </w:r>
            <w:r>
              <w:rPr>
                <w:rStyle w:val="23"/>
                <w:rFonts w:ascii="Times New Roman" w:hAnsi="Times New Roman"/>
                <w:color w:val="000000"/>
                <w:kern w:val="0"/>
                <w:sz w:val="24"/>
              </w:rPr>
              <w:t>暂按煤电、石化、化工、钢铁、有色金属冶炼、建材等六个行业类别统计，后续对“两高”范围国家如有明确规定的，从其规定</w:t>
            </w:r>
            <w:r>
              <w:rPr>
                <w:rStyle w:val="23"/>
                <w:color w:val="000000"/>
                <w:kern w:val="0"/>
                <w:sz w:val="24"/>
              </w:rPr>
              <w:t>。本项目为</w:t>
            </w:r>
            <w:r>
              <w:rPr>
                <w:rStyle w:val="23"/>
                <w:rFonts w:hint="eastAsia"/>
                <w:color w:val="000000"/>
                <w:kern w:val="0"/>
                <w:sz w:val="24"/>
                <w:lang w:val="en-US" w:eastAsia="zh-CN"/>
              </w:rPr>
              <w:t>智能包装制造项目</w:t>
            </w:r>
            <w:r>
              <w:rPr>
                <w:rStyle w:val="23"/>
                <w:color w:val="000000"/>
                <w:kern w:val="0"/>
                <w:sz w:val="24"/>
              </w:rPr>
              <w:t>，不属于</w:t>
            </w:r>
            <w:r>
              <w:rPr>
                <w:rFonts w:hint="default" w:ascii="Times New Roman" w:hAnsi="Times New Roman" w:eastAsia="宋体" w:cs="Times New Roman"/>
                <w:color w:val="auto"/>
                <w:kern w:val="2"/>
                <w:sz w:val="24"/>
                <w:szCs w:val="24"/>
                <w:highlight w:val="none"/>
                <w:lang w:val="en-US" w:eastAsia="zh-CN" w:bidi="ar-SA"/>
              </w:rPr>
              <w:t>暂定“两高”项目，因此本项目符合相关要求</w:t>
            </w:r>
            <w:r>
              <w:rPr>
                <w:rStyle w:val="23"/>
                <w:color w:val="000000"/>
                <w:kern w:val="0"/>
                <w:sz w:val="24"/>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rStyle w:val="23"/>
                <w:b/>
                <w:bCs/>
                <w:color w:val="000000"/>
                <w:kern w:val="0"/>
                <w:sz w:val="24"/>
              </w:rPr>
            </w:pPr>
            <w:r>
              <w:rPr>
                <w:rStyle w:val="23"/>
                <w:rFonts w:hint="eastAsia"/>
                <w:b/>
                <w:bCs/>
                <w:color w:val="000000"/>
                <w:kern w:val="0"/>
                <w:sz w:val="24"/>
                <w:lang w:val="en-US" w:eastAsia="zh-CN"/>
              </w:rPr>
              <w:t>7、</w:t>
            </w:r>
            <w:r>
              <w:rPr>
                <w:rStyle w:val="23"/>
                <w:b/>
                <w:bCs/>
                <w:color w:val="000000"/>
                <w:kern w:val="0"/>
                <w:sz w:val="24"/>
              </w:rPr>
              <w:t>与《关于进一步加强塑料污染治理的意见》（发改环资﹝2020﹞80号）相符性分析</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Style w:val="23"/>
                <w:rFonts w:hint="eastAsia"/>
                <w:color w:val="000000"/>
                <w:kern w:val="0"/>
                <w:sz w:val="24"/>
                <w:lang w:eastAsia="zh-CN"/>
              </w:rPr>
            </w:pPr>
            <w:r>
              <w:rPr>
                <w:rStyle w:val="23"/>
                <w:color w:val="000000"/>
                <w:kern w:val="0"/>
                <w:sz w:val="24"/>
              </w:rPr>
              <w:t>根据《关于进一步加强塑料污染治理的意见》中</w:t>
            </w:r>
            <w:r>
              <w:rPr>
                <w:rStyle w:val="23"/>
                <w:rFonts w:hint="eastAsia"/>
                <w:color w:val="000000"/>
                <w:kern w:val="0"/>
                <w:sz w:val="24"/>
                <w:lang w:eastAsia="zh-CN"/>
              </w:rPr>
              <w:t>“</w:t>
            </w:r>
            <w:r>
              <w:rPr>
                <w:rStyle w:val="23"/>
                <w:color w:val="000000"/>
                <w:kern w:val="0"/>
                <w:sz w:val="24"/>
              </w:rPr>
              <w:t>（四）禁止生产、销售的塑料制品。禁止生产和销售厚度小于0.025毫米的超薄塑料购物袋、厚度小于0.01毫米的聚乙烯农用地膜。禁止以医疗废物为原料制造塑料制品。全面禁止废塑料进口。到2020年底，禁止生产和销售一次性发泡塑料餐具、一次性塑料棉签；禁止生产含塑料微珠的日化产品。到2022年底，禁止销售含塑料微珠的日化产品。</w:t>
            </w:r>
            <w:r>
              <w:rPr>
                <w:rStyle w:val="23"/>
                <w:rFonts w:hint="eastAsia"/>
                <w:color w:val="000000"/>
                <w:kern w:val="0"/>
                <w:sz w:val="24"/>
                <w:lang w:eastAsia="zh-CN"/>
              </w:rPr>
              <w:t>”</w:t>
            </w:r>
            <w:r>
              <w:rPr>
                <w:rStyle w:val="23"/>
                <w:color w:val="000000"/>
                <w:kern w:val="0"/>
                <w:sz w:val="24"/>
              </w:rPr>
              <w:t>、</w:t>
            </w:r>
            <w:r>
              <w:rPr>
                <w:rStyle w:val="23"/>
                <w:rFonts w:hint="eastAsia"/>
                <w:color w:val="000000"/>
                <w:kern w:val="0"/>
                <w:sz w:val="24"/>
                <w:lang w:eastAsia="zh-CN"/>
              </w:rPr>
              <w:t>“</w:t>
            </w:r>
            <w:r>
              <w:rPr>
                <w:rStyle w:val="23"/>
                <w:rFonts w:hint="eastAsia"/>
                <w:color w:val="000000"/>
                <w:kern w:val="0"/>
                <w:sz w:val="24"/>
              </w:rPr>
              <w:t>（八）增加绿色产品供给。塑料制品生产企业要严格执行有关法律法规，生产符合相关标准的塑料制品，不得违规添加对人体、环境有害的化学添加剂。推行绿色设计，提升塑料制品的安全性和回收利用性能。积极采用新型绿色环保功能材料，增加使用符合质量控制标准和用途管制要求的再生塑料，加强可循环、易回收、可降解替代材料和产品研发，降低应用成本，有效增加绿色产品供给。</w:t>
            </w:r>
            <w:r>
              <w:rPr>
                <w:rStyle w:val="23"/>
                <w:rFonts w:hint="eastAsia"/>
                <w:color w:val="000000"/>
                <w:kern w:val="0"/>
                <w:sz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Style w:val="23"/>
                <w:color w:val="000000"/>
                <w:kern w:val="0"/>
                <w:sz w:val="24"/>
              </w:rPr>
            </w:pPr>
            <w:r>
              <w:rPr>
                <w:rStyle w:val="23"/>
                <w:rFonts w:hint="eastAsia"/>
                <w:color w:val="000000"/>
                <w:kern w:val="0"/>
                <w:sz w:val="24"/>
              </w:rPr>
              <w:t>本项目使用的原料中</w:t>
            </w:r>
            <w:r>
              <w:rPr>
                <w:rStyle w:val="23"/>
                <w:rFonts w:hint="eastAsia"/>
                <w:color w:val="000000"/>
                <w:kern w:val="0"/>
                <w:sz w:val="24"/>
                <w:lang w:val="en-US" w:eastAsia="zh-CN"/>
              </w:rPr>
              <w:t>珍珠棉、</w:t>
            </w:r>
            <w:r>
              <w:rPr>
                <w:rStyle w:val="23"/>
                <w:rFonts w:hint="eastAsia"/>
                <w:color w:val="000000"/>
                <w:kern w:val="0"/>
                <w:sz w:val="24"/>
              </w:rPr>
              <w:t>中空板材料为</w:t>
            </w:r>
            <w:r>
              <w:rPr>
                <w:rStyle w:val="23"/>
                <w:rFonts w:hint="eastAsia"/>
                <w:color w:val="000000"/>
                <w:kern w:val="0"/>
                <w:sz w:val="24"/>
                <w:lang w:val="en-US" w:eastAsia="zh-CN"/>
              </w:rPr>
              <w:t>新型材</w:t>
            </w:r>
            <w:r>
              <w:rPr>
                <w:rStyle w:val="23"/>
                <w:rFonts w:hint="eastAsia"/>
                <w:color w:val="000000"/>
                <w:kern w:val="0"/>
                <w:sz w:val="24"/>
              </w:rPr>
              <w:t>料，</w:t>
            </w:r>
            <w:r>
              <w:rPr>
                <w:rStyle w:val="23"/>
                <w:rFonts w:hint="eastAsia"/>
                <w:color w:val="000000"/>
                <w:kern w:val="0"/>
                <w:sz w:val="24"/>
                <w:lang w:val="en-US" w:eastAsia="zh-CN"/>
              </w:rPr>
              <w:t>为半成品塑料制品，</w:t>
            </w:r>
            <w:r>
              <w:rPr>
                <w:rStyle w:val="23"/>
                <w:rFonts w:hint="eastAsia"/>
                <w:color w:val="000000"/>
                <w:kern w:val="0"/>
                <w:sz w:val="24"/>
              </w:rPr>
              <w:t>不是再生塑料，且使用的辅料中不涉及对人体、环境有害的化学添加剂。因此本项目</w:t>
            </w:r>
            <w:r>
              <w:rPr>
                <w:rStyle w:val="23"/>
                <w:rFonts w:hint="eastAsia"/>
                <w:color w:val="000000"/>
                <w:kern w:val="0"/>
                <w:sz w:val="24"/>
                <w:lang w:val="en-US" w:eastAsia="zh-CN"/>
              </w:rPr>
              <w:t>不属于</w:t>
            </w:r>
            <w:r>
              <w:rPr>
                <w:rStyle w:val="23"/>
                <w:rFonts w:hint="eastAsia"/>
                <w:color w:val="000000"/>
                <w:kern w:val="0"/>
                <w:sz w:val="24"/>
              </w:rPr>
              <w:t>《</w:t>
            </w:r>
            <w:r>
              <w:rPr>
                <w:rStyle w:val="23"/>
                <w:color w:val="000000"/>
                <w:kern w:val="0"/>
                <w:sz w:val="24"/>
              </w:rPr>
              <w:t>关于进一步加强塑料污染治理的意见</w:t>
            </w:r>
            <w:r>
              <w:rPr>
                <w:rStyle w:val="23"/>
                <w:rFonts w:hint="eastAsia"/>
                <w:color w:val="000000"/>
                <w:kern w:val="0"/>
                <w:sz w:val="24"/>
              </w:rPr>
              <w:t>》（发改环资</w:t>
            </w:r>
            <w:r>
              <w:rPr>
                <w:rStyle w:val="23"/>
                <w:color w:val="000000"/>
                <w:kern w:val="0"/>
                <w:sz w:val="24"/>
              </w:rPr>
              <w:t>﹝2020﹞80号</w:t>
            </w:r>
            <w:r>
              <w:rPr>
                <w:rStyle w:val="23"/>
                <w:rFonts w:hint="eastAsia"/>
                <w:color w:val="000000"/>
                <w:kern w:val="0"/>
                <w:sz w:val="24"/>
              </w:rPr>
              <w:t>）中</w:t>
            </w:r>
            <w:r>
              <w:rPr>
                <w:rStyle w:val="23"/>
                <w:rFonts w:hint="eastAsia"/>
                <w:color w:val="000000"/>
                <w:kern w:val="0"/>
                <w:sz w:val="24"/>
                <w:lang w:val="en-US" w:eastAsia="zh-CN"/>
              </w:rPr>
              <w:t>禁止生产、销售的塑料制品</w:t>
            </w:r>
            <w:r>
              <w:rPr>
                <w:rStyle w:val="23"/>
                <w:rFonts w:hint="eastAsia"/>
                <w:color w:val="000000"/>
                <w:kern w:val="0"/>
                <w:sz w:val="24"/>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rStyle w:val="23"/>
                <w:b/>
                <w:bCs/>
                <w:color w:val="000000"/>
                <w:kern w:val="0"/>
                <w:sz w:val="24"/>
              </w:rPr>
            </w:pPr>
            <w:r>
              <w:rPr>
                <w:rStyle w:val="23"/>
                <w:rFonts w:hint="eastAsia"/>
                <w:b/>
                <w:bCs/>
                <w:color w:val="000000"/>
                <w:kern w:val="0"/>
                <w:sz w:val="24"/>
                <w:lang w:val="en-US" w:eastAsia="zh-CN"/>
              </w:rPr>
              <w:t>8、</w:t>
            </w:r>
            <w:r>
              <w:rPr>
                <w:rStyle w:val="23"/>
                <w:rFonts w:hint="eastAsia"/>
                <w:b/>
                <w:bCs/>
                <w:color w:val="000000"/>
                <w:kern w:val="0"/>
                <w:sz w:val="24"/>
              </w:rPr>
              <w:t>与《国家发展改革委 生态环境部关于印发“十四五”塑料污染治理行动方案的通知》（发改环资</w:t>
            </w:r>
            <w:r>
              <w:rPr>
                <w:rStyle w:val="23"/>
                <w:b/>
                <w:bCs/>
                <w:color w:val="000000"/>
                <w:kern w:val="0"/>
                <w:sz w:val="24"/>
              </w:rPr>
              <w:t>﹝20</w:t>
            </w:r>
            <w:r>
              <w:rPr>
                <w:rStyle w:val="23"/>
                <w:rFonts w:hint="eastAsia"/>
                <w:b/>
                <w:bCs/>
                <w:color w:val="000000"/>
                <w:kern w:val="0"/>
                <w:sz w:val="24"/>
              </w:rPr>
              <w:t>21</w:t>
            </w:r>
            <w:r>
              <w:rPr>
                <w:rStyle w:val="23"/>
                <w:b/>
                <w:bCs/>
                <w:color w:val="000000"/>
                <w:kern w:val="0"/>
                <w:sz w:val="24"/>
              </w:rPr>
              <w:t>﹞</w:t>
            </w:r>
            <w:r>
              <w:rPr>
                <w:rStyle w:val="23"/>
                <w:rFonts w:hint="eastAsia"/>
                <w:b/>
                <w:bCs/>
                <w:color w:val="000000"/>
                <w:kern w:val="0"/>
                <w:sz w:val="24"/>
              </w:rPr>
              <w:t>1298</w:t>
            </w:r>
            <w:r>
              <w:rPr>
                <w:rStyle w:val="23"/>
                <w:b/>
                <w:bCs/>
                <w:color w:val="000000"/>
                <w:kern w:val="0"/>
                <w:sz w:val="24"/>
              </w:rPr>
              <w:t>号</w:t>
            </w:r>
            <w:r>
              <w:rPr>
                <w:rStyle w:val="23"/>
                <w:rFonts w:hint="eastAsia"/>
                <w:b/>
                <w:bCs/>
                <w:color w:val="000000"/>
                <w:kern w:val="0"/>
                <w:sz w:val="24"/>
              </w:rPr>
              <w:t>）相符性分析</w:t>
            </w:r>
          </w:p>
          <w:p>
            <w:pPr>
              <w:adjustRightInd w:val="0"/>
              <w:snapToGrid w:val="0"/>
              <w:spacing w:line="500" w:lineRule="exact"/>
              <w:ind w:firstLine="480" w:firstLineChars="200"/>
              <w:rPr>
                <w:rStyle w:val="23"/>
                <w:rFonts w:hint="eastAsia"/>
                <w:color w:val="000000"/>
                <w:kern w:val="0"/>
                <w:sz w:val="24"/>
                <w:lang w:eastAsia="zh-CN"/>
              </w:rPr>
            </w:pPr>
            <w:r>
              <w:rPr>
                <w:rStyle w:val="23"/>
                <w:color w:val="000000"/>
                <w:kern w:val="0"/>
                <w:sz w:val="24"/>
              </w:rPr>
              <w:t>对照《国家发展改革委 生态环境部关于印发</w:t>
            </w:r>
            <w:r>
              <w:rPr>
                <w:rStyle w:val="23"/>
                <w:rFonts w:hint="eastAsia"/>
                <w:color w:val="000000"/>
                <w:kern w:val="0"/>
                <w:sz w:val="24"/>
                <w:lang w:eastAsia="zh-CN"/>
              </w:rPr>
              <w:t>“</w:t>
            </w:r>
            <w:r>
              <w:rPr>
                <w:rStyle w:val="23"/>
                <w:color w:val="000000"/>
                <w:kern w:val="0"/>
                <w:sz w:val="24"/>
              </w:rPr>
              <w:t>十四五</w:t>
            </w:r>
            <w:r>
              <w:rPr>
                <w:rStyle w:val="23"/>
                <w:rFonts w:hint="eastAsia"/>
                <w:color w:val="000000"/>
                <w:kern w:val="0"/>
                <w:sz w:val="24"/>
                <w:lang w:eastAsia="zh-CN"/>
              </w:rPr>
              <w:t>”</w:t>
            </w:r>
            <w:r>
              <w:rPr>
                <w:rStyle w:val="23"/>
                <w:color w:val="000000"/>
                <w:kern w:val="0"/>
                <w:sz w:val="24"/>
              </w:rPr>
              <w:t>塑料污染治理行动方案的通知》（发改环资﹝2021﹞1298号）中</w:t>
            </w:r>
            <w:r>
              <w:rPr>
                <w:rStyle w:val="23"/>
                <w:rFonts w:hint="eastAsia"/>
                <w:color w:val="000000"/>
                <w:kern w:val="0"/>
                <w:sz w:val="24"/>
                <w:lang w:eastAsia="zh-CN"/>
              </w:rPr>
              <w:t>“</w:t>
            </w:r>
            <w:r>
              <w:rPr>
                <w:rStyle w:val="23"/>
                <w:color w:val="000000"/>
                <w:kern w:val="0"/>
                <w:sz w:val="24"/>
              </w:rPr>
              <w:t>（一）积极推动塑料生产和使用源头减量。</w:t>
            </w:r>
            <w:r>
              <w:rPr>
                <w:rStyle w:val="23"/>
                <w:rFonts w:hint="eastAsia"/>
                <w:color w:val="000000"/>
                <w:kern w:val="0"/>
                <w:sz w:val="24"/>
              </w:rPr>
              <w:t>3.科学稳妥推广塑料替代产品。充分考虑竹木制品、纸制品、可降解塑料制品等全生命周期资源环境影响，完善相关产品的质量和食品安全标准。（市场监管总局、卫生健康委、工业和信息化部、生态环境部按职责分工负责）开展不同类型可降解塑料降解机理及影响研究，科学评估其环境安全性和可控性。（科技部、生态环境部、工业和信息化部、农业农村部按职责分工负责）健全标准体系，出台生物降解塑料标准，规范应用领域，明确降解条件和处置方式。（市场监管总局牵头负责）加大可降解塑料关键核心技术攻关和成果转化，不断提升产品质量和性能，降低应用成本。（科技部、工业和信息化部按职责分工负责）推动生物降解塑料产业有序发展，引导产业合理布局，防止产能盲目扩张。（国家发展改革委、工业和信息化部按职责分工负责）加快对全生物降解农膜的科学研究和推广应用。（农业农村部牵头负责）加大可降解塑料检测能力建设，严格查处可降解塑料虚标、伪标等行为，规范行业秩序。（市场监管总局牵头负责）</w:t>
            </w:r>
            <w:r>
              <w:rPr>
                <w:rStyle w:val="23"/>
                <w:rFonts w:hint="eastAsia"/>
                <w:color w:val="000000"/>
                <w:kern w:val="0"/>
                <w:sz w:val="24"/>
                <w:lang w:eastAsia="zh-CN"/>
              </w:rPr>
              <w:t>”</w:t>
            </w:r>
          </w:p>
          <w:p>
            <w:pPr>
              <w:adjustRightInd w:val="0"/>
              <w:snapToGrid w:val="0"/>
              <w:spacing w:line="500" w:lineRule="exact"/>
              <w:ind w:firstLine="480" w:firstLineChars="200"/>
              <w:rPr>
                <w:rStyle w:val="23"/>
                <w:rFonts w:hint="eastAsia"/>
                <w:color w:val="000000"/>
                <w:kern w:val="0"/>
                <w:sz w:val="24"/>
              </w:rPr>
            </w:pPr>
            <w:r>
              <w:rPr>
                <w:rStyle w:val="23"/>
                <w:rFonts w:hint="eastAsia"/>
                <w:color w:val="000000"/>
                <w:kern w:val="0"/>
                <w:sz w:val="24"/>
              </w:rPr>
              <w:t>本项目产品为中空板片材</w:t>
            </w:r>
            <w:r>
              <w:rPr>
                <w:rStyle w:val="23"/>
                <w:rFonts w:hint="eastAsia"/>
                <w:color w:val="000000"/>
                <w:kern w:val="0"/>
                <w:sz w:val="24"/>
                <w:lang w:eastAsia="zh-CN"/>
              </w:rPr>
              <w:t>、</w:t>
            </w:r>
            <w:r>
              <w:rPr>
                <w:rStyle w:val="23"/>
                <w:rFonts w:hint="eastAsia"/>
                <w:color w:val="000000"/>
                <w:kern w:val="0"/>
                <w:sz w:val="24"/>
              </w:rPr>
              <w:t>中空板箱等塑料制品，</w:t>
            </w:r>
            <w:r>
              <w:rPr>
                <w:rStyle w:val="23"/>
                <w:rFonts w:hint="eastAsia"/>
                <w:color w:val="000000"/>
                <w:kern w:val="0"/>
                <w:sz w:val="24"/>
                <w:lang w:val="en-US" w:eastAsia="zh-CN"/>
              </w:rPr>
              <w:t>使用的原料为pp、pe材质，符合</w:t>
            </w:r>
            <w:r>
              <w:rPr>
                <w:rStyle w:val="23"/>
                <w:color w:val="000000"/>
                <w:kern w:val="0"/>
                <w:sz w:val="24"/>
              </w:rPr>
              <w:t>《国家发展改革委 生态环境部关于印发</w:t>
            </w:r>
            <w:r>
              <w:rPr>
                <w:rStyle w:val="23"/>
                <w:rFonts w:hint="eastAsia"/>
                <w:color w:val="000000"/>
                <w:kern w:val="0"/>
                <w:sz w:val="24"/>
                <w:lang w:eastAsia="zh-CN"/>
              </w:rPr>
              <w:t>“</w:t>
            </w:r>
            <w:r>
              <w:rPr>
                <w:rStyle w:val="23"/>
                <w:color w:val="000000"/>
                <w:kern w:val="0"/>
                <w:sz w:val="24"/>
              </w:rPr>
              <w:t>十四五</w:t>
            </w:r>
            <w:r>
              <w:rPr>
                <w:rStyle w:val="23"/>
                <w:rFonts w:hint="eastAsia"/>
                <w:color w:val="000000"/>
                <w:kern w:val="0"/>
                <w:sz w:val="24"/>
                <w:lang w:eastAsia="zh-CN"/>
              </w:rPr>
              <w:t>”</w:t>
            </w:r>
            <w:r>
              <w:rPr>
                <w:rStyle w:val="23"/>
                <w:color w:val="000000"/>
                <w:kern w:val="0"/>
                <w:sz w:val="24"/>
              </w:rPr>
              <w:t>塑料污染治理行动方案的通知》</w:t>
            </w:r>
            <w:r>
              <w:rPr>
                <w:rStyle w:val="23"/>
                <w:rFonts w:hint="eastAsia"/>
                <w:color w:val="000000"/>
                <w:kern w:val="0"/>
                <w:sz w:val="24"/>
              </w:rPr>
              <w:t>中</w:t>
            </w:r>
            <w:r>
              <w:rPr>
                <w:rStyle w:val="23"/>
                <w:rFonts w:hint="eastAsia"/>
                <w:color w:val="000000"/>
                <w:kern w:val="0"/>
                <w:sz w:val="24"/>
                <w:lang w:val="en-US" w:eastAsia="zh-CN"/>
              </w:rPr>
              <w:t>相关要求</w:t>
            </w:r>
            <w:r>
              <w:rPr>
                <w:rStyle w:val="23"/>
                <w:rFonts w:hint="eastAsia"/>
                <w:color w:val="000000"/>
                <w:kern w:val="0"/>
                <w:sz w:val="24"/>
              </w:rPr>
              <w:t>。</w:t>
            </w:r>
          </w:p>
          <w:p>
            <w:pPr>
              <w:adjustRightInd w:val="0"/>
              <w:snapToGrid w:val="0"/>
              <w:spacing w:line="500" w:lineRule="exact"/>
              <w:ind w:firstLine="482" w:firstLineChars="200"/>
              <w:rPr>
                <w:rFonts w:ascii="Times New Roman" w:hAnsi="Times New Roman"/>
                <w:b/>
                <w:bCs/>
                <w:sz w:val="24"/>
                <w:szCs w:val="24"/>
              </w:rPr>
            </w:pPr>
            <w:r>
              <w:rPr>
                <w:rStyle w:val="23"/>
                <w:rFonts w:hint="eastAsia"/>
                <w:b/>
                <w:bCs/>
                <w:color w:val="000000"/>
                <w:kern w:val="0"/>
                <w:sz w:val="24"/>
                <w:lang w:val="en-US" w:eastAsia="zh-CN"/>
              </w:rPr>
              <w:t>9</w:t>
            </w:r>
            <w:r>
              <w:rPr>
                <w:rFonts w:ascii="Times New Roman" w:hAnsi="Times New Roman"/>
                <w:b/>
                <w:bCs/>
                <w:sz w:val="24"/>
                <w:szCs w:val="24"/>
              </w:rPr>
              <w:t>、与《海安市国土空间总体规划（2021-2035年）》的相符性分析</w:t>
            </w:r>
          </w:p>
          <w:p>
            <w:pPr>
              <w:adjustRightInd w:val="0"/>
              <w:snapToGrid w:val="0"/>
              <w:spacing w:line="500" w:lineRule="exact"/>
              <w:ind w:firstLine="480" w:firstLineChars="200"/>
              <w:rPr>
                <w:rFonts w:ascii="Times New Roman" w:hAnsi="Times New Roman"/>
                <w:sz w:val="24"/>
                <w:szCs w:val="24"/>
              </w:rPr>
            </w:pPr>
            <w:r>
              <w:rPr>
                <w:rFonts w:ascii="Times New Roman" w:hAnsi="Times New Roman"/>
                <w:sz w:val="24"/>
                <w:szCs w:val="24"/>
              </w:rPr>
              <w:t>根据《海安市国土空间总体规划（2021-2035年）》4.2，明确“三区三线”，优先划定永久基本农田：坚决落实最严格的耕地保护制度，按照应保尽保、量质并重、集中成片的原则，划定永久基本农田；严格划定生态保护红线：在生态空间范围内具有特殊重要生态功能，必须强制性严格保护的区域，是保障和维护生态安全的底线和生命线；合理划定城镇开发边界：在一定时期内因城镇发展需要可以集中进行城镇开发建设，以城镇功能为主的区域。</w:t>
            </w:r>
          </w:p>
          <w:p>
            <w:pPr>
              <w:adjustRightInd w:val="0"/>
              <w:snapToGrid w:val="0"/>
              <w:spacing w:line="500" w:lineRule="exact"/>
              <w:ind w:firstLine="480" w:firstLineChars="200"/>
              <w:rPr>
                <w:rFonts w:ascii="Times New Roman" w:hAnsi="Times New Roman"/>
                <w:sz w:val="24"/>
                <w:szCs w:val="24"/>
              </w:rPr>
            </w:pPr>
            <w:r>
              <w:rPr>
                <w:rFonts w:ascii="Times New Roman" w:hAnsi="Times New Roman"/>
                <w:sz w:val="24"/>
                <w:szCs w:val="24"/>
              </w:rPr>
              <w:t>本项目位于</w:t>
            </w:r>
            <w:r>
              <w:rPr>
                <w:rFonts w:hint="eastAsia" w:ascii="Times New Roman" w:hAnsi="Times New Roman"/>
                <w:sz w:val="24"/>
                <w:szCs w:val="24"/>
              </w:rPr>
              <w:t>海安</w:t>
            </w:r>
            <w:r>
              <w:rPr>
                <w:rFonts w:hint="eastAsia" w:ascii="Times New Roman" w:hAnsi="Times New Roman"/>
                <w:sz w:val="24"/>
                <w:szCs w:val="24"/>
                <w:lang w:val="en-US" w:eastAsia="zh-CN"/>
              </w:rPr>
              <w:t>市</w:t>
            </w:r>
            <w:r>
              <w:rPr>
                <w:rFonts w:hint="eastAsia"/>
                <w:sz w:val="24"/>
              </w:rPr>
              <w:t>海安市大公镇科技产业园开发大道606号23幢</w:t>
            </w:r>
            <w:r>
              <w:rPr>
                <w:rFonts w:ascii="Times New Roman" w:hAnsi="Times New Roman"/>
                <w:sz w:val="24"/>
                <w:szCs w:val="24"/>
              </w:rPr>
              <w:t>，根据总体规划中“三区三线”划定成果可知，本项目</w:t>
            </w:r>
            <w:r>
              <w:rPr>
                <w:rFonts w:hint="eastAsia"/>
                <w:sz w:val="24"/>
                <w:szCs w:val="24"/>
                <w:lang w:val="en-US" w:eastAsia="zh-CN"/>
              </w:rPr>
              <w:t>位于</w:t>
            </w:r>
            <w:r>
              <w:rPr>
                <w:rFonts w:ascii="Times New Roman" w:hAnsi="Times New Roman"/>
                <w:sz w:val="24"/>
                <w:szCs w:val="24"/>
              </w:rPr>
              <w:t>城镇开发</w:t>
            </w:r>
            <w:r>
              <w:rPr>
                <w:rFonts w:hint="eastAsia" w:ascii="Times New Roman" w:hAnsi="Times New Roman"/>
                <w:sz w:val="24"/>
                <w:szCs w:val="24"/>
              </w:rPr>
              <w:t>区</w:t>
            </w:r>
            <w:r>
              <w:rPr>
                <w:rFonts w:hint="eastAsia"/>
                <w:sz w:val="24"/>
                <w:szCs w:val="24"/>
                <w:lang w:val="en-US" w:eastAsia="zh-CN"/>
              </w:rPr>
              <w:t>范围</w:t>
            </w:r>
            <w:r>
              <w:rPr>
                <w:rFonts w:hint="eastAsia" w:ascii="Times New Roman" w:hAnsi="Times New Roman"/>
                <w:sz w:val="24"/>
                <w:szCs w:val="24"/>
              </w:rPr>
              <w:t>内</w:t>
            </w:r>
            <w:r>
              <w:rPr>
                <w:rFonts w:ascii="Times New Roman" w:hAnsi="Times New Roman"/>
                <w:sz w:val="24"/>
                <w:szCs w:val="24"/>
              </w:rPr>
              <w:t>，符合《海安市国土空间总体规划（2021-2035年）》</w:t>
            </w:r>
            <w:r>
              <w:rPr>
                <w:rFonts w:hint="eastAsia"/>
                <w:sz w:val="24"/>
                <w:szCs w:val="24"/>
                <w:lang w:val="en-US" w:eastAsia="zh-CN"/>
              </w:rPr>
              <w:t>要求</w:t>
            </w:r>
            <w:r>
              <w:rPr>
                <w:rFonts w:ascii="Times New Roman" w:hAnsi="Times New Roman"/>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kern w:val="0"/>
                <w:sz w:val="24"/>
                <w:szCs w:val="24"/>
              </w:rPr>
            </w:pPr>
          </w:p>
          <w:p>
            <w:pPr>
              <w:pStyle w:val="4"/>
              <w:rPr>
                <w:rFonts w:hint="eastAsia"/>
                <w:kern w:val="0"/>
                <w:sz w:val="24"/>
                <w:szCs w:val="24"/>
              </w:rPr>
            </w:pPr>
          </w:p>
          <w:p>
            <w:pPr>
              <w:rPr>
                <w:rFonts w:hint="eastAsia"/>
              </w:rPr>
            </w:pPr>
          </w:p>
          <w:p>
            <w:pPr>
              <w:keepNext w:val="0"/>
              <w:keepLines w:val="0"/>
              <w:pageBreakBefore w:val="0"/>
              <w:widowControl w:val="0"/>
              <w:kinsoku/>
              <w:wordWrap/>
              <w:overflowPunct/>
              <w:topLinePunct w:val="0"/>
              <w:autoSpaceDE w:val="0"/>
              <w:autoSpaceDN w:val="0"/>
              <w:bidi w:val="0"/>
              <w:adjustRightInd w:val="0"/>
              <w:snapToGrid w:val="0"/>
              <w:spacing w:line="500" w:lineRule="exact"/>
              <w:jc w:val="left"/>
              <w:textAlignment w:val="auto"/>
              <w:rPr>
                <w:rFonts w:hint="eastAsia"/>
                <w:kern w:val="0"/>
                <w:sz w:val="24"/>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kern w:val="0"/>
                <w:sz w:val="24"/>
              </w:rPr>
            </w:pPr>
          </w:p>
        </w:tc>
      </w:tr>
    </w:tbl>
    <w:p>
      <w:pPr>
        <w:pStyle w:val="16"/>
        <w:jc w:val="center"/>
        <w:outlineLvl w:val="9"/>
        <w:rPr>
          <w:rFonts w:hint="eastAsia" w:ascii="黑体" w:hAnsi="黑体" w:eastAsia="黑体"/>
          <w:snapToGrid w:val="0"/>
          <w:sz w:val="30"/>
          <w:szCs w:val="30"/>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jc w:val="center"/>
        <w:textAlignment w:val="auto"/>
        <w:outlineLvl w:val="0"/>
        <w:rPr>
          <w:rFonts w:hint="eastAsia" w:ascii="黑体" w:hAnsi="黑体" w:eastAsia="黑体"/>
          <w:snapToGrid w:val="0"/>
          <w:sz w:val="30"/>
          <w:szCs w:val="30"/>
        </w:rPr>
      </w:pPr>
      <w:r>
        <w:rPr>
          <w:rFonts w:hint="eastAsia" w:ascii="黑体" w:hAnsi="黑体" w:eastAsia="黑体"/>
          <w:snapToGrid w:val="0"/>
          <w:sz w:val="30"/>
          <w:szCs w:val="30"/>
        </w:rPr>
        <w:br w:type="page"/>
      </w:r>
      <w:bookmarkStart w:id="92" w:name="_GoBack"/>
      <w:bookmarkEnd w:id="92"/>
      <w:r>
        <w:rPr>
          <w:rFonts w:hint="eastAsia" w:ascii="黑体" w:hAnsi="黑体" w:eastAsia="黑体"/>
          <w:snapToGrid w:val="0"/>
          <w:sz w:val="30"/>
          <w:szCs w:val="30"/>
        </w:rPr>
        <w:t>二、建设项目工程分析</w:t>
      </w:r>
    </w:p>
    <w:tbl>
      <w:tblPr>
        <w:tblStyle w:val="18"/>
        <w:tblW w:w="501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25"/>
        <w:gridCol w:w="8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720" w:hRule="atLeast"/>
          <w:jc w:val="center"/>
        </w:trPr>
        <w:tc>
          <w:tcPr>
            <w:tcW w:w="178" w:type="pct"/>
            <w:tcBorders>
              <w:tl2br w:val="nil"/>
              <w:tr2bl w:val="nil"/>
            </w:tcBorders>
            <w:vAlign w:val="center"/>
          </w:tcPr>
          <w:p>
            <w:pPr>
              <w:pStyle w:val="16"/>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建设内容</w:t>
            </w:r>
          </w:p>
        </w:tc>
        <w:tc>
          <w:tcPr>
            <w:tcW w:w="4821" w:type="pct"/>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eastAsia="宋体"/>
                <w:b/>
                <w:bCs/>
                <w:sz w:val="24"/>
                <w:szCs w:val="24"/>
                <w:lang w:val="en-US" w:eastAsia="zh-CN"/>
              </w:rPr>
            </w:pPr>
            <w:r>
              <w:rPr>
                <w:rFonts w:hint="eastAsia"/>
                <w:b/>
                <w:bCs/>
                <w:sz w:val="24"/>
                <w:szCs w:val="24"/>
                <w:lang w:val="en-US" w:eastAsia="zh-CN"/>
              </w:rPr>
              <w:t>1、项目由来</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sz w:val="24"/>
                <w:szCs w:val="24"/>
                <w:lang w:val="en-US" w:eastAsia="zh-CN"/>
              </w:rPr>
            </w:pPr>
            <w:r>
              <w:rPr>
                <w:rFonts w:hint="eastAsia"/>
                <w:sz w:val="24"/>
                <w:szCs w:val="24"/>
                <w:lang w:val="en-US" w:eastAsia="zh-CN"/>
              </w:rPr>
              <w:t>江苏益迅智能科技有限公司成立于2022年12月，注册资金1000万元整，公司位于海安市大公镇科技产业园开发大道606号23幢</w:t>
            </w:r>
            <w:r>
              <w:rPr>
                <w:rFonts w:hint="eastAsia"/>
                <w:sz w:val="24"/>
                <w:szCs w:val="24"/>
                <w:u w:val="none"/>
                <w:lang w:val="en-US" w:eastAsia="zh-CN"/>
              </w:rPr>
              <w:t>，</w:t>
            </w:r>
            <w:r>
              <w:rPr>
                <w:rFonts w:hint="eastAsia"/>
                <w:color w:val="auto"/>
                <w:kern w:val="0"/>
                <w:sz w:val="24"/>
                <w:u w:val="none"/>
                <w:lang w:val="en-US" w:eastAsia="zh-CN"/>
              </w:rPr>
              <w:t>2021年4月30日与南通昊陵实业发展有限公司签署</w:t>
            </w:r>
            <w:r>
              <w:rPr>
                <w:rFonts w:hint="eastAsia" w:ascii="宋体" w:hAnsi="宋体" w:eastAsia="宋体" w:cs="宋体"/>
                <w:color w:val="auto"/>
                <w:kern w:val="0"/>
                <w:sz w:val="24"/>
                <w:u w:val="none"/>
                <w:lang w:val="en-US" w:eastAsia="zh-CN"/>
              </w:rPr>
              <w:t>《中昊港创</w:t>
            </w:r>
            <w:r>
              <w:rPr>
                <w:rFonts w:hint="default" w:ascii="Times New Roman" w:hAnsi="Times New Roman" w:eastAsia="微软雅黑" w:cs="Times New Roman"/>
                <w:color w:val="auto"/>
                <w:kern w:val="0"/>
                <w:sz w:val="24"/>
                <w:u w:val="none"/>
                <w:lang w:val="en-US" w:eastAsia="zh-CN"/>
              </w:rPr>
              <w:t>·</w:t>
            </w:r>
            <w:r>
              <w:rPr>
                <w:rFonts w:hint="eastAsia" w:ascii="宋体" w:hAnsi="宋体" w:eastAsia="宋体" w:cs="宋体"/>
                <w:color w:val="auto"/>
                <w:kern w:val="0"/>
                <w:sz w:val="24"/>
                <w:u w:val="none"/>
                <w:vertAlign w:val="baseline"/>
                <w:lang w:val="en-US" w:eastAsia="zh-CN"/>
              </w:rPr>
              <w:t>海安精工制造产业园</w:t>
            </w:r>
            <w:r>
              <w:rPr>
                <w:rFonts w:hint="default" w:ascii="Times New Roman" w:hAnsi="Times New Roman" w:eastAsia="宋体" w:cs="Times New Roman"/>
                <w:color w:val="auto"/>
                <w:kern w:val="0"/>
                <w:sz w:val="24"/>
                <w:u w:val="none"/>
                <w:vertAlign w:val="baseline"/>
                <w:lang w:val="en-US" w:eastAsia="zh-CN"/>
              </w:rPr>
              <w:t>23#</w:t>
            </w:r>
            <w:r>
              <w:rPr>
                <w:rFonts w:hint="eastAsia" w:ascii="Times New Roman" w:hAnsi="Times New Roman" w:eastAsia="宋体" w:cs="Times New Roman"/>
                <w:color w:val="auto"/>
                <w:kern w:val="0"/>
                <w:sz w:val="24"/>
                <w:u w:val="none"/>
                <w:vertAlign w:val="baseline"/>
                <w:lang w:val="en-US" w:eastAsia="zh-CN"/>
              </w:rPr>
              <w:t>厂</w:t>
            </w:r>
            <w:r>
              <w:rPr>
                <w:rFonts w:hint="eastAsia" w:ascii="宋体" w:hAnsi="宋体" w:eastAsia="宋体" w:cs="宋体"/>
                <w:color w:val="auto"/>
                <w:kern w:val="0"/>
                <w:sz w:val="24"/>
                <w:u w:val="none"/>
                <w:vertAlign w:val="baseline"/>
                <w:lang w:val="en-US" w:eastAsia="zh-CN"/>
              </w:rPr>
              <w:t>房买卖合同</w:t>
            </w:r>
            <w:r>
              <w:rPr>
                <w:rFonts w:hint="eastAsia" w:ascii="宋体" w:hAnsi="宋体" w:eastAsia="宋体" w:cs="宋体"/>
                <w:color w:val="auto"/>
                <w:kern w:val="0"/>
                <w:sz w:val="24"/>
                <w:u w:val="none"/>
                <w:lang w:val="en-US" w:eastAsia="zh-CN"/>
              </w:rPr>
              <w:t>》，</w:t>
            </w:r>
            <w:r>
              <w:rPr>
                <w:rFonts w:hint="eastAsia"/>
                <w:color w:val="auto"/>
                <w:kern w:val="0"/>
                <w:sz w:val="24"/>
                <w:u w:val="none"/>
                <w:lang w:val="en-US" w:eastAsia="zh-CN"/>
              </w:rPr>
              <w:t>投资1500万元，</w:t>
            </w:r>
            <w:r>
              <w:rPr>
                <w:rFonts w:hint="eastAsia"/>
                <w:sz w:val="24"/>
                <w:szCs w:val="24"/>
                <w:u w:val="none"/>
                <w:lang w:val="en-US" w:eastAsia="zh-CN"/>
              </w:rPr>
              <w:t>利用购买的标准厂房进行智能包装制造项目的生产建设</w:t>
            </w:r>
            <w:r>
              <w:rPr>
                <w:rFonts w:hint="eastAsia"/>
                <w:sz w:val="24"/>
                <w:szCs w:val="24"/>
                <w:lang w:val="en-US" w:eastAsia="zh-CN"/>
              </w:rPr>
              <w:t>活动，建成后可形成年产智能芯片栈板、木箱等木制品包装15万只；中空板片材、中空板箱等塑料制品制造500万只；智能条形码纸片和纸箱等纸类产品印刷200万只；珍珠棉绿色缓冲材等泡沫制品加工500万片的生产能力。</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eastAsia="宋体"/>
                <w:b/>
                <w:bCs/>
                <w:sz w:val="24"/>
                <w:szCs w:val="24"/>
                <w:lang w:val="en-US" w:eastAsia="zh-CN"/>
              </w:rPr>
            </w:pPr>
            <w:r>
              <w:rPr>
                <w:rFonts w:hint="eastAsia"/>
                <w:b/>
                <w:bCs/>
                <w:sz w:val="24"/>
                <w:szCs w:val="24"/>
                <w:lang w:val="en-US" w:eastAsia="zh-CN"/>
              </w:rPr>
              <w:t>2、主要产品及产能情况</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b/>
                <w:bCs/>
                <w:sz w:val="24"/>
                <w:szCs w:val="24"/>
                <w:lang w:val="en-US" w:eastAsia="zh-CN"/>
              </w:rPr>
            </w:pPr>
            <w:r>
              <w:rPr>
                <w:rFonts w:hint="eastAsia"/>
                <w:b/>
                <w:bCs/>
                <w:sz w:val="24"/>
                <w:szCs w:val="24"/>
                <w:lang w:val="en-US" w:eastAsia="zh-CN"/>
              </w:rPr>
              <w:t>表2-1  建设项目主要产品及产能情况</w:t>
            </w:r>
          </w:p>
          <w:tbl>
            <w:tblPr>
              <w:tblStyle w:val="19"/>
              <w:tblW w:w="8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83"/>
              <w:gridCol w:w="1283"/>
              <w:gridCol w:w="1679"/>
              <w:gridCol w:w="1110"/>
              <w:gridCol w:w="1574"/>
              <w:gridCol w:w="1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sz w:val="21"/>
                      <w:szCs w:val="21"/>
                      <w:lang w:val="en-US" w:eastAsia="zh-CN"/>
                    </w:rPr>
                  </w:pPr>
                  <w:r>
                    <w:rPr>
                      <w:rFonts w:hint="eastAsia"/>
                      <w:b/>
                      <w:sz w:val="21"/>
                      <w:szCs w:val="21"/>
                      <w:lang w:val="en-US" w:eastAsia="zh-CN"/>
                    </w:rPr>
                    <w:t>行业类别</w:t>
                  </w:r>
                </w:p>
              </w:tc>
              <w:tc>
                <w:tcPr>
                  <w:tcW w:w="12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r>
                    <w:rPr>
                      <w:rFonts w:hint="eastAsia"/>
                      <w:b/>
                      <w:sz w:val="21"/>
                      <w:szCs w:val="21"/>
                    </w:rPr>
                    <w:t>生产线名称</w:t>
                  </w:r>
                </w:p>
              </w:tc>
              <w:tc>
                <w:tcPr>
                  <w:tcW w:w="1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r>
                    <w:rPr>
                      <w:rFonts w:hint="eastAsia"/>
                      <w:b/>
                      <w:sz w:val="21"/>
                      <w:szCs w:val="21"/>
                    </w:rPr>
                    <w:t>产品名称</w:t>
                  </w:r>
                </w:p>
              </w:tc>
              <w:tc>
                <w:tcPr>
                  <w:tcW w:w="11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r>
                    <w:rPr>
                      <w:rFonts w:hint="eastAsia"/>
                      <w:b/>
                      <w:sz w:val="21"/>
                      <w:szCs w:val="21"/>
                    </w:rPr>
                    <w:t>生产能力</w:t>
                  </w:r>
                </w:p>
              </w:tc>
              <w:tc>
                <w:tcPr>
                  <w:tcW w:w="15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r>
                    <w:rPr>
                      <w:rFonts w:hint="eastAsia"/>
                      <w:b/>
                      <w:sz w:val="21"/>
                      <w:szCs w:val="21"/>
                    </w:rPr>
                    <w:t>设计年生产时间</w:t>
                  </w:r>
                </w:p>
              </w:tc>
              <w:tc>
                <w:tcPr>
                  <w:tcW w:w="15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sz w:val="21"/>
                      <w:szCs w:val="21"/>
                      <w:lang w:val="en-US" w:eastAsia="zh-CN"/>
                    </w:rPr>
                  </w:pPr>
                  <w:r>
                    <w:rPr>
                      <w:rFonts w:hint="eastAsia"/>
                      <w:b/>
                      <w:sz w:val="21"/>
                      <w:szCs w:val="21"/>
                      <w:lang w:val="en-US" w:eastAsia="zh-CN"/>
                    </w:rPr>
                    <w:t>产品规格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default" w:ascii="Times New Roman" w:hAnsi="Times New Roman" w:cs="Times New Roman"/>
                      <w:color w:val="auto"/>
                      <w:sz w:val="21"/>
                      <w:szCs w:val="21"/>
                    </w:rPr>
                    <w:t>[C</w:t>
                  </w:r>
                  <w:r>
                    <w:rPr>
                      <w:rFonts w:hint="default" w:ascii="Times New Roman" w:hAnsi="Times New Roman" w:cs="Times New Roman"/>
                      <w:color w:val="auto"/>
                      <w:sz w:val="21"/>
                      <w:szCs w:val="21"/>
                      <w:lang w:val="en-US" w:eastAsia="zh-CN"/>
                    </w:rPr>
                    <w:t>2239</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其他纸制品制造</w:t>
                  </w:r>
                </w:p>
              </w:tc>
              <w:tc>
                <w:tcPr>
                  <w:tcW w:w="12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纸制品加工</w:t>
                  </w:r>
                </w:p>
              </w:tc>
              <w:tc>
                <w:tcPr>
                  <w:tcW w:w="1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纸箱</w:t>
                  </w:r>
                </w:p>
              </w:tc>
              <w:tc>
                <w:tcPr>
                  <w:tcW w:w="11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200万只/年</w:t>
                  </w:r>
                </w:p>
              </w:tc>
              <w:tc>
                <w:tcPr>
                  <w:tcW w:w="15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750h</w:t>
                  </w:r>
                </w:p>
              </w:tc>
              <w:tc>
                <w:tcPr>
                  <w:tcW w:w="15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根据客户定制要求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ascii="Times New Roman" w:hAnsi="Times New Roman" w:eastAsia="宋体" w:cs="Times New Roman"/>
                      <w:sz w:val="21"/>
                      <w:szCs w:val="21"/>
                    </w:rPr>
                    <w:t>[</w:t>
                  </w:r>
                  <w:r>
                    <w:rPr>
                      <w:rFonts w:hint="eastAsia" w:ascii="Times New Roman" w:hAnsi="Times New Roman" w:eastAsia="宋体" w:cs="Times New Roman"/>
                      <w:sz w:val="21"/>
                      <w:szCs w:val="21"/>
                    </w:rPr>
                    <w:t>C2035</w:t>
                  </w:r>
                  <w:r>
                    <w:rPr>
                      <w:rFonts w:ascii="Times New Roman" w:hAnsi="Times New Roman" w:eastAsia="宋体" w:cs="Times New Roman"/>
                      <w:sz w:val="21"/>
                      <w:szCs w:val="21"/>
                    </w:rPr>
                    <w:t>]</w:t>
                  </w:r>
                  <w:r>
                    <w:rPr>
                      <w:rFonts w:hint="eastAsia" w:ascii="Times New Roman" w:hAnsi="Times New Roman" w:eastAsia="宋体" w:cs="Times New Roman"/>
                      <w:sz w:val="21"/>
                      <w:szCs w:val="21"/>
                    </w:rPr>
                    <w:t>木</w:t>
                  </w:r>
                  <w:r>
                    <w:rPr>
                      <w:rFonts w:hint="eastAsia"/>
                      <w:sz w:val="21"/>
                      <w:szCs w:val="21"/>
                      <w:lang w:val="en-US" w:eastAsia="zh-CN"/>
                    </w:rPr>
                    <w:t>制</w:t>
                  </w:r>
                  <w:r>
                    <w:rPr>
                      <w:rFonts w:hint="eastAsia" w:ascii="Times New Roman" w:hAnsi="Times New Roman" w:eastAsia="宋体" w:cs="Times New Roman"/>
                      <w:sz w:val="21"/>
                      <w:szCs w:val="21"/>
                    </w:rPr>
                    <w:t>容器制造</w:t>
                  </w:r>
                </w:p>
              </w:tc>
              <w:tc>
                <w:tcPr>
                  <w:tcW w:w="12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木制品加工</w:t>
                  </w:r>
                </w:p>
              </w:tc>
              <w:tc>
                <w:tcPr>
                  <w:tcW w:w="1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木箱、智能芯片栈板</w:t>
                  </w:r>
                </w:p>
              </w:tc>
              <w:tc>
                <w:tcPr>
                  <w:tcW w:w="11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15万只/年</w:t>
                  </w:r>
                </w:p>
              </w:tc>
              <w:tc>
                <w:tcPr>
                  <w:tcW w:w="15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r>
                    <w:rPr>
                      <w:rFonts w:hint="eastAsia"/>
                      <w:sz w:val="21"/>
                      <w:szCs w:val="21"/>
                      <w:vertAlign w:val="baseline"/>
                      <w:lang w:val="en-US" w:eastAsia="zh-CN"/>
                    </w:rPr>
                    <w:t>2000h</w:t>
                  </w:r>
                </w:p>
              </w:tc>
              <w:tc>
                <w:tcPr>
                  <w:tcW w:w="15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芯片为外购贸易品，根据客户定制要求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ascii="Times New Roman" w:hAnsi="Times New Roman" w:eastAsia="宋体" w:cs="Times New Roman"/>
                      <w:sz w:val="21"/>
                      <w:szCs w:val="21"/>
                    </w:rPr>
                    <w:t>[C2924</w:t>
                  </w:r>
                  <w:r>
                    <w:rPr>
                      <w:rFonts w:ascii="Times New Roman" w:hAnsi="Times New Roman" w:eastAsia="宋体" w:cs="Times New Roman"/>
                      <w:sz w:val="21"/>
                      <w:szCs w:val="21"/>
                    </w:rPr>
                    <w:t>]</w:t>
                  </w:r>
                  <w:r>
                    <w:rPr>
                      <w:rFonts w:hint="eastAsia" w:ascii="Times New Roman" w:hAnsi="Times New Roman" w:eastAsia="宋体" w:cs="Times New Roman"/>
                      <w:sz w:val="21"/>
                      <w:szCs w:val="21"/>
                    </w:rPr>
                    <w:t>泡沫</w:t>
                  </w:r>
                  <w:r>
                    <w:rPr>
                      <w:rFonts w:hint="eastAsia" w:ascii="Times New Roman" w:hAnsi="Times New Roman" w:eastAsia="宋体" w:cs="Times New Roman"/>
                      <w:sz w:val="21"/>
                      <w:szCs w:val="21"/>
                      <w:lang w:val="en-US" w:eastAsia="zh-CN"/>
                    </w:rPr>
                    <w:t>塑料制造</w:t>
                  </w:r>
                </w:p>
              </w:tc>
              <w:tc>
                <w:tcPr>
                  <w:tcW w:w="12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泡沫制品加工</w:t>
                  </w:r>
                </w:p>
              </w:tc>
              <w:tc>
                <w:tcPr>
                  <w:tcW w:w="1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珍珠棉绿色缓冲材</w:t>
                  </w:r>
                </w:p>
              </w:tc>
              <w:tc>
                <w:tcPr>
                  <w:tcW w:w="11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500万只/年</w:t>
                  </w:r>
                </w:p>
              </w:tc>
              <w:tc>
                <w:tcPr>
                  <w:tcW w:w="15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5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根据客户定制要求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12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ascii="Times New Roman" w:hAnsi="Times New Roman" w:eastAsia="宋体" w:cs="Times New Roman"/>
                      <w:sz w:val="21"/>
                      <w:szCs w:val="21"/>
                    </w:rPr>
                    <w:t>[C2926</w:t>
                  </w:r>
                  <w:r>
                    <w:rPr>
                      <w:rFonts w:ascii="Times New Roman" w:hAnsi="Times New Roman" w:eastAsia="宋体" w:cs="Times New Roman"/>
                      <w:sz w:val="21"/>
                      <w:szCs w:val="21"/>
                    </w:rPr>
                    <w:t>]</w:t>
                  </w:r>
                  <w:r>
                    <w:rPr>
                      <w:rFonts w:hint="eastAsia" w:ascii="Times New Roman" w:hAnsi="Times New Roman" w:eastAsia="宋体" w:cs="Times New Roman"/>
                      <w:sz w:val="21"/>
                      <w:szCs w:val="21"/>
                    </w:rPr>
                    <w:t>塑料包装箱及容器制造</w:t>
                  </w:r>
                </w:p>
              </w:tc>
              <w:tc>
                <w:tcPr>
                  <w:tcW w:w="12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塑料制品加工</w:t>
                  </w:r>
                </w:p>
              </w:tc>
              <w:tc>
                <w:tcPr>
                  <w:tcW w:w="1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中空板片材、中空板箱</w:t>
                  </w:r>
                </w:p>
              </w:tc>
              <w:tc>
                <w:tcPr>
                  <w:tcW w:w="11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500万只/年</w:t>
                  </w:r>
                </w:p>
              </w:tc>
              <w:tc>
                <w:tcPr>
                  <w:tcW w:w="15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5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根据客户定制要求</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b/>
                <w:bCs/>
                <w:sz w:val="24"/>
                <w:szCs w:val="24"/>
                <w:lang w:val="en-US" w:eastAsia="zh-CN"/>
              </w:rPr>
            </w:pPr>
            <w:r>
              <w:rPr>
                <w:rFonts w:hint="eastAsia"/>
                <w:b/>
                <w:bCs/>
                <w:sz w:val="24"/>
                <w:szCs w:val="24"/>
                <w:lang w:val="en-US" w:eastAsia="zh-CN"/>
              </w:rPr>
              <w:t>3、主要生产单元、主要工艺及生产设施名称一览表</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b/>
                <w:bCs/>
                <w:sz w:val="24"/>
                <w:szCs w:val="24"/>
                <w:lang w:val="en-US" w:eastAsia="zh-CN"/>
              </w:rPr>
            </w:pPr>
            <w:r>
              <w:rPr>
                <w:rFonts w:hint="eastAsia"/>
                <w:b/>
                <w:bCs/>
                <w:sz w:val="24"/>
                <w:szCs w:val="24"/>
                <w:lang w:val="en-US" w:eastAsia="zh-CN"/>
              </w:rPr>
              <w:t>表2-2  本项目主要生产单元、主要工艺及生产设施名称一览表</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00"/>
              <w:gridCol w:w="850"/>
              <w:gridCol w:w="851"/>
              <w:gridCol w:w="850"/>
              <w:gridCol w:w="851"/>
              <w:gridCol w:w="1701"/>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主要生产单元</w:t>
                  </w: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主要工艺</w:t>
                  </w: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bCs/>
                      <w:sz w:val="21"/>
                      <w:szCs w:val="21"/>
                      <w:vertAlign w:val="baseline"/>
                      <w:lang w:val="en-US" w:eastAsia="zh-CN"/>
                    </w:rPr>
                  </w:pPr>
                  <w:r>
                    <w:rPr>
                      <w:rFonts w:hint="eastAsia"/>
                      <w:b/>
                      <w:bCs/>
                      <w:sz w:val="21"/>
                      <w:szCs w:val="21"/>
                      <w:vertAlign w:val="baseline"/>
                      <w:lang w:val="en-US" w:eastAsia="zh-CN"/>
                    </w:rPr>
                    <w:t>生产设施</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设施参数</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bCs/>
                      <w:sz w:val="21"/>
                      <w:szCs w:val="21"/>
                      <w:vertAlign w:val="baseline"/>
                      <w:lang w:val="en-US" w:eastAsia="zh-CN"/>
                    </w:rPr>
                  </w:pPr>
                  <w:r>
                    <w:rPr>
                      <w:rFonts w:hint="eastAsia"/>
                      <w:b/>
                      <w:bCs/>
                      <w:sz w:val="21"/>
                      <w:szCs w:val="21"/>
                      <w:vertAlign w:val="baseline"/>
                      <w:lang w:val="en-US" w:eastAsia="zh-CN"/>
                    </w:rPr>
                    <w:t>数量（台/套）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r>
                    <w:rPr>
                      <w:rFonts w:hint="eastAsia"/>
                      <w:sz w:val="21"/>
                      <w:szCs w:val="21"/>
                      <w:vertAlign w:val="baseline"/>
                      <w:lang w:val="en-US" w:eastAsia="zh-CN"/>
                    </w:rPr>
                    <w:t>纸制品加工</w:t>
                  </w: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分切压线</w:t>
                  </w: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分纸压线机</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1.5KW</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8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印刷、开槽（柔版印刷）</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开槽</w:t>
                  </w:r>
                </w:p>
              </w:tc>
              <w:tc>
                <w:tcPr>
                  <w:tcW w:w="8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自动双色印刷开槽机</w:t>
                  </w: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开槽部</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w:t>
                  </w:r>
                </w:p>
              </w:tc>
              <w:tc>
                <w:tcPr>
                  <w:tcW w:w="170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1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p>
              </w:tc>
              <w:tc>
                <w:tcPr>
                  <w:tcW w:w="8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lang w:val="en-US" w:eastAsia="zh-CN"/>
                    </w:rPr>
                  </w:pPr>
                  <w:r>
                    <w:rPr>
                      <w:rFonts w:hint="eastAsia"/>
                      <w:lang w:val="en-US" w:eastAsia="zh-CN"/>
                    </w:rPr>
                    <w:t>印刷（柔版印刷）</w:t>
                  </w:r>
                </w:p>
              </w:tc>
              <w:tc>
                <w:tcPr>
                  <w:tcW w:w="8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p>
              </w:tc>
              <w:tc>
                <w:tcPr>
                  <w:tcW w:w="8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印刷设备</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eastAsia="zh-CN"/>
                    </w:rPr>
                  </w:pPr>
                  <w:r>
                    <w:rPr>
                      <w:rFonts w:hint="eastAsia"/>
                      <w:sz w:val="21"/>
                      <w:szCs w:val="21"/>
                      <w:vertAlign w:val="baseline"/>
                      <w:lang w:val="en-US" w:eastAsia="zh-CN"/>
                    </w:rPr>
                    <w:t>50m/min</w:t>
                  </w:r>
                </w:p>
              </w:tc>
              <w:tc>
                <w:tcPr>
                  <w:tcW w:w="17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701"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打钉（黏胶）</w:t>
                  </w: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打钉机</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0.5KW</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701"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糊箱机</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2KW</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包装</w:t>
                  </w: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半自动捆绑机</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0.55KW</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木制品加工</w:t>
                  </w: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下料</w:t>
                  </w: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平面下料机</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3KW</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p>
              </w:tc>
              <w:tc>
                <w:tcPr>
                  <w:tcW w:w="1701"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板材加工、配件加工</w:t>
                  </w: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普通锯床</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p>
              </w:tc>
              <w:tc>
                <w:tcPr>
                  <w:tcW w:w="1701"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压刨床</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4KW</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组装</w:t>
                  </w: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打钉机</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0.5KW</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泡沫、塑料制品加工</w:t>
                  </w:r>
                </w:p>
              </w:tc>
              <w:tc>
                <w:tcPr>
                  <w:tcW w:w="1701"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分切</w:t>
                  </w: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泡棉直切机</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4KW</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c>
                <w:tcPr>
                  <w:tcW w:w="1701"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中空板裁切机</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成型（粘合）</w:t>
                  </w: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热熔机</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5KW</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包装</w:t>
                  </w: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半自动捆绑机</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0.55KW</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压缩空气</w:t>
                  </w:r>
                </w:p>
              </w:tc>
              <w:tc>
                <w:tcPr>
                  <w:tcW w:w="170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空压机</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1.1m</w:t>
                  </w:r>
                  <w:r>
                    <w:rPr>
                      <w:rFonts w:hint="eastAsia"/>
                      <w:sz w:val="21"/>
                      <w:szCs w:val="21"/>
                      <w:vertAlign w:val="superscript"/>
                      <w:lang w:val="en-US" w:eastAsia="zh-CN"/>
                    </w:rPr>
                    <w:t>3</w:t>
                  </w:r>
                  <w:r>
                    <w:rPr>
                      <w:rFonts w:hint="eastAsia"/>
                      <w:sz w:val="21"/>
                      <w:szCs w:val="21"/>
                      <w:vertAlign w:val="baseline"/>
                      <w:lang w:val="en-US" w:eastAsia="zh-CN"/>
                    </w:rPr>
                    <w:t>/min</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1</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361" w:firstLineChars="200"/>
              <w:textAlignment w:val="auto"/>
              <w:rPr>
                <w:sz w:val="18"/>
                <w:szCs w:val="18"/>
              </w:rPr>
            </w:pPr>
            <w:r>
              <w:rPr>
                <w:rFonts w:hint="eastAsia"/>
                <w:b/>
                <w:bCs/>
                <w:color w:val="000000"/>
                <w:kern w:val="0"/>
                <w:sz w:val="18"/>
                <w:szCs w:val="18"/>
                <w:lang w:bidi="ar"/>
              </w:rPr>
              <w:t>注：</w:t>
            </w:r>
            <w:r>
              <w:rPr>
                <w:b/>
                <w:bCs/>
                <w:color w:val="000000"/>
                <w:kern w:val="0"/>
                <w:sz w:val="18"/>
                <w:szCs w:val="18"/>
                <w:lang w:bidi="ar"/>
              </w:rPr>
              <w:t>根据《产业结构调整指导目录》、《高耗能落后机电设备（产品）淘汰目录》（第一批）、《高耗能落后机电设备（产品）淘汰目录》（第二批）、《高耗能落后机电设备（产品）淘汰目录》（第三批）、《高耗能落后机电设备（产品）淘汰目录》（第四批），本项目生产设备均不属于其中的淘汰或落后设备</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outlineLvl w:val="1"/>
              <w:rPr>
                <w:rFonts w:hint="eastAsia"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产能匹配性分析：项目设置</w:t>
            </w:r>
            <w:r>
              <w:rPr>
                <w:rFonts w:hint="eastAsia" w:cs="Times New Roman"/>
                <w:b w:val="0"/>
                <w:bCs w:val="0"/>
                <w:color w:val="auto"/>
                <w:sz w:val="24"/>
                <w:szCs w:val="24"/>
                <w:lang w:val="en-US" w:eastAsia="zh-CN"/>
              </w:rPr>
              <w:t>1</w:t>
            </w:r>
            <w:r>
              <w:rPr>
                <w:rFonts w:hint="default" w:ascii="Times New Roman" w:hAnsi="Times New Roman" w:cs="Times New Roman"/>
                <w:b w:val="0"/>
                <w:bCs w:val="0"/>
                <w:color w:val="auto"/>
                <w:sz w:val="24"/>
                <w:szCs w:val="24"/>
                <w:lang w:val="en-US" w:eastAsia="zh-CN"/>
              </w:rPr>
              <w:t>台</w:t>
            </w:r>
            <w:r>
              <w:rPr>
                <w:rFonts w:hint="eastAsia" w:ascii="Times New Roman" w:hAnsi="Times New Roman" w:cs="Times New Roman"/>
                <w:b w:val="0"/>
                <w:bCs w:val="0"/>
                <w:color w:val="auto"/>
                <w:sz w:val="24"/>
                <w:szCs w:val="24"/>
                <w:lang w:val="en-US" w:eastAsia="zh-CN"/>
              </w:rPr>
              <w:t>印刷设备</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纸制品加工印刷设备</w:t>
            </w:r>
            <w:r>
              <w:rPr>
                <w:rFonts w:hint="default" w:ascii="Times New Roman" w:hAnsi="Times New Roman" w:cs="Times New Roman"/>
                <w:b w:val="0"/>
                <w:bCs w:val="0"/>
                <w:color w:val="auto"/>
                <w:sz w:val="24"/>
                <w:szCs w:val="24"/>
                <w:lang w:val="en-US" w:eastAsia="zh-CN"/>
              </w:rPr>
              <w:t>平均生产能力为</w:t>
            </w:r>
            <w:r>
              <w:rPr>
                <w:rFonts w:hint="eastAsia" w:cs="Times New Roman"/>
                <w:b w:val="0"/>
                <w:bCs w:val="0"/>
                <w:color w:val="auto"/>
                <w:sz w:val="24"/>
                <w:szCs w:val="24"/>
                <w:lang w:val="en-US" w:eastAsia="zh-CN"/>
              </w:rPr>
              <w:t>5</w:t>
            </w:r>
            <w:r>
              <w:rPr>
                <w:rFonts w:hint="eastAsia" w:ascii="Times New Roman" w:hAnsi="Times New Roman" w:cs="Times New Roman"/>
                <w:b w:val="0"/>
                <w:bCs w:val="0"/>
                <w:color w:val="auto"/>
                <w:sz w:val="24"/>
                <w:szCs w:val="24"/>
                <w:lang w:val="en-US" w:eastAsia="zh-CN"/>
              </w:rPr>
              <w:t>0</w:t>
            </w:r>
            <w:r>
              <w:rPr>
                <w:rFonts w:hint="eastAsia" w:ascii="Times New Roman" w:hAnsi="Times New Roman" w:eastAsia="宋体" w:cs="Times New Roman"/>
                <w:color w:val="auto"/>
                <w:kern w:val="2"/>
                <w:sz w:val="24"/>
                <w:szCs w:val="24"/>
                <w:highlight w:val="none"/>
                <w:lang w:val="en-US" w:eastAsia="zh-CN" w:bidi="ar-SA"/>
              </w:rPr>
              <w:t>m/min</w:t>
            </w:r>
            <w:r>
              <w:rPr>
                <w:rFonts w:hint="default" w:ascii="Times New Roman" w:hAnsi="Times New Roman" w:cs="Times New Roman"/>
                <w:b w:val="0"/>
                <w:bCs w:val="0"/>
                <w:color w:val="auto"/>
                <w:sz w:val="24"/>
                <w:szCs w:val="24"/>
                <w:lang w:val="en-US" w:eastAsia="zh-CN"/>
              </w:rPr>
              <w:t>，每天运行约</w:t>
            </w:r>
            <w:r>
              <w:rPr>
                <w:rFonts w:hint="eastAsia" w:cs="Times New Roman"/>
                <w:b w:val="0"/>
                <w:bCs w:val="0"/>
                <w:color w:val="auto"/>
                <w:sz w:val="24"/>
                <w:szCs w:val="24"/>
                <w:lang w:val="en-US" w:eastAsia="zh-CN"/>
              </w:rPr>
              <w:t>3</w:t>
            </w:r>
            <w:r>
              <w:rPr>
                <w:rFonts w:hint="default" w:ascii="Times New Roman" w:hAnsi="Times New Roman" w:cs="Times New Roman"/>
                <w:b w:val="0"/>
                <w:bCs w:val="0"/>
                <w:color w:val="auto"/>
                <w:sz w:val="24"/>
                <w:szCs w:val="24"/>
                <w:lang w:val="en-US" w:eastAsia="zh-CN"/>
              </w:rPr>
              <w:t>h，年生产</w:t>
            </w:r>
            <w:r>
              <w:rPr>
                <w:rFonts w:hint="eastAsia" w:cs="Times New Roman"/>
                <w:b w:val="0"/>
                <w:bCs w:val="0"/>
                <w:color w:val="auto"/>
                <w:sz w:val="24"/>
                <w:szCs w:val="24"/>
                <w:lang w:val="en-US" w:eastAsia="zh-CN"/>
              </w:rPr>
              <w:t>25</w:t>
            </w:r>
            <w:r>
              <w:rPr>
                <w:rFonts w:hint="default" w:ascii="Times New Roman" w:hAnsi="Times New Roman" w:cs="Times New Roman"/>
                <w:b w:val="0"/>
                <w:bCs w:val="0"/>
                <w:color w:val="auto"/>
                <w:sz w:val="24"/>
                <w:szCs w:val="24"/>
                <w:lang w:val="en-US" w:eastAsia="zh-CN"/>
              </w:rPr>
              <w:t>0天计，理论设计可达</w:t>
            </w:r>
            <w:r>
              <w:rPr>
                <w:rFonts w:hint="eastAsia" w:cs="Times New Roman"/>
                <w:b w:val="0"/>
                <w:bCs w:val="0"/>
                <w:color w:val="auto"/>
                <w:sz w:val="24"/>
                <w:szCs w:val="24"/>
                <w:lang w:val="en-US" w:eastAsia="zh-CN"/>
              </w:rPr>
              <w:t>225</w:t>
            </w:r>
            <w:r>
              <w:rPr>
                <w:rFonts w:hint="eastAsia" w:ascii="Times New Roman" w:hAnsi="Times New Roman" w:cs="Times New Roman"/>
                <w:b w:val="0"/>
                <w:bCs w:val="0"/>
                <w:color w:val="auto"/>
                <w:sz w:val="24"/>
                <w:szCs w:val="24"/>
                <w:lang w:val="en-US" w:eastAsia="zh-CN"/>
              </w:rPr>
              <w:t>万米/年</w:t>
            </w:r>
            <w:r>
              <w:rPr>
                <w:rFonts w:hint="default" w:ascii="Times New Roman" w:hAnsi="Times New Roman" w:cs="Times New Roman"/>
                <w:b w:val="0"/>
                <w:bCs w:val="0"/>
                <w:color w:val="auto"/>
                <w:sz w:val="24"/>
                <w:szCs w:val="24"/>
                <w:lang w:val="en-US" w:eastAsia="zh-CN"/>
              </w:rPr>
              <w:t>，可满足本项目</w:t>
            </w:r>
            <w:r>
              <w:rPr>
                <w:rFonts w:hint="eastAsia" w:cs="Times New Roman"/>
                <w:b w:val="0"/>
                <w:bCs w:val="0"/>
                <w:color w:val="auto"/>
                <w:sz w:val="24"/>
                <w:szCs w:val="24"/>
                <w:lang w:val="en-US" w:eastAsia="zh-CN"/>
              </w:rPr>
              <w:t>20</w:t>
            </w:r>
            <w:r>
              <w:rPr>
                <w:rFonts w:hint="eastAsia" w:ascii="Times New Roman" w:hAnsi="Times New Roman" w:cs="Times New Roman"/>
                <w:b w:val="0"/>
                <w:bCs w:val="0"/>
                <w:color w:val="auto"/>
                <w:sz w:val="24"/>
                <w:szCs w:val="24"/>
                <w:lang w:val="en-US" w:eastAsia="zh-CN"/>
              </w:rPr>
              <w:t>0万米</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年（本项目纸板规格为1500*500mm，纸板年用量为1</w:t>
            </w:r>
            <w:r>
              <w:rPr>
                <w:rFonts w:hint="eastAsia" w:cs="Times New Roman"/>
                <w:b w:val="0"/>
                <w:bCs w:val="0"/>
                <w:color w:val="auto"/>
                <w:sz w:val="24"/>
                <w:szCs w:val="24"/>
                <w:lang w:val="en-US" w:eastAsia="zh-CN"/>
              </w:rPr>
              <w:t>0</w:t>
            </w:r>
            <w:r>
              <w:rPr>
                <w:rFonts w:hint="eastAsia" w:ascii="Times New Roman" w:hAnsi="Times New Roman" w:cs="Times New Roman"/>
                <w:b w:val="0"/>
                <w:bCs w:val="0"/>
                <w:color w:val="auto"/>
                <w:sz w:val="24"/>
                <w:szCs w:val="24"/>
                <w:lang w:val="en-US" w:eastAsia="zh-CN"/>
              </w:rPr>
              <w:t>0万平方米，根据进纸方向为长边进纸，则纸板长度</w:t>
            </w:r>
            <w:r>
              <w:rPr>
                <w:rFonts w:hint="eastAsia" w:cs="Times New Roman"/>
                <w:b w:val="0"/>
                <w:bCs w:val="0"/>
                <w:color w:val="auto"/>
                <w:sz w:val="24"/>
                <w:szCs w:val="24"/>
                <w:lang w:val="en-US" w:eastAsia="zh-CN"/>
              </w:rPr>
              <w:t>约</w:t>
            </w:r>
            <w:r>
              <w:rPr>
                <w:rFonts w:hint="eastAsia" w:ascii="Times New Roman" w:hAnsi="Times New Roman" w:cs="Times New Roman"/>
                <w:b w:val="0"/>
                <w:bCs w:val="0"/>
                <w:color w:val="auto"/>
                <w:sz w:val="24"/>
                <w:szCs w:val="24"/>
                <w:lang w:val="en-US" w:eastAsia="zh-CN"/>
              </w:rPr>
              <w:t>为</w:t>
            </w:r>
            <w:r>
              <w:rPr>
                <w:rFonts w:hint="eastAsia" w:cs="Times New Roman"/>
                <w:b w:val="0"/>
                <w:bCs w:val="0"/>
                <w:color w:val="auto"/>
                <w:sz w:val="24"/>
                <w:szCs w:val="24"/>
                <w:lang w:val="en-US" w:eastAsia="zh-CN"/>
              </w:rPr>
              <w:t>200</w:t>
            </w:r>
            <w:r>
              <w:rPr>
                <w:rFonts w:hint="eastAsia" w:ascii="Times New Roman" w:hAnsi="Times New Roman" w:cs="Times New Roman"/>
                <w:b w:val="0"/>
                <w:bCs w:val="0"/>
                <w:color w:val="auto"/>
                <w:sz w:val="24"/>
                <w:szCs w:val="24"/>
                <w:lang w:val="en-US" w:eastAsia="zh-CN"/>
              </w:rPr>
              <w:t>万米/年）。</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eastAsia="宋体"/>
                <w:b/>
                <w:bCs/>
                <w:sz w:val="24"/>
                <w:szCs w:val="24"/>
                <w:lang w:val="en-US" w:eastAsia="zh-CN"/>
              </w:rPr>
            </w:pPr>
            <w:r>
              <w:rPr>
                <w:rFonts w:hint="eastAsia"/>
                <w:b/>
                <w:bCs/>
                <w:sz w:val="24"/>
                <w:szCs w:val="24"/>
                <w:lang w:val="en-US" w:eastAsia="zh-CN"/>
              </w:rPr>
              <w:t>4、建设项目原辅材料消耗表</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eastAsia="宋体"/>
                <w:b/>
                <w:bCs/>
                <w:sz w:val="24"/>
                <w:szCs w:val="24"/>
                <w:lang w:val="en-US" w:eastAsia="zh-CN"/>
              </w:rPr>
            </w:pPr>
            <w:r>
              <w:rPr>
                <w:rFonts w:hint="eastAsia"/>
                <w:b/>
                <w:bCs/>
                <w:sz w:val="24"/>
                <w:szCs w:val="24"/>
                <w:lang w:val="en-US" w:eastAsia="zh-CN"/>
              </w:rPr>
              <w:t>表2-3  建设项目原辅材料消耗表</w:t>
            </w:r>
          </w:p>
          <w:tbl>
            <w:tblPr>
              <w:tblStyle w:val="19"/>
              <w:tblW w:w="84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45"/>
              <w:gridCol w:w="1142"/>
              <w:gridCol w:w="1142"/>
              <w:gridCol w:w="2051"/>
              <w:gridCol w:w="831"/>
              <w:gridCol w:w="999"/>
              <w:gridCol w:w="838"/>
              <w:gridCol w:w="10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bCs/>
                      <w:sz w:val="21"/>
                      <w:szCs w:val="21"/>
                      <w:vertAlign w:val="baseline"/>
                      <w:lang w:val="en-US" w:eastAsia="zh-CN"/>
                    </w:rPr>
                  </w:pPr>
                  <w:r>
                    <w:rPr>
                      <w:rFonts w:hint="eastAsia"/>
                      <w:b/>
                      <w:bCs/>
                      <w:sz w:val="21"/>
                      <w:szCs w:val="21"/>
                      <w:vertAlign w:val="baseline"/>
                      <w:lang w:val="en-US" w:eastAsia="zh-CN"/>
                    </w:rPr>
                    <w:t>序号</w:t>
                  </w:r>
                </w:p>
              </w:tc>
              <w:tc>
                <w:tcPr>
                  <w:tcW w:w="11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产品</w:t>
                  </w:r>
                </w:p>
              </w:tc>
              <w:tc>
                <w:tcPr>
                  <w:tcW w:w="11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名称</w:t>
                  </w:r>
                </w:p>
              </w:tc>
              <w:tc>
                <w:tcPr>
                  <w:tcW w:w="2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规格/成分</w:t>
                  </w:r>
                </w:p>
              </w:tc>
              <w:tc>
                <w:tcPr>
                  <w:tcW w:w="8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年耗量</w:t>
                  </w:r>
                </w:p>
              </w:tc>
              <w:tc>
                <w:tcPr>
                  <w:tcW w:w="9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bCs/>
                      <w:sz w:val="21"/>
                      <w:szCs w:val="21"/>
                      <w:vertAlign w:val="baseline"/>
                      <w:lang w:val="en-US" w:eastAsia="zh-CN"/>
                    </w:rPr>
                  </w:pPr>
                  <w:r>
                    <w:rPr>
                      <w:rFonts w:hint="eastAsia"/>
                      <w:b/>
                      <w:bCs/>
                      <w:sz w:val="21"/>
                      <w:szCs w:val="21"/>
                      <w:vertAlign w:val="baseline"/>
                      <w:lang w:val="en-US" w:eastAsia="zh-CN"/>
                    </w:rPr>
                    <w:t>最大储存量</w:t>
                  </w:r>
                </w:p>
              </w:tc>
              <w:tc>
                <w:tcPr>
                  <w:tcW w:w="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包装方式</w:t>
                  </w:r>
                </w:p>
              </w:tc>
              <w:tc>
                <w:tcPr>
                  <w:tcW w:w="1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存储位置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1</w:t>
                  </w:r>
                </w:p>
              </w:tc>
              <w:tc>
                <w:tcPr>
                  <w:tcW w:w="114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纸箱</w:t>
                  </w:r>
                </w:p>
              </w:tc>
              <w:tc>
                <w:tcPr>
                  <w:tcW w:w="11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条形码纸片</w:t>
                  </w:r>
                </w:p>
              </w:tc>
              <w:tc>
                <w:tcPr>
                  <w:tcW w:w="2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w:t>
                  </w:r>
                </w:p>
              </w:tc>
              <w:tc>
                <w:tcPr>
                  <w:tcW w:w="8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200万张</w:t>
                  </w:r>
                </w:p>
              </w:tc>
              <w:tc>
                <w:tcPr>
                  <w:tcW w:w="9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20万张</w:t>
                  </w:r>
                </w:p>
              </w:tc>
              <w:tc>
                <w:tcPr>
                  <w:tcW w:w="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散装</w:t>
                  </w:r>
                </w:p>
              </w:tc>
              <w:tc>
                <w:tcPr>
                  <w:tcW w:w="105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原料堆放区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2</w:t>
                  </w:r>
                </w:p>
              </w:tc>
              <w:tc>
                <w:tcPr>
                  <w:tcW w:w="114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c>
                <w:tcPr>
                  <w:tcW w:w="11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纸板</w:t>
                  </w:r>
                </w:p>
              </w:tc>
              <w:tc>
                <w:tcPr>
                  <w:tcW w:w="2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color w:val="auto"/>
                      <w:sz w:val="21"/>
                      <w:szCs w:val="21"/>
                      <w:lang w:eastAsia="zh-CN"/>
                    </w:rPr>
                    <w:t>1500*500*</w:t>
                  </w:r>
                  <w:r>
                    <w:rPr>
                      <w:rFonts w:hint="eastAsia"/>
                      <w:color w:val="auto"/>
                      <w:sz w:val="21"/>
                      <w:szCs w:val="21"/>
                      <w:lang w:val="en-US" w:eastAsia="zh-CN"/>
                    </w:rPr>
                    <w:t>6</w:t>
                  </w:r>
                  <w:r>
                    <w:rPr>
                      <w:rFonts w:hint="eastAsia"/>
                      <w:color w:val="auto"/>
                      <w:sz w:val="21"/>
                      <w:szCs w:val="21"/>
                      <w:lang w:eastAsia="zh-CN"/>
                    </w:rPr>
                    <w:t>mm</w:t>
                  </w:r>
                </w:p>
              </w:tc>
              <w:tc>
                <w:tcPr>
                  <w:tcW w:w="8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100万平方米</w:t>
                  </w:r>
                </w:p>
              </w:tc>
              <w:tc>
                <w:tcPr>
                  <w:tcW w:w="9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10万平方米</w:t>
                  </w:r>
                </w:p>
              </w:tc>
              <w:tc>
                <w:tcPr>
                  <w:tcW w:w="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散装</w:t>
                  </w:r>
                </w:p>
              </w:tc>
              <w:tc>
                <w:tcPr>
                  <w:tcW w:w="1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kern w:val="2"/>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3</w:t>
                  </w:r>
                </w:p>
              </w:tc>
              <w:tc>
                <w:tcPr>
                  <w:tcW w:w="114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c>
                <w:tcPr>
                  <w:tcW w:w="11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白乳胶</w:t>
                  </w:r>
                </w:p>
              </w:tc>
              <w:tc>
                <w:tcPr>
                  <w:tcW w:w="2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eastAsia="zh-CN"/>
                    </w:rPr>
                  </w:pPr>
                  <w:r>
                    <w:rPr>
                      <w:rFonts w:hint="eastAsia"/>
                      <w:sz w:val="21"/>
                      <w:szCs w:val="21"/>
                      <w:vertAlign w:val="baseline"/>
                      <w:lang w:val="en-US" w:eastAsia="zh-CN"/>
                    </w:rPr>
                    <w:t>聚甲基丙烯酸甲酯，其中挥发性有机化合物含量为41g/L</w:t>
                  </w:r>
                </w:p>
              </w:tc>
              <w:tc>
                <w:tcPr>
                  <w:tcW w:w="8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300kg</w:t>
                  </w:r>
                </w:p>
              </w:tc>
              <w:tc>
                <w:tcPr>
                  <w:tcW w:w="9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20kg</w:t>
                  </w:r>
                </w:p>
              </w:tc>
              <w:tc>
                <w:tcPr>
                  <w:tcW w:w="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20kg/桶</w:t>
                  </w:r>
                </w:p>
              </w:tc>
              <w:tc>
                <w:tcPr>
                  <w:tcW w:w="1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4</w:t>
                  </w:r>
                </w:p>
              </w:tc>
              <w:tc>
                <w:tcPr>
                  <w:tcW w:w="114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c>
                <w:tcPr>
                  <w:tcW w:w="11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水性油墨</w:t>
                  </w:r>
                </w:p>
              </w:tc>
              <w:tc>
                <w:tcPr>
                  <w:tcW w:w="2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水性丙烯酸树脂42%~48%</w:t>
                  </w:r>
                </w:p>
              </w:tc>
              <w:tc>
                <w:tcPr>
                  <w:tcW w:w="8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2t</w:t>
                  </w:r>
                </w:p>
              </w:tc>
              <w:tc>
                <w:tcPr>
                  <w:tcW w:w="9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100kg</w:t>
                  </w:r>
                </w:p>
              </w:tc>
              <w:tc>
                <w:tcPr>
                  <w:tcW w:w="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25kg/桶</w:t>
                  </w:r>
                </w:p>
              </w:tc>
              <w:tc>
                <w:tcPr>
                  <w:tcW w:w="1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5</w:t>
                  </w:r>
                </w:p>
              </w:tc>
              <w:tc>
                <w:tcPr>
                  <w:tcW w:w="114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c>
                <w:tcPr>
                  <w:tcW w:w="11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钉子</w:t>
                  </w:r>
                </w:p>
              </w:tc>
              <w:tc>
                <w:tcPr>
                  <w:tcW w:w="2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五金配件</w:t>
                  </w:r>
                </w:p>
              </w:tc>
              <w:tc>
                <w:tcPr>
                  <w:tcW w:w="8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5t</w:t>
                  </w:r>
                </w:p>
              </w:tc>
              <w:tc>
                <w:tcPr>
                  <w:tcW w:w="9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1t</w:t>
                  </w:r>
                </w:p>
              </w:tc>
              <w:tc>
                <w:tcPr>
                  <w:tcW w:w="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箱装</w:t>
                  </w:r>
                </w:p>
              </w:tc>
              <w:tc>
                <w:tcPr>
                  <w:tcW w:w="1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6</w:t>
                  </w:r>
                </w:p>
              </w:tc>
              <w:tc>
                <w:tcPr>
                  <w:tcW w:w="114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木箱、智能芯片栈板</w:t>
                  </w:r>
                </w:p>
              </w:tc>
              <w:tc>
                <w:tcPr>
                  <w:tcW w:w="11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芯片</w:t>
                  </w:r>
                </w:p>
              </w:tc>
              <w:tc>
                <w:tcPr>
                  <w:tcW w:w="2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硅芯片</w:t>
                  </w:r>
                </w:p>
              </w:tc>
              <w:tc>
                <w:tcPr>
                  <w:tcW w:w="8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1000万片</w:t>
                  </w:r>
                </w:p>
              </w:tc>
              <w:tc>
                <w:tcPr>
                  <w:tcW w:w="9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100万片</w:t>
                  </w:r>
                </w:p>
              </w:tc>
              <w:tc>
                <w:tcPr>
                  <w:tcW w:w="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袋装</w:t>
                  </w:r>
                </w:p>
              </w:tc>
              <w:tc>
                <w:tcPr>
                  <w:tcW w:w="1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7</w:t>
                  </w:r>
                </w:p>
              </w:tc>
              <w:tc>
                <w:tcPr>
                  <w:tcW w:w="114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c>
                <w:tcPr>
                  <w:tcW w:w="11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木板</w:t>
                  </w:r>
                </w:p>
              </w:tc>
              <w:tc>
                <w:tcPr>
                  <w:tcW w:w="2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2440*1220*1200mm</w:t>
                  </w:r>
                </w:p>
              </w:tc>
              <w:tc>
                <w:tcPr>
                  <w:tcW w:w="8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2976.8平方米</w:t>
                  </w:r>
                </w:p>
              </w:tc>
              <w:tc>
                <w:tcPr>
                  <w:tcW w:w="9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297.68平方米</w:t>
                  </w:r>
                </w:p>
              </w:tc>
              <w:tc>
                <w:tcPr>
                  <w:tcW w:w="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散装</w:t>
                  </w:r>
                </w:p>
              </w:tc>
              <w:tc>
                <w:tcPr>
                  <w:tcW w:w="1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kern w:val="2"/>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8</w:t>
                  </w:r>
                </w:p>
              </w:tc>
              <w:tc>
                <w:tcPr>
                  <w:tcW w:w="114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c>
                <w:tcPr>
                  <w:tcW w:w="11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包角</w:t>
                  </w:r>
                </w:p>
              </w:tc>
              <w:tc>
                <w:tcPr>
                  <w:tcW w:w="2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五金配件</w:t>
                  </w:r>
                </w:p>
              </w:tc>
              <w:tc>
                <w:tcPr>
                  <w:tcW w:w="8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3万只</w:t>
                  </w:r>
                </w:p>
              </w:tc>
              <w:tc>
                <w:tcPr>
                  <w:tcW w:w="9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1万只</w:t>
                  </w:r>
                </w:p>
              </w:tc>
              <w:tc>
                <w:tcPr>
                  <w:tcW w:w="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箱装</w:t>
                  </w:r>
                </w:p>
              </w:tc>
              <w:tc>
                <w:tcPr>
                  <w:tcW w:w="1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9</w:t>
                  </w:r>
                </w:p>
              </w:tc>
              <w:tc>
                <w:tcPr>
                  <w:tcW w:w="114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珍珠棉绿色缓冲材，中空板片材、中空板箱</w:t>
                  </w:r>
                </w:p>
              </w:tc>
              <w:tc>
                <w:tcPr>
                  <w:tcW w:w="11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EPE珍珠棉</w:t>
                  </w:r>
                </w:p>
              </w:tc>
              <w:tc>
                <w:tcPr>
                  <w:tcW w:w="2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低密度聚乙烯脂</w:t>
                  </w:r>
                </w:p>
              </w:tc>
              <w:tc>
                <w:tcPr>
                  <w:tcW w:w="8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1000万片</w:t>
                  </w:r>
                </w:p>
              </w:tc>
              <w:tc>
                <w:tcPr>
                  <w:tcW w:w="9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100</w:t>
                  </w:r>
                  <w:r>
                    <w:rPr>
                      <w:rFonts w:hint="eastAsia" w:ascii="Times New Roman" w:eastAsia="宋体"/>
                      <w:sz w:val="21"/>
                      <w:szCs w:val="21"/>
                      <w:vertAlign w:val="baseline"/>
                      <w:lang w:val="en-US" w:eastAsia="zh-CN"/>
                    </w:rPr>
                    <w:t>万片</w:t>
                  </w:r>
                </w:p>
              </w:tc>
              <w:tc>
                <w:tcPr>
                  <w:tcW w:w="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散装</w:t>
                  </w:r>
                </w:p>
              </w:tc>
              <w:tc>
                <w:tcPr>
                  <w:tcW w:w="1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kern w:val="2"/>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10</w:t>
                  </w:r>
                </w:p>
              </w:tc>
              <w:tc>
                <w:tcPr>
                  <w:tcW w:w="114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c>
                <w:tcPr>
                  <w:tcW w:w="11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中空板</w:t>
                  </w:r>
                </w:p>
              </w:tc>
              <w:tc>
                <w:tcPr>
                  <w:tcW w:w="2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pp，1200*600*75mm</w:t>
                  </w:r>
                </w:p>
              </w:tc>
              <w:tc>
                <w:tcPr>
                  <w:tcW w:w="8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150万平方米</w:t>
                  </w:r>
                </w:p>
              </w:tc>
              <w:tc>
                <w:tcPr>
                  <w:tcW w:w="9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10</w:t>
                  </w:r>
                  <w:r>
                    <w:rPr>
                      <w:rFonts w:hint="eastAsia" w:ascii="Times New Roman" w:eastAsia="宋体"/>
                      <w:sz w:val="21"/>
                      <w:szCs w:val="21"/>
                      <w:vertAlign w:val="baseline"/>
                      <w:lang w:val="en-US" w:eastAsia="zh-CN"/>
                    </w:rPr>
                    <w:t>万</w:t>
                  </w:r>
                  <w:r>
                    <w:rPr>
                      <w:rFonts w:hint="eastAsia"/>
                      <w:sz w:val="21"/>
                      <w:szCs w:val="21"/>
                      <w:vertAlign w:val="baseline"/>
                      <w:lang w:val="en-US" w:eastAsia="zh-CN"/>
                    </w:rPr>
                    <w:t>平方米</w:t>
                  </w:r>
                </w:p>
              </w:tc>
              <w:tc>
                <w:tcPr>
                  <w:tcW w:w="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散装</w:t>
                  </w:r>
                </w:p>
              </w:tc>
              <w:tc>
                <w:tcPr>
                  <w:tcW w:w="1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kern w:val="2"/>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11</w:t>
                  </w:r>
                </w:p>
              </w:tc>
              <w:tc>
                <w:tcPr>
                  <w:tcW w:w="114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c>
                <w:tcPr>
                  <w:tcW w:w="11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热熔胶</w:t>
                  </w:r>
                </w:p>
              </w:tc>
              <w:tc>
                <w:tcPr>
                  <w:tcW w:w="2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EVA树脂84%、增粘树脂11%、石蜡4%、可塑剂0.3%、阻燃剂0.6%、助剂0.1%</w:t>
                  </w:r>
                </w:p>
              </w:tc>
              <w:tc>
                <w:tcPr>
                  <w:tcW w:w="8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500kg</w:t>
                  </w:r>
                </w:p>
              </w:tc>
              <w:tc>
                <w:tcPr>
                  <w:tcW w:w="9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100kg</w:t>
                  </w:r>
                </w:p>
              </w:tc>
              <w:tc>
                <w:tcPr>
                  <w:tcW w:w="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25kg/袋</w:t>
                  </w:r>
                </w:p>
              </w:tc>
              <w:tc>
                <w:tcPr>
                  <w:tcW w:w="1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12</w:t>
                  </w:r>
                </w:p>
              </w:tc>
              <w:tc>
                <w:tcPr>
                  <w:tcW w:w="11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w:t>
                  </w:r>
                </w:p>
              </w:tc>
              <w:tc>
                <w:tcPr>
                  <w:tcW w:w="11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润滑油</w:t>
                  </w:r>
                </w:p>
              </w:tc>
              <w:tc>
                <w:tcPr>
                  <w:tcW w:w="2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矿物油</w:t>
                  </w:r>
                </w:p>
              </w:tc>
              <w:tc>
                <w:tcPr>
                  <w:tcW w:w="8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2kg</w:t>
                  </w:r>
                </w:p>
              </w:tc>
              <w:tc>
                <w:tcPr>
                  <w:tcW w:w="9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2kg</w:t>
                  </w:r>
                </w:p>
              </w:tc>
              <w:tc>
                <w:tcPr>
                  <w:tcW w:w="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2kg/桶</w:t>
                  </w:r>
                </w:p>
              </w:tc>
              <w:tc>
                <w:tcPr>
                  <w:tcW w:w="10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eastAsia="宋体"/>
                <w:b/>
                <w:bCs/>
                <w:sz w:val="24"/>
                <w:szCs w:val="24"/>
                <w:lang w:val="en-US" w:eastAsia="zh-CN"/>
              </w:rPr>
            </w:pPr>
            <w:r>
              <w:rPr>
                <w:rFonts w:hint="eastAsia"/>
                <w:b/>
                <w:bCs/>
                <w:sz w:val="24"/>
                <w:szCs w:val="24"/>
                <w:lang w:val="en-US" w:eastAsia="zh-CN"/>
              </w:rPr>
              <w:t>表2-4  原辅材料理化性质</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14"/>
              <w:gridCol w:w="1110"/>
              <w:gridCol w:w="4364"/>
              <w:gridCol w:w="1197"/>
              <w:gridCol w:w="12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bCs/>
                      <w:sz w:val="21"/>
                      <w:szCs w:val="21"/>
                      <w:vertAlign w:val="baseline"/>
                      <w:lang w:val="en-US" w:eastAsia="zh-CN"/>
                    </w:rPr>
                  </w:pPr>
                  <w:r>
                    <w:rPr>
                      <w:rFonts w:hint="eastAsia"/>
                      <w:b/>
                      <w:bCs/>
                      <w:sz w:val="21"/>
                      <w:szCs w:val="21"/>
                      <w:vertAlign w:val="baseline"/>
                      <w:lang w:val="en-US" w:eastAsia="zh-CN"/>
                    </w:rPr>
                    <w:t>序号</w:t>
                  </w:r>
                </w:p>
              </w:tc>
              <w:tc>
                <w:tcPr>
                  <w:tcW w:w="11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物料名称</w:t>
                  </w:r>
                </w:p>
              </w:tc>
              <w:tc>
                <w:tcPr>
                  <w:tcW w:w="43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bCs/>
                      <w:sz w:val="21"/>
                      <w:szCs w:val="21"/>
                      <w:vertAlign w:val="baseline"/>
                      <w:lang w:val="en-US" w:eastAsia="zh-CN"/>
                    </w:rPr>
                  </w:pPr>
                  <w:r>
                    <w:rPr>
                      <w:rFonts w:hint="eastAsia"/>
                      <w:b/>
                      <w:bCs/>
                      <w:sz w:val="21"/>
                      <w:szCs w:val="21"/>
                      <w:vertAlign w:val="baseline"/>
                      <w:lang w:val="en-US" w:eastAsia="zh-CN"/>
                    </w:rPr>
                    <w:t>理化性质</w:t>
                  </w:r>
                </w:p>
              </w:tc>
              <w:tc>
                <w:tcPr>
                  <w:tcW w:w="11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燃烧爆炸性</w:t>
                  </w:r>
                </w:p>
              </w:tc>
              <w:tc>
                <w:tcPr>
                  <w:tcW w:w="1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bCs/>
                      <w:sz w:val="21"/>
                      <w:szCs w:val="21"/>
                      <w:vertAlign w:val="baseline"/>
                      <w:lang w:val="en-US" w:eastAsia="zh-CN"/>
                    </w:rPr>
                  </w:pPr>
                  <w:r>
                    <w:rPr>
                      <w:rFonts w:hint="eastAsia"/>
                      <w:b/>
                      <w:bCs/>
                      <w:sz w:val="21"/>
                      <w:szCs w:val="21"/>
                      <w:vertAlign w:val="baseline"/>
                      <w:lang w:val="en-US" w:eastAsia="zh-CN"/>
                    </w:rPr>
                    <w:t>毒理毒性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1</w:t>
                  </w:r>
                </w:p>
              </w:tc>
              <w:tc>
                <w:tcPr>
                  <w:tcW w:w="11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中空板</w:t>
                  </w:r>
                </w:p>
              </w:tc>
              <w:tc>
                <w:tcPr>
                  <w:tcW w:w="43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白色蜡状材料，外观透明而轻，化学式为(C</w:t>
                  </w:r>
                  <w:r>
                    <w:rPr>
                      <w:rFonts w:hint="default"/>
                      <w:sz w:val="21"/>
                      <w:szCs w:val="21"/>
                      <w:vertAlign w:val="subscript"/>
                      <w:lang w:val="en-US" w:eastAsia="zh-CN"/>
                    </w:rPr>
                    <w:t>3</w:t>
                  </w:r>
                  <w:r>
                    <w:rPr>
                      <w:rFonts w:hint="default"/>
                      <w:sz w:val="21"/>
                      <w:szCs w:val="21"/>
                      <w:vertAlign w:val="baseline"/>
                      <w:lang w:val="en-US" w:eastAsia="zh-CN"/>
                    </w:rPr>
                    <w:t>H</w:t>
                  </w:r>
                  <w:r>
                    <w:rPr>
                      <w:rFonts w:hint="default"/>
                      <w:sz w:val="21"/>
                      <w:szCs w:val="21"/>
                      <w:vertAlign w:val="subscript"/>
                      <w:lang w:val="en-US" w:eastAsia="zh-CN"/>
                    </w:rPr>
                    <w:t>6</w:t>
                  </w:r>
                  <w:r>
                    <w:rPr>
                      <w:rFonts w:hint="default"/>
                      <w:sz w:val="21"/>
                      <w:szCs w:val="21"/>
                      <w:vertAlign w:val="baseline"/>
                      <w:lang w:val="en-US" w:eastAsia="zh-CN"/>
                    </w:rPr>
                    <w:t>)n，密度为0.89～0.91g/cm</w:t>
                  </w:r>
                  <w:r>
                    <w:rPr>
                      <w:rFonts w:hint="default"/>
                      <w:sz w:val="21"/>
                      <w:szCs w:val="21"/>
                      <w:vertAlign w:val="superscript"/>
                      <w:lang w:val="en-US" w:eastAsia="zh-CN"/>
                    </w:rPr>
                    <w:t>3</w:t>
                  </w:r>
                  <w:r>
                    <w:rPr>
                      <w:rFonts w:hint="eastAsia"/>
                      <w:sz w:val="21"/>
                      <w:szCs w:val="21"/>
                      <w:vertAlign w:val="baseline"/>
                      <w:lang w:val="en-US" w:eastAsia="zh-CN"/>
                    </w:rPr>
                    <w:t>，熔点为164~170℃。</w:t>
                  </w:r>
                </w:p>
              </w:tc>
              <w:tc>
                <w:tcPr>
                  <w:tcW w:w="11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易燃</w:t>
                  </w:r>
                </w:p>
              </w:tc>
              <w:tc>
                <w:tcPr>
                  <w:tcW w:w="1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无毒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2</w:t>
                  </w:r>
                </w:p>
              </w:tc>
              <w:tc>
                <w:tcPr>
                  <w:tcW w:w="11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水性油墨</w:t>
                  </w:r>
                </w:p>
              </w:tc>
              <w:tc>
                <w:tcPr>
                  <w:tcW w:w="43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微软雅黑"/>
                      <w:sz w:val="21"/>
                      <w:szCs w:val="21"/>
                      <w:vertAlign w:val="baseline"/>
                      <w:lang w:eastAsia="zh-CN"/>
                    </w:rPr>
                  </w:pPr>
                  <w:r>
                    <w:rPr>
                      <w:rFonts w:hint="default"/>
                      <w:sz w:val="21"/>
                      <w:szCs w:val="21"/>
                      <w:vertAlign w:val="baseline"/>
                      <w:lang w:val="en-US" w:eastAsia="zh-CN"/>
                    </w:rPr>
                    <w:t>碱性，pH值一般在8～10的范围内</w:t>
                  </w:r>
                  <w:r>
                    <w:rPr>
                      <w:rFonts w:hint="eastAsia"/>
                      <w:sz w:val="21"/>
                      <w:szCs w:val="21"/>
                      <w:vertAlign w:val="baseline"/>
                      <w:lang w:val="en-US" w:eastAsia="zh-CN"/>
                    </w:rPr>
                    <w:t>，</w:t>
                  </w:r>
                  <w:r>
                    <w:rPr>
                      <w:rFonts w:hint="default"/>
                      <w:sz w:val="21"/>
                      <w:szCs w:val="21"/>
                      <w:vertAlign w:val="baseline"/>
                      <w:lang w:val="en-US" w:eastAsia="zh-CN"/>
                    </w:rPr>
                    <w:t>粘度变化复杂</w:t>
                  </w:r>
                  <w:r>
                    <w:rPr>
                      <w:rFonts w:hint="eastAsia"/>
                      <w:sz w:val="21"/>
                      <w:szCs w:val="21"/>
                      <w:vertAlign w:val="baseline"/>
                      <w:lang w:val="en-US" w:eastAsia="zh-CN"/>
                    </w:rPr>
                    <w:t>，</w:t>
                  </w:r>
                  <w:r>
                    <w:rPr>
                      <w:rFonts w:hint="default"/>
                      <w:sz w:val="21"/>
                      <w:szCs w:val="21"/>
                      <w:vertAlign w:val="baseline"/>
                      <w:lang w:val="en-US" w:eastAsia="zh-CN"/>
                    </w:rPr>
                    <w:t>易起泡</w:t>
                  </w:r>
                  <w:r>
                    <w:rPr>
                      <w:rFonts w:hint="eastAsia"/>
                      <w:sz w:val="21"/>
                      <w:szCs w:val="21"/>
                      <w:vertAlign w:val="baseline"/>
                      <w:lang w:val="en-US" w:eastAsia="zh-CN"/>
                    </w:rPr>
                    <w:t>，</w:t>
                  </w:r>
                  <w:r>
                    <w:rPr>
                      <w:rFonts w:hint="default"/>
                      <w:sz w:val="21"/>
                      <w:szCs w:val="21"/>
                      <w:vertAlign w:val="baseline"/>
                      <w:lang w:val="en-US" w:eastAsia="zh-CN"/>
                    </w:rPr>
                    <w:t>可直接用水稀释清洗，气味低，使用方便</w:t>
                  </w:r>
                </w:p>
              </w:tc>
              <w:tc>
                <w:tcPr>
                  <w:tcW w:w="11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不燃</w:t>
                  </w:r>
                </w:p>
              </w:tc>
              <w:tc>
                <w:tcPr>
                  <w:tcW w:w="1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无毒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3</w:t>
                  </w:r>
                </w:p>
              </w:tc>
              <w:tc>
                <w:tcPr>
                  <w:tcW w:w="11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白色乳胶</w:t>
                  </w:r>
                </w:p>
              </w:tc>
              <w:tc>
                <w:tcPr>
                  <w:tcW w:w="43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r>
                    <w:rPr>
                      <w:rFonts w:hint="default" w:ascii="Times New Roman" w:hAnsi="Times New Roman" w:cs="Times New Roman"/>
                      <w:color w:val="auto"/>
                      <w:sz w:val="21"/>
                      <w:szCs w:val="21"/>
                    </w:rPr>
                    <w:t>黄棕色略有气味液体</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粘度12.5cp</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任意比例溶于水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沸点约100℃</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闪点N/Av。熔点约0℃</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p</w:t>
                  </w:r>
                  <w:r>
                    <w:rPr>
                      <w:rFonts w:hint="default" w:ascii="Times New Roman" w:hAnsi="Times New Roman" w:cs="Times New Roman"/>
                      <w:color w:val="auto"/>
                      <w:sz w:val="21"/>
                      <w:szCs w:val="21"/>
                    </w:rPr>
                    <w:t>H值3.1</w:t>
                  </w:r>
                  <w:r>
                    <w:rPr>
                      <w:rFonts w:hint="default" w:ascii="Times New Roman" w:hAnsi="Times New Roman" w:cs="Times New Roman"/>
                      <w:color w:val="auto"/>
                      <w:sz w:val="21"/>
                      <w:szCs w:val="21"/>
                      <w:lang w:eastAsia="zh-CN"/>
                    </w:rPr>
                    <w:t>。</w:t>
                  </w:r>
                </w:p>
              </w:tc>
              <w:tc>
                <w:tcPr>
                  <w:tcW w:w="1197" w:type="dxa"/>
                  <w:tcBorders>
                    <w:tl2br w:val="nil"/>
                    <w:tr2bl w:val="nil"/>
                  </w:tcBorders>
                  <w:vAlign w:val="center"/>
                </w:tcPr>
                <w:p>
                  <w:pPr>
                    <w:jc w:val="center"/>
                    <w:rPr>
                      <w:rFonts w:hint="eastAsia" w:eastAsia="宋体"/>
                      <w:sz w:val="21"/>
                      <w:szCs w:val="21"/>
                      <w:vertAlign w:val="baseline"/>
                      <w:lang w:eastAsia="zh-CN"/>
                    </w:rPr>
                  </w:pPr>
                  <w:r>
                    <w:rPr>
                      <w:rFonts w:hint="eastAsia"/>
                      <w:szCs w:val="21"/>
                      <w:lang w:val="en-US" w:eastAsia="zh-CN"/>
                    </w:rPr>
                    <w:t>不燃</w:t>
                  </w:r>
                </w:p>
              </w:tc>
              <w:tc>
                <w:tcPr>
                  <w:tcW w:w="1219" w:type="dxa"/>
                  <w:tcBorders>
                    <w:tl2br w:val="nil"/>
                    <w:tr2bl w:val="nil"/>
                  </w:tcBorders>
                  <w:vAlign w:val="center"/>
                </w:tcPr>
                <w:p>
                  <w:pPr>
                    <w:jc w:val="center"/>
                    <w:rPr>
                      <w:rFonts w:hint="eastAsia" w:eastAsia="宋体"/>
                      <w:sz w:val="21"/>
                      <w:szCs w:val="21"/>
                      <w:vertAlign w:val="baseline"/>
                      <w:lang w:eastAsia="zh-CN"/>
                    </w:rPr>
                  </w:pPr>
                  <w:r>
                    <w:rPr>
                      <w:rFonts w:hint="eastAsia"/>
                      <w:szCs w:val="21"/>
                      <w:lang w:val="en-US" w:eastAsia="zh-CN"/>
                    </w:rPr>
                    <w:t>无毒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4</w:t>
                  </w:r>
                </w:p>
              </w:tc>
              <w:tc>
                <w:tcPr>
                  <w:tcW w:w="11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热熔胶</w:t>
                  </w:r>
                </w:p>
              </w:tc>
              <w:tc>
                <w:tcPr>
                  <w:tcW w:w="43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r>
                    <w:rPr>
                      <w:rFonts w:hint="default"/>
                      <w:sz w:val="21"/>
                      <w:szCs w:val="21"/>
                      <w:vertAlign w:val="baseline"/>
                      <w:lang w:val="en-US" w:eastAsia="zh-CN"/>
                    </w:rPr>
                    <w:t>熔融粘度：6000CPs/180℃</w:t>
                  </w:r>
                  <w:r>
                    <w:rPr>
                      <w:rFonts w:hint="eastAsia"/>
                      <w:sz w:val="21"/>
                      <w:szCs w:val="21"/>
                      <w:vertAlign w:val="baseline"/>
                      <w:lang w:val="en-US" w:eastAsia="zh-CN"/>
                    </w:rPr>
                    <w:t>；</w:t>
                  </w:r>
                  <w:r>
                    <w:rPr>
                      <w:rFonts w:hint="default"/>
                      <w:sz w:val="21"/>
                      <w:szCs w:val="21"/>
                      <w:vertAlign w:val="baseline"/>
                      <w:lang w:val="en-US" w:eastAsia="zh-CN"/>
                    </w:rPr>
                    <w:t>软化点：95℃正负不超过5℃</w:t>
                  </w:r>
                  <w:r>
                    <w:rPr>
                      <w:rFonts w:hint="eastAsia"/>
                      <w:sz w:val="21"/>
                      <w:szCs w:val="21"/>
                      <w:vertAlign w:val="baseline"/>
                      <w:lang w:val="en-US" w:eastAsia="zh-CN"/>
                    </w:rPr>
                    <w:t>；</w:t>
                  </w:r>
                  <w:r>
                    <w:rPr>
                      <w:rFonts w:hint="default"/>
                      <w:sz w:val="21"/>
                      <w:szCs w:val="21"/>
                      <w:vertAlign w:val="baseline"/>
                      <w:lang w:val="en-US" w:eastAsia="zh-CN"/>
                    </w:rPr>
                    <w:t>加德纳颜色：0±0.2</w:t>
                  </w:r>
                  <w:r>
                    <w:rPr>
                      <w:rFonts w:hint="eastAsia"/>
                      <w:sz w:val="21"/>
                      <w:szCs w:val="21"/>
                      <w:vertAlign w:val="baseline"/>
                      <w:lang w:val="en-US" w:eastAsia="zh-CN"/>
                    </w:rPr>
                    <w:t>；</w:t>
                  </w:r>
                  <w:r>
                    <w:rPr>
                      <w:rFonts w:hint="default"/>
                      <w:sz w:val="21"/>
                      <w:szCs w:val="21"/>
                      <w:vertAlign w:val="baseline"/>
                      <w:lang w:val="en-US" w:eastAsia="zh-CN"/>
                    </w:rPr>
                    <w:t>初粘性：&gt;15#铜球</w:t>
                  </w:r>
                  <w:r>
                    <w:rPr>
                      <w:rFonts w:hint="eastAsia"/>
                      <w:sz w:val="21"/>
                      <w:szCs w:val="21"/>
                      <w:vertAlign w:val="baseline"/>
                      <w:lang w:val="en-US" w:eastAsia="zh-CN"/>
                    </w:rPr>
                    <w:t>；</w:t>
                  </w:r>
                  <w:r>
                    <w:rPr>
                      <w:rFonts w:hint="default"/>
                      <w:sz w:val="21"/>
                      <w:szCs w:val="21"/>
                      <w:vertAlign w:val="baseline"/>
                      <w:lang w:val="en-US" w:eastAsia="zh-CN"/>
                    </w:rPr>
                    <w:t>剥离强度：&gt;4.8N/in2</w:t>
                  </w:r>
                </w:p>
              </w:tc>
              <w:tc>
                <w:tcPr>
                  <w:tcW w:w="11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不燃</w:t>
                  </w:r>
                </w:p>
              </w:tc>
              <w:tc>
                <w:tcPr>
                  <w:tcW w:w="1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无毒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5</w:t>
                  </w:r>
                </w:p>
              </w:tc>
              <w:tc>
                <w:tcPr>
                  <w:tcW w:w="11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润滑油</w:t>
                  </w:r>
                </w:p>
              </w:tc>
              <w:tc>
                <w:tcPr>
                  <w:tcW w:w="43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油状液体，淡黄色至褐色，无气味或略带异味，带有粘性可用于设备的润滑。闪点：76</w:t>
                  </w:r>
                  <w:r>
                    <w:rPr>
                      <w:rFonts w:hint="eastAsia" w:ascii="宋体" w:hAnsi="宋体" w:eastAsia="宋体" w:cs="宋体"/>
                      <w:sz w:val="21"/>
                      <w:szCs w:val="21"/>
                      <w:vertAlign w:val="baseline"/>
                      <w:lang w:val="en-US" w:eastAsia="zh-CN"/>
                    </w:rPr>
                    <w:t>℃</w:t>
                  </w:r>
                  <w:r>
                    <w:rPr>
                      <w:rFonts w:hint="eastAsia"/>
                      <w:sz w:val="21"/>
                      <w:szCs w:val="21"/>
                      <w:vertAlign w:val="baseline"/>
                      <w:lang w:val="en-US" w:eastAsia="zh-CN"/>
                    </w:rPr>
                    <w:t>，引燃温度：248</w:t>
                  </w:r>
                  <w:r>
                    <w:rPr>
                      <w:rFonts w:hint="eastAsia" w:ascii="宋体" w:hAnsi="宋体" w:eastAsia="宋体" w:cs="宋体"/>
                      <w:sz w:val="21"/>
                      <w:szCs w:val="21"/>
                      <w:vertAlign w:val="baseline"/>
                      <w:lang w:val="en-US" w:eastAsia="zh-CN"/>
                    </w:rPr>
                    <w:t>℃</w:t>
                  </w:r>
                  <w:r>
                    <w:rPr>
                      <w:rFonts w:hint="eastAsia"/>
                      <w:sz w:val="21"/>
                      <w:szCs w:val="21"/>
                      <w:vertAlign w:val="baseline"/>
                      <w:lang w:val="en-US" w:eastAsia="zh-CN"/>
                    </w:rPr>
                    <w:t>，存放于阴凉，远离火源，与氧化剂分开存放，切忌混储 ，使用前应先检查包装的完整。</w:t>
                  </w:r>
                </w:p>
              </w:tc>
              <w:tc>
                <w:tcPr>
                  <w:tcW w:w="11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可燃</w:t>
                  </w:r>
                </w:p>
              </w:tc>
              <w:tc>
                <w:tcPr>
                  <w:tcW w:w="1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无资料</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eastAsia="宋体"/>
                <w:b/>
                <w:bCs/>
                <w:sz w:val="24"/>
                <w:szCs w:val="24"/>
                <w:lang w:val="en-US" w:eastAsia="zh-CN"/>
              </w:rPr>
            </w:pPr>
            <w:r>
              <w:rPr>
                <w:rFonts w:hint="eastAsia"/>
                <w:b/>
                <w:bCs/>
                <w:sz w:val="24"/>
                <w:szCs w:val="24"/>
                <w:lang w:val="en-US" w:eastAsia="zh-CN"/>
              </w:rPr>
              <w:t>5、建设项目工程组成表</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eastAsia="宋体"/>
                <w:b/>
                <w:bCs/>
                <w:sz w:val="24"/>
                <w:szCs w:val="24"/>
                <w:lang w:val="en-US" w:eastAsia="zh-CN"/>
              </w:rPr>
            </w:pPr>
            <w:r>
              <w:rPr>
                <w:rFonts w:hint="eastAsia"/>
                <w:b/>
                <w:bCs/>
                <w:sz w:val="24"/>
                <w:szCs w:val="24"/>
                <w:lang w:val="en-US" w:eastAsia="zh-CN"/>
              </w:rPr>
              <w:t>表2-5  建设项目工程组成表</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67"/>
              <w:gridCol w:w="1328"/>
              <w:gridCol w:w="2379"/>
              <w:gridCol w:w="37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工程名称</w:t>
                  </w:r>
                </w:p>
              </w:tc>
              <w:tc>
                <w:tcPr>
                  <w:tcW w:w="13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建设名称</w:t>
                  </w:r>
                </w:p>
              </w:tc>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设计能力</w:t>
                  </w:r>
                </w:p>
              </w:tc>
              <w:tc>
                <w:tcPr>
                  <w:tcW w:w="3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bCs/>
                      <w:sz w:val="21"/>
                      <w:szCs w:val="21"/>
                      <w:vertAlign w:val="baseline"/>
                      <w:lang w:val="en-US" w:eastAsia="zh-CN"/>
                    </w:rPr>
                  </w:pPr>
                  <w:r>
                    <w:rPr>
                      <w:rFonts w:hint="eastAsia"/>
                      <w:b/>
                      <w:bCs/>
                      <w:sz w:val="21"/>
                      <w:szCs w:val="21"/>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主体建筑</w:t>
                  </w:r>
                </w:p>
              </w:tc>
              <w:tc>
                <w:tcPr>
                  <w:tcW w:w="13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1F</w:t>
                  </w:r>
                </w:p>
              </w:tc>
              <w:tc>
                <w:tcPr>
                  <w:tcW w:w="23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建筑面积2804.6m</w:t>
                  </w:r>
                  <w:r>
                    <w:rPr>
                      <w:rFonts w:hint="eastAsia"/>
                      <w:sz w:val="21"/>
                      <w:szCs w:val="21"/>
                      <w:vertAlign w:val="superscript"/>
                      <w:lang w:val="en-US" w:eastAsia="zh-CN"/>
                    </w:rPr>
                    <w:t>2</w:t>
                  </w:r>
                </w:p>
              </w:tc>
              <w:tc>
                <w:tcPr>
                  <w:tcW w:w="3730" w:type="dxa"/>
                  <w:tcBorders>
                    <w:tl2br w:val="nil"/>
                    <w:tr2bl w:val="nil"/>
                  </w:tcBorders>
                  <w:vAlign w:val="center"/>
                </w:tcPr>
                <w:p>
                  <w:pPr>
                    <w:bidi w:val="0"/>
                    <w:jc w:val="center"/>
                    <w:rPr>
                      <w:rFonts w:hint="default"/>
                      <w:color w:val="auto"/>
                      <w:lang w:val="en-US" w:eastAsia="zh-CN"/>
                    </w:rPr>
                  </w:pPr>
                  <w:r>
                    <w:rPr>
                      <w:rFonts w:hint="eastAsia"/>
                      <w:color w:val="auto"/>
                      <w:lang w:val="en-US" w:eastAsia="zh-CN"/>
                    </w:rPr>
                    <w:t>1F为纸制品加工、木制品加工车间、原料区、成品区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p>
              </w:tc>
              <w:tc>
                <w:tcPr>
                  <w:tcW w:w="13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2F</w:t>
                  </w:r>
                </w:p>
              </w:tc>
              <w:tc>
                <w:tcPr>
                  <w:tcW w:w="23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p>
              </w:tc>
              <w:tc>
                <w:tcPr>
                  <w:tcW w:w="3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2F为塑料、泡沫制品加工车间、成品区、人工机器人组装与制造区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p>
              </w:tc>
              <w:tc>
                <w:tcPr>
                  <w:tcW w:w="13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3F</w:t>
                  </w:r>
                </w:p>
              </w:tc>
              <w:tc>
                <w:tcPr>
                  <w:tcW w:w="23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p>
              </w:tc>
              <w:tc>
                <w:tcPr>
                  <w:tcW w:w="3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3F为人工机器人组装与制造车间、成品区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p>
              </w:tc>
              <w:tc>
                <w:tcPr>
                  <w:tcW w:w="13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4F</w:t>
                  </w:r>
                </w:p>
              </w:tc>
              <w:tc>
                <w:tcPr>
                  <w:tcW w:w="23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p>
              </w:tc>
              <w:tc>
                <w:tcPr>
                  <w:tcW w:w="3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4F为办公区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贮运工程</w:t>
                  </w:r>
                </w:p>
              </w:tc>
              <w:tc>
                <w:tcPr>
                  <w:tcW w:w="13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原料堆放区</w:t>
                  </w:r>
                </w:p>
              </w:tc>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占地面积30m</w:t>
                  </w:r>
                  <w:r>
                    <w:rPr>
                      <w:rFonts w:hint="eastAsia"/>
                      <w:sz w:val="21"/>
                      <w:szCs w:val="21"/>
                      <w:vertAlign w:val="superscript"/>
                      <w:lang w:val="en-US" w:eastAsia="zh-CN"/>
                    </w:rPr>
                    <w:t>2</w:t>
                  </w:r>
                </w:p>
              </w:tc>
              <w:tc>
                <w:tcPr>
                  <w:tcW w:w="3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位于1F车间东南侧，存放原辅材料等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3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成品堆放区</w:t>
                  </w:r>
                </w:p>
              </w:tc>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占地面积30m</w:t>
                  </w:r>
                  <w:r>
                    <w:rPr>
                      <w:rFonts w:hint="eastAsia"/>
                      <w:sz w:val="21"/>
                      <w:szCs w:val="21"/>
                      <w:vertAlign w:val="superscript"/>
                      <w:lang w:val="en-US" w:eastAsia="zh-CN"/>
                    </w:rPr>
                    <w:t>2</w:t>
                  </w:r>
                </w:p>
              </w:tc>
              <w:tc>
                <w:tcPr>
                  <w:tcW w:w="3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位于1F车间西侧、2F车间东北侧，存放成品等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公用工程</w:t>
                  </w:r>
                </w:p>
              </w:tc>
              <w:tc>
                <w:tcPr>
                  <w:tcW w:w="13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供水（新鲜水）</w:t>
                  </w:r>
                </w:p>
              </w:tc>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317.5t/a</w:t>
                  </w:r>
                </w:p>
              </w:tc>
              <w:tc>
                <w:tcPr>
                  <w:tcW w:w="3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来源于市政供水管网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3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排水</w:t>
                  </w:r>
                </w:p>
              </w:tc>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250t/a</w:t>
                  </w:r>
                </w:p>
              </w:tc>
              <w:tc>
                <w:tcPr>
                  <w:tcW w:w="3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r>
                    <w:rPr>
                      <w:rFonts w:hint="default" w:ascii="Times New Roman" w:hAnsi="Times New Roman" w:cs="Times New Roman"/>
                      <w:color w:val="auto"/>
                      <w:sz w:val="21"/>
                      <w:szCs w:val="21"/>
                    </w:rPr>
                    <w:t>接管至</w:t>
                  </w:r>
                  <w:r>
                    <w:rPr>
                      <w:rFonts w:hint="eastAsia" w:ascii="Times New Roman" w:hAnsi="Times New Roman" w:cs="Times New Roman"/>
                      <w:color w:val="auto"/>
                      <w:sz w:val="21"/>
                      <w:szCs w:val="21"/>
                      <w:lang w:eastAsia="zh-CN"/>
                    </w:rPr>
                    <w:t>海安市惠泽净水有限公司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3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供电</w:t>
                  </w:r>
                </w:p>
              </w:tc>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color w:val="auto"/>
                      <w:sz w:val="21"/>
                      <w:szCs w:val="21"/>
                      <w:vertAlign w:val="baseline"/>
                      <w:lang w:val="en-US" w:eastAsia="zh-CN"/>
                    </w:rPr>
                    <w:t>15万千瓦时/年</w:t>
                  </w:r>
                </w:p>
              </w:tc>
              <w:tc>
                <w:tcPr>
                  <w:tcW w:w="3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来自市政电网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3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压缩空气</w:t>
                  </w:r>
                </w:p>
              </w:tc>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1.1m</w:t>
                  </w:r>
                  <w:r>
                    <w:rPr>
                      <w:rFonts w:hint="eastAsia"/>
                      <w:sz w:val="21"/>
                      <w:szCs w:val="21"/>
                      <w:vertAlign w:val="superscript"/>
                      <w:lang w:val="en-US" w:eastAsia="zh-CN"/>
                    </w:rPr>
                    <w:t>3</w:t>
                  </w:r>
                  <w:r>
                    <w:rPr>
                      <w:rFonts w:hint="eastAsia"/>
                      <w:sz w:val="21"/>
                      <w:szCs w:val="21"/>
                      <w:vertAlign w:val="baseline"/>
                      <w:lang w:val="en-US" w:eastAsia="zh-CN"/>
                    </w:rPr>
                    <w:t>/min</w:t>
                  </w:r>
                </w:p>
              </w:tc>
              <w:tc>
                <w:tcPr>
                  <w:tcW w:w="3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由空压机制备供给气动设备使用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环保工程</w:t>
                  </w:r>
                </w:p>
              </w:tc>
              <w:tc>
                <w:tcPr>
                  <w:tcW w:w="132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废气</w:t>
                  </w:r>
                </w:p>
              </w:tc>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二级活性炭吸附+25m高（1#）排气筒，风量7000m</w:t>
                  </w:r>
                  <w:r>
                    <w:rPr>
                      <w:rFonts w:hint="eastAsia"/>
                      <w:sz w:val="21"/>
                      <w:szCs w:val="21"/>
                      <w:vertAlign w:val="superscript"/>
                      <w:lang w:val="en-US" w:eastAsia="zh-CN"/>
                    </w:rPr>
                    <w:t>3</w:t>
                  </w:r>
                  <w:r>
                    <w:rPr>
                      <w:rFonts w:hint="eastAsia"/>
                      <w:sz w:val="21"/>
                      <w:szCs w:val="21"/>
                      <w:vertAlign w:val="baseline"/>
                      <w:lang w:val="en-US" w:eastAsia="zh-CN"/>
                    </w:rPr>
                    <w:t>/h</w:t>
                  </w:r>
                </w:p>
              </w:tc>
              <w:tc>
                <w:tcPr>
                  <w:tcW w:w="3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新增，用于处理印刷、胶黏、成型废气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3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集尘罩收集+布袋除尘器+25m高（2#）排气筒，风量3000m</w:t>
                  </w:r>
                  <w:r>
                    <w:rPr>
                      <w:rFonts w:hint="eastAsia"/>
                      <w:sz w:val="21"/>
                      <w:szCs w:val="21"/>
                      <w:vertAlign w:val="superscript"/>
                      <w:lang w:val="en-US" w:eastAsia="zh-CN"/>
                    </w:rPr>
                    <w:t>3</w:t>
                  </w:r>
                  <w:r>
                    <w:rPr>
                      <w:rFonts w:hint="eastAsia"/>
                      <w:sz w:val="21"/>
                      <w:szCs w:val="21"/>
                      <w:vertAlign w:val="baseline"/>
                      <w:lang w:val="en-US" w:eastAsia="zh-CN"/>
                    </w:rPr>
                    <w:t>/h</w:t>
                  </w:r>
                </w:p>
              </w:tc>
              <w:tc>
                <w:tcPr>
                  <w:tcW w:w="3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新增，用于处理木制品粉尘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3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车间内通排风系统</w:t>
                  </w:r>
                </w:p>
              </w:tc>
              <w:tc>
                <w:tcPr>
                  <w:tcW w:w="3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用于车间无组织排放废气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32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废水</w:t>
                  </w:r>
                </w:p>
              </w:tc>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化粪池10m</w:t>
                  </w:r>
                  <w:r>
                    <w:rPr>
                      <w:rFonts w:hint="eastAsia"/>
                      <w:sz w:val="21"/>
                      <w:szCs w:val="21"/>
                      <w:vertAlign w:val="superscript"/>
                      <w:lang w:val="en-US" w:eastAsia="zh-CN"/>
                    </w:rPr>
                    <w:t>3</w:t>
                  </w:r>
                </w:p>
              </w:tc>
              <w:tc>
                <w:tcPr>
                  <w:tcW w:w="3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新增，生活污水经化粪池预处理后接管至海安市惠泽净水有限公司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3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雨水口、污水口各一个</w:t>
                  </w:r>
                </w:p>
              </w:tc>
              <w:tc>
                <w:tcPr>
                  <w:tcW w:w="3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r>
                    <w:rPr>
                      <w:rFonts w:hint="eastAsia" w:cs="Times New Roman"/>
                      <w:color w:val="auto"/>
                      <w:lang w:val="en-US" w:eastAsia="zh-CN"/>
                    </w:rPr>
                    <w:t>依托园区</w:t>
                  </w:r>
                  <w:r>
                    <w:rPr>
                      <w:rFonts w:hint="default" w:ascii="Times New Roman" w:hAnsi="Times New Roman" w:cs="Times New Roman"/>
                      <w:color w:val="auto"/>
                      <w:lang w:val="en-US" w:eastAsia="zh-CN"/>
                    </w:rPr>
                    <w:t>，满足《江苏省排污口设置及规范化整治管理办法》的要求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3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噪声</w:t>
                  </w:r>
                </w:p>
              </w:tc>
              <w:tc>
                <w:tcPr>
                  <w:tcW w:w="2379" w:type="dxa"/>
                  <w:tcBorders>
                    <w:tl2br w:val="nil"/>
                    <w:tr2bl w:val="nil"/>
                  </w:tcBorders>
                  <w:vAlign w:val="center"/>
                </w:tcPr>
                <w:p>
                  <w:pPr>
                    <w:tabs>
                      <w:tab w:val="left" w:pos="3462"/>
                    </w:tabs>
                    <w:jc w:val="center"/>
                    <w:rPr>
                      <w:sz w:val="21"/>
                      <w:szCs w:val="21"/>
                      <w:vertAlign w:val="baseline"/>
                    </w:rPr>
                  </w:pPr>
                  <w:r>
                    <w:rPr>
                      <w:color w:val="000000"/>
                      <w:sz w:val="21"/>
                      <w:szCs w:val="21"/>
                    </w:rPr>
                    <w:t>降噪量约</w:t>
                  </w:r>
                  <w:r>
                    <w:rPr>
                      <w:rFonts w:hint="eastAsia"/>
                      <w:color w:val="000000"/>
                      <w:sz w:val="21"/>
                      <w:szCs w:val="21"/>
                      <w:lang w:val="en-US" w:eastAsia="zh-CN"/>
                    </w:rPr>
                    <w:t>5~</w:t>
                  </w:r>
                  <w:r>
                    <w:rPr>
                      <w:color w:val="000000"/>
                      <w:sz w:val="21"/>
                      <w:szCs w:val="21"/>
                    </w:rPr>
                    <w:t>2</w:t>
                  </w:r>
                  <w:r>
                    <w:rPr>
                      <w:rFonts w:hint="eastAsia"/>
                      <w:color w:val="000000"/>
                      <w:sz w:val="21"/>
                      <w:szCs w:val="21"/>
                    </w:rPr>
                    <w:t>5</w:t>
                  </w:r>
                  <w:r>
                    <w:rPr>
                      <w:color w:val="000000"/>
                      <w:sz w:val="21"/>
                      <w:szCs w:val="21"/>
                    </w:rPr>
                    <w:t>dB(A)</w:t>
                  </w:r>
                </w:p>
              </w:tc>
              <w:tc>
                <w:tcPr>
                  <w:tcW w:w="3730" w:type="dxa"/>
                  <w:tcBorders>
                    <w:tl2br w:val="nil"/>
                    <w:tr2bl w:val="nil"/>
                  </w:tcBorders>
                  <w:vAlign w:val="center"/>
                </w:tcPr>
                <w:p>
                  <w:pPr>
                    <w:tabs>
                      <w:tab w:val="left" w:pos="3462"/>
                    </w:tabs>
                    <w:jc w:val="center"/>
                    <w:rPr>
                      <w:sz w:val="21"/>
                      <w:szCs w:val="21"/>
                      <w:vertAlign w:val="baseline"/>
                    </w:rPr>
                  </w:pPr>
                  <w:r>
                    <w:rPr>
                      <w:rFonts w:hint="eastAsia"/>
                      <w:color w:val="000000"/>
                      <w:sz w:val="21"/>
                      <w:szCs w:val="21"/>
                      <w:lang w:val="en-US" w:eastAsia="zh-CN"/>
                    </w:rPr>
                    <w:t>减振垫</w:t>
                  </w:r>
                  <w:r>
                    <w:rPr>
                      <w:rFonts w:hint="eastAsia"/>
                      <w:color w:val="000000"/>
                      <w:sz w:val="21"/>
                      <w:szCs w:val="21"/>
                    </w:rPr>
                    <w:t>、隔声</w:t>
                  </w:r>
                  <w:r>
                    <w:rPr>
                      <w:color w:val="000000"/>
                      <w:sz w:val="21"/>
                      <w:szCs w:val="21"/>
                    </w:rPr>
                    <w:t>等措施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32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固废</w:t>
                  </w:r>
                </w:p>
              </w:tc>
              <w:tc>
                <w:tcPr>
                  <w:tcW w:w="2379" w:type="dxa"/>
                  <w:tcBorders>
                    <w:tl2br w:val="nil"/>
                    <w:tr2bl w:val="nil"/>
                  </w:tcBorders>
                  <w:vAlign w:val="center"/>
                </w:tcPr>
                <w:p>
                  <w:pPr>
                    <w:adjustRightInd w:val="0"/>
                    <w:snapToGrid w:val="0"/>
                    <w:jc w:val="center"/>
                    <w:rPr>
                      <w:color w:val="auto"/>
                      <w:sz w:val="21"/>
                      <w:szCs w:val="21"/>
                      <w:vertAlign w:val="baseline"/>
                    </w:rPr>
                  </w:pPr>
                  <w:r>
                    <w:rPr>
                      <w:rFonts w:ascii="Times New Roman" w:hAnsi="Times New Roman"/>
                      <w:color w:val="auto"/>
                    </w:rPr>
                    <w:t>一般工业固废堆场</w:t>
                  </w:r>
                  <w:r>
                    <w:rPr>
                      <w:rFonts w:hint="eastAsia" w:ascii="Times New Roman" w:hAnsi="Times New Roman"/>
                      <w:color w:val="auto"/>
                      <w:lang w:val="en-US" w:eastAsia="zh-CN"/>
                    </w:rPr>
                    <w:t>20</w:t>
                  </w:r>
                  <w:r>
                    <w:rPr>
                      <w:rFonts w:ascii="Times New Roman" w:hAnsi="Times New Roman"/>
                      <w:color w:val="auto"/>
                    </w:rPr>
                    <w:t>m</w:t>
                  </w:r>
                  <w:r>
                    <w:rPr>
                      <w:rFonts w:ascii="Times New Roman" w:hAnsi="Times New Roman"/>
                      <w:color w:val="auto"/>
                      <w:vertAlign w:val="superscript"/>
                    </w:rPr>
                    <w:t>2</w:t>
                  </w:r>
                </w:p>
              </w:tc>
              <w:tc>
                <w:tcPr>
                  <w:tcW w:w="3730" w:type="dxa"/>
                  <w:tcBorders>
                    <w:tl2br w:val="nil"/>
                    <w:tr2bl w:val="nil"/>
                  </w:tcBorders>
                  <w:vAlign w:val="center"/>
                </w:tcPr>
                <w:p>
                  <w:pPr>
                    <w:adjustRightInd w:val="0"/>
                    <w:snapToGrid w:val="0"/>
                    <w:jc w:val="center"/>
                    <w:rPr>
                      <w:sz w:val="21"/>
                      <w:szCs w:val="21"/>
                      <w:vertAlign w:val="baseline"/>
                    </w:rPr>
                  </w:pPr>
                  <w:r>
                    <w:rPr>
                      <w:rFonts w:hint="eastAsia"/>
                      <w:lang w:val="en-US" w:eastAsia="zh-CN"/>
                    </w:rPr>
                    <w:t>新增，</w:t>
                  </w:r>
                  <w:r>
                    <w:rPr>
                      <w:rFonts w:ascii="Times New Roman" w:hAnsi="Times New Roman"/>
                    </w:rPr>
                    <w:t>用于堆放一般固废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3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vertAlign w:val="baseline"/>
                      <w:lang w:val="en-US" w:eastAsia="zh-CN"/>
                    </w:rPr>
                  </w:pPr>
                </w:p>
              </w:tc>
              <w:tc>
                <w:tcPr>
                  <w:tcW w:w="2379" w:type="dxa"/>
                  <w:tcBorders>
                    <w:tl2br w:val="nil"/>
                    <w:tr2bl w:val="nil"/>
                  </w:tcBorders>
                  <w:vAlign w:val="center"/>
                </w:tcPr>
                <w:p>
                  <w:pPr>
                    <w:adjustRightInd w:val="0"/>
                    <w:snapToGrid w:val="0"/>
                    <w:jc w:val="center"/>
                    <w:rPr>
                      <w:color w:val="auto"/>
                      <w:sz w:val="21"/>
                      <w:szCs w:val="21"/>
                      <w:vertAlign w:val="baseline"/>
                    </w:rPr>
                  </w:pPr>
                  <w:r>
                    <w:rPr>
                      <w:rFonts w:hint="eastAsia"/>
                      <w:color w:val="auto"/>
                      <w:lang w:eastAsia="zh-CN"/>
                    </w:rPr>
                    <w:t>危废贮存点</w:t>
                  </w:r>
                  <w:r>
                    <w:rPr>
                      <w:rFonts w:hint="eastAsia"/>
                      <w:color w:val="auto"/>
                      <w:lang w:val="en-US" w:eastAsia="zh-CN"/>
                    </w:rPr>
                    <w:t>12</w:t>
                  </w:r>
                  <w:r>
                    <w:rPr>
                      <w:rFonts w:ascii="Times New Roman" w:hAnsi="Times New Roman"/>
                      <w:color w:val="auto"/>
                    </w:rPr>
                    <w:t>m</w:t>
                  </w:r>
                  <w:r>
                    <w:rPr>
                      <w:rFonts w:ascii="Times New Roman" w:hAnsi="Times New Roman"/>
                      <w:color w:val="auto"/>
                      <w:vertAlign w:val="superscript"/>
                    </w:rPr>
                    <w:t>2</w:t>
                  </w:r>
                </w:p>
              </w:tc>
              <w:tc>
                <w:tcPr>
                  <w:tcW w:w="3730" w:type="dxa"/>
                  <w:tcBorders>
                    <w:tl2br w:val="nil"/>
                    <w:tr2bl w:val="nil"/>
                  </w:tcBorders>
                  <w:vAlign w:val="center"/>
                </w:tcPr>
                <w:p>
                  <w:pPr>
                    <w:adjustRightInd w:val="0"/>
                    <w:snapToGrid w:val="0"/>
                    <w:jc w:val="center"/>
                    <w:rPr>
                      <w:sz w:val="21"/>
                      <w:szCs w:val="21"/>
                      <w:vertAlign w:val="baseline"/>
                    </w:rPr>
                  </w:pPr>
                  <w:r>
                    <w:rPr>
                      <w:rFonts w:hint="eastAsia"/>
                      <w:lang w:val="en-US" w:eastAsia="zh-CN"/>
                    </w:rPr>
                    <w:t>新增，</w:t>
                  </w:r>
                  <w:r>
                    <w:rPr>
                      <w:rFonts w:ascii="Times New Roman" w:hAnsi="Times New Roman"/>
                    </w:rPr>
                    <w:t>用于存放危险废物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vertAlign w:val="baseline"/>
                    </w:rPr>
                  </w:pPr>
                </w:p>
              </w:tc>
              <w:tc>
                <w:tcPr>
                  <w:tcW w:w="13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风险</w:t>
                  </w:r>
                </w:p>
              </w:tc>
              <w:tc>
                <w:tcPr>
                  <w:tcW w:w="2379" w:type="dxa"/>
                  <w:tcBorders>
                    <w:tl2br w:val="nil"/>
                    <w:tr2bl w:val="nil"/>
                  </w:tcBorders>
                  <w:vAlign w:val="center"/>
                </w:tcPr>
                <w:p>
                  <w:pPr>
                    <w:adjustRightInd w:val="0"/>
                    <w:snapToGrid w:val="0"/>
                    <w:jc w:val="center"/>
                    <w:rPr>
                      <w:rFonts w:hint="default" w:ascii="Times New Roman" w:hAnsi="Times New Roman" w:eastAsia="宋体"/>
                      <w:color w:val="auto"/>
                      <w:lang w:val="en-US" w:eastAsia="zh-CN"/>
                    </w:rPr>
                  </w:pPr>
                  <w:r>
                    <w:rPr>
                      <w:rFonts w:hint="eastAsia"/>
                      <w:color w:val="auto"/>
                      <w:lang w:val="en-US" w:eastAsia="zh-CN"/>
                    </w:rPr>
                    <w:t>事故应急池不小于465m</w:t>
                  </w:r>
                  <w:r>
                    <w:rPr>
                      <w:rFonts w:hint="eastAsia"/>
                      <w:color w:val="auto"/>
                      <w:vertAlign w:val="superscript"/>
                      <w:lang w:val="en-US" w:eastAsia="zh-CN"/>
                    </w:rPr>
                    <w:t>2</w:t>
                  </w:r>
                </w:p>
              </w:tc>
              <w:tc>
                <w:tcPr>
                  <w:tcW w:w="3730" w:type="dxa"/>
                  <w:tcBorders>
                    <w:tl2br w:val="nil"/>
                    <w:tr2bl w:val="nil"/>
                  </w:tcBorders>
                  <w:vAlign w:val="center"/>
                </w:tcPr>
                <w:p>
                  <w:pPr>
                    <w:adjustRightInd w:val="0"/>
                    <w:snapToGrid w:val="0"/>
                    <w:jc w:val="center"/>
                    <w:rPr>
                      <w:rFonts w:hint="default" w:ascii="Times New Roman" w:hAnsi="Times New Roman" w:eastAsia="宋体"/>
                      <w:lang w:val="en-US" w:eastAsia="zh-CN"/>
                    </w:rPr>
                  </w:pPr>
                  <w:r>
                    <w:rPr>
                      <w:rFonts w:hint="eastAsia"/>
                      <w:lang w:val="en-US" w:eastAsia="zh-CN"/>
                    </w:rPr>
                    <w:t>依托园区已建的500m</w:t>
                  </w:r>
                  <w:r>
                    <w:rPr>
                      <w:rFonts w:hint="eastAsia"/>
                      <w:vertAlign w:val="superscript"/>
                      <w:lang w:val="en-US" w:eastAsia="zh-CN"/>
                    </w:rPr>
                    <w:t>3</w:t>
                  </w:r>
                  <w:r>
                    <w:rPr>
                      <w:rFonts w:hint="eastAsia" w:ascii="Times New Roman" w:eastAsia="宋体"/>
                      <w:color w:val="auto"/>
                      <w:lang w:val="en-US" w:eastAsia="zh-CN"/>
                    </w:rPr>
                    <w:t>事故应急池</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eastAsia="宋体"/>
                <w:b/>
                <w:bCs/>
                <w:sz w:val="24"/>
                <w:szCs w:val="24"/>
                <w:lang w:val="en-US" w:eastAsia="zh-CN"/>
              </w:rPr>
            </w:pPr>
            <w:r>
              <w:rPr>
                <w:rFonts w:hint="eastAsia"/>
                <w:b/>
                <w:bCs/>
                <w:sz w:val="24"/>
                <w:szCs w:val="24"/>
                <w:lang w:val="en-US" w:eastAsia="zh-CN"/>
              </w:rPr>
              <w:t>6、物料平衡</w:t>
            </w:r>
          </w:p>
          <w:p>
            <w:pPr>
              <w:pStyle w:val="8"/>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lang w:val="en-US" w:eastAsia="zh-CN"/>
              </w:rPr>
            </w:pPr>
            <w:r>
              <w:rPr>
                <w:rFonts w:hint="eastAsia"/>
                <w:b/>
                <w:bCs/>
                <w:color w:val="auto"/>
                <w:kern w:val="0"/>
                <w:sz w:val="24"/>
                <w:szCs w:val="24"/>
                <w:lang w:val="en-US" w:eastAsia="zh-CN"/>
              </w:rPr>
              <w:t xml:space="preserve">表2-6  </w:t>
            </w:r>
            <w:r>
              <w:rPr>
                <w:rFonts w:hint="eastAsia"/>
                <w:b/>
                <w:bCs/>
                <w:color w:val="auto"/>
                <w:sz w:val="24"/>
                <w:szCs w:val="24"/>
                <w:lang w:val="en-US" w:eastAsia="zh-CN"/>
              </w:rPr>
              <w:t>VOCs平衡表</w:t>
            </w:r>
          </w:p>
          <w:tbl>
            <w:tblPr>
              <w:tblStyle w:val="18"/>
              <w:tblW w:w="495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587"/>
              <w:gridCol w:w="1495"/>
              <w:gridCol w:w="2979"/>
              <w:gridCol w:w="16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7" w:hRule="atLeast"/>
                <w:jc w:val="center"/>
              </w:trPr>
              <w:tc>
                <w:tcPr>
                  <w:tcW w:w="2354" w:type="pct"/>
                  <w:gridSpan w:val="2"/>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val="en-US" w:eastAsia="zh-CN"/>
                    </w:rPr>
                    <w:t>进方</w:t>
                  </w:r>
                  <w:r>
                    <w:rPr>
                      <w:rFonts w:hint="eastAsia" w:ascii="Times New Roman" w:hAnsi="Times New Roman" w:eastAsia="宋体" w:cs="Times New Roman"/>
                      <w:b/>
                      <w:bCs/>
                      <w:color w:val="auto"/>
                      <w:sz w:val="21"/>
                      <w:szCs w:val="21"/>
                      <w:lang w:eastAsia="zh-CN"/>
                    </w:rPr>
                    <w:t>（</w:t>
                  </w:r>
                  <w:r>
                    <w:rPr>
                      <w:rFonts w:hint="eastAsia" w:ascii="Times New Roman" w:hAnsi="Times New Roman" w:eastAsia="宋体" w:cs="Times New Roman"/>
                      <w:b/>
                      <w:bCs/>
                      <w:color w:val="auto"/>
                      <w:sz w:val="21"/>
                      <w:szCs w:val="21"/>
                      <w:lang w:val="en-US" w:eastAsia="zh-CN"/>
                    </w:rPr>
                    <w:t>t/a</w:t>
                  </w:r>
                  <w:r>
                    <w:rPr>
                      <w:rFonts w:hint="eastAsia" w:ascii="Times New Roman" w:hAnsi="Times New Roman" w:eastAsia="宋体" w:cs="Times New Roman"/>
                      <w:b/>
                      <w:bCs/>
                      <w:color w:val="auto"/>
                      <w:sz w:val="21"/>
                      <w:szCs w:val="21"/>
                      <w:lang w:eastAsia="zh-CN"/>
                    </w:rPr>
                    <w:t>）</w:t>
                  </w:r>
                </w:p>
              </w:tc>
              <w:tc>
                <w:tcPr>
                  <w:tcW w:w="2645" w:type="pct"/>
                  <w:gridSpan w:val="2"/>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lang w:val="en-US" w:eastAsia="zh-CN"/>
                    </w:rPr>
                    <w:t>出方</w:t>
                  </w:r>
                  <w:r>
                    <w:rPr>
                      <w:rFonts w:hint="eastAsia" w:ascii="Times New Roman" w:hAnsi="Times New Roman" w:eastAsia="宋体" w:cs="Times New Roman"/>
                      <w:b/>
                      <w:bCs/>
                      <w:color w:val="auto"/>
                      <w:sz w:val="21"/>
                      <w:szCs w:val="21"/>
                      <w:lang w:eastAsia="zh-CN"/>
                    </w:rPr>
                    <w:t>（</w:t>
                  </w:r>
                  <w:r>
                    <w:rPr>
                      <w:rFonts w:hint="eastAsia" w:ascii="Times New Roman" w:hAnsi="Times New Roman" w:eastAsia="宋体" w:cs="Times New Roman"/>
                      <w:b/>
                      <w:bCs/>
                      <w:color w:val="auto"/>
                      <w:sz w:val="21"/>
                      <w:szCs w:val="21"/>
                      <w:lang w:val="en-US" w:eastAsia="zh-CN"/>
                    </w:rPr>
                    <w:t>t/a</w:t>
                  </w:r>
                  <w:r>
                    <w:rPr>
                      <w:rFonts w:hint="eastAsia" w:ascii="Times New Roman" w:hAnsi="Times New Roman" w:eastAsia="宋体" w:cs="Times New Roman"/>
                      <w:b/>
                      <w:bCs/>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492" w:type="pct"/>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val="en-US" w:eastAsia="zh-CN"/>
                    </w:rPr>
                    <w:t>名称</w:t>
                  </w:r>
                </w:p>
              </w:tc>
              <w:tc>
                <w:tcPr>
                  <w:tcW w:w="862" w:type="pct"/>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val="en-US" w:eastAsia="zh-CN"/>
                    </w:rPr>
                    <w:t>数量</w:t>
                  </w:r>
                </w:p>
              </w:tc>
              <w:tc>
                <w:tcPr>
                  <w:tcW w:w="1718" w:type="pct"/>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名称</w:t>
                  </w:r>
                </w:p>
              </w:tc>
              <w:tc>
                <w:tcPr>
                  <w:tcW w:w="927" w:type="pct"/>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val="en-US" w:eastAsia="zh-CN"/>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492" w:type="pct"/>
                  <w:vMerge w:val="restart"/>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水性</w:t>
                  </w:r>
                  <w:r>
                    <w:rPr>
                      <w:rFonts w:hint="eastAsia" w:ascii="Times New Roman" w:hAnsi="Times New Roman" w:eastAsia="宋体" w:cs="Times New Roman"/>
                      <w:color w:val="auto"/>
                      <w:sz w:val="21"/>
                      <w:szCs w:val="21"/>
                      <w:lang w:val="en-US" w:eastAsia="zh-CN"/>
                    </w:rPr>
                    <w:t>油墨中的VOCs</w:t>
                  </w:r>
                </w:p>
              </w:tc>
              <w:tc>
                <w:tcPr>
                  <w:tcW w:w="862" w:type="pct"/>
                  <w:vMerge w:val="restart"/>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0.002</w:t>
                  </w:r>
                </w:p>
              </w:tc>
              <w:tc>
                <w:tcPr>
                  <w:tcW w:w="1718" w:type="pct"/>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二级活性炭</w:t>
                  </w:r>
                  <w:r>
                    <w:rPr>
                      <w:rFonts w:hint="eastAsia" w:cs="Times New Roman"/>
                      <w:color w:val="auto"/>
                      <w:sz w:val="21"/>
                      <w:szCs w:val="21"/>
                      <w:lang w:val="en-US" w:eastAsia="zh-CN"/>
                    </w:rPr>
                    <w:t>吸附</w:t>
                  </w:r>
                </w:p>
              </w:tc>
              <w:tc>
                <w:tcPr>
                  <w:tcW w:w="9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492" w:type="pct"/>
                  <w:vMerge w:val="continue"/>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sz w:val="21"/>
                      <w:szCs w:val="21"/>
                      <w:lang w:val="en-US" w:eastAsia="zh-CN"/>
                    </w:rPr>
                  </w:pPr>
                </w:p>
              </w:tc>
              <w:tc>
                <w:tcPr>
                  <w:tcW w:w="862" w:type="pct"/>
                  <w:vMerge w:val="continue"/>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color w:val="auto"/>
                      <w:sz w:val="21"/>
                      <w:szCs w:val="21"/>
                      <w:lang w:val="en-US" w:eastAsia="zh-CN"/>
                    </w:rPr>
                  </w:pPr>
                </w:p>
              </w:tc>
              <w:tc>
                <w:tcPr>
                  <w:tcW w:w="1718" w:type="pct"/>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有组织</w:t>
                  </w:r>
                  <w:r>
                    <w:rPr>
                      <w:rFonts w:hint="eastAsia" w:cs="Times New Roman"/>
                      <w:color w:val="auto"/>
                      <w:sz w:val="21"/>
                      <w:szCs w:val="21"/>
                      <w:lang w:val="en-US" w:eastAsia="zh-CN"/>
                    </w:rPr>
                    <w:t>排放量</w:t>
                  </w:r>
                </w:p>
              </w:tc>
              <w:tc>
                <w:tcPr>
                  <w:tcW w:w="927" w:type="pct"/>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cs="Times New Roman"/>
                      <w:color w:val="auto"/>
                      <w:sz w:val="21"/>
                      <w:szCs w:val="21"/>
                      <w:lang w:val="en-US" w:eastAsia="zh-CN"/>
                    </w:rPr>
                    <w:t>0.00</w:t>
                  </w:r>
                  <w:r>
                    <w:rPr>
                      <w:rFonts w:hint="eastAsia" w:cs="Times New Roman"/>
                      <w:color w:val="auto"/>
                      <w:sz w:val="21"/>
                      <w:szCs w:val="21"/>
                      <w:lang w:val="en-US" w:eastAsia="zh-CN"/>
                    </w:rPr>
                    <w:t>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492" w:type="pct"/>
                  <w:vMerge w:val="continue"/>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862" w:type="pct"/>
                  <w:vMerge w:val="continue"/>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1718" w:type="pct"/>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无组织</w:t>
                  </w:r>
                  <w:r>
                    <w:rPr>
                      <w:rFonts w:hint="eastAsia" w:cs="Times New Roman"/>
                      <w:color w:val="auto"/>
                      <w:sz w:val="21"/>
                      <w:szCs w:val="21"/>
                      <w:lang w:val="en-US" w:eastAsia="zh-CN"/>
                    </w:rPr>
                    <w:t>排放量</w:t>
                  </w:r>
                </w:p>
              </w:tc>
              <w:tc>
                <w:tcPr>
                  <w:tcW w:w="927" w:type="pct"/>
                  <w:tcBorders>
                    <w:tl2br w:val="nil"/>
                    <w:tr2bl w:val="nil"/>
                  </w:tcBorders>
                  <w:noWrap w:val="0"/>
                  <w:vAlign w:val="center"/>
                </w:tcPr>
                <w:p>
                  <w:pPr>
                    <w:pStyle w:val="4"/>
                    <w:pageBreakBefore w:val="0"/>
                    <w:suppressLineNumbers w:val="0"/>
                    <w:shd w:val="clear" w:color="auto" w:fill="auto"/>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0.00</w:t>
                  </w:r>
                  <w:r>
                    <w:rPr>
                      <w:rFonts w:hint="eastAsia" w:cs="Times New Roman"/>
                      <w:b w:val="0"/>
                      <w:bCs w:val="0"/>
                      <w:color w:val="auto"/>
                      <w:kern w:val="2"/>
                      <w:sz w:val="21"/>
                      <w:szCs w:val="21"/>
                      <w:lang w:val="en-US" w:eastAsia="zh-CN" w:bidi="ar-SA"/>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492" w:type="pct"/>
                  <w:vMerge w:val="restart"/>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白乳胶</w:t>
                  </w:r>
                  <w:r>
                    <w:rPr>
                      <w:rFonts w:hint="eastAsia" w:cs="Times New Roman"/>
                      <w:color w:val="auto"/>
                      <w:sz w:val="21"/>
                      <w:szCs w:val="21"/>
                      <w:lang w:val="en-US" w:eastAsia="zh-CN"/>
                    </w:rPr>
                    <w:t>中的VOCs</w:t>
                  </w:r>
                </w:p>
              </w:tc>
              <w:tc>
                <w:tcPr>
                  <w:tcW w:w="862" w:type="pct"/>
                  <w:vMerge w:val="restart"/>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0.01</w:t>
                  </w:r>
                </w:p>
              </w:tc>
              <w:tc>
                <w:tcPr>
                  <w:tcW w:w="1718" w:type="pct"/>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二级活性炭</w:t>
                  </w:r>
                  <w:r>
                    <w:rPr>
                      <w:rFonts w:hint="eastAsia" w:cs="Times New Roman"/>
                      <w:color w:val="auto"/>
                      <w:sz w:val="21"/>
                      <w:szCs w:val="21"/>
                      <w:lang w:val="en-US" w:eastAsia="zh-CN"/>
                    </w:rPr>
                    <w:t>吸附</w:t>
                  </w:r>
                </w:p>
              </w:tc>
              <w:tc>
                <w:tcPr>
                  <w:tcW w:w="927" w:type="pct"/>
                  <w:tcBorders>
                    <w:tl2br w:val="nil"/>
                    <w:tr2bl w:val="nil"/>
                  </w:tcBorders>
                  <w:noWrap w:val="0"/>
                  <w:vAlign w:val="center"/>
                </w:tcPr>
                <w:p>
                  <w:pPr>
                    <w:pStyle w:val="4"/>
                    <w:pageBreakBefore w:val="0"/>
                    <w:suppressLineNumbers w:val="0"/>
                    <w:shd w:val="clear" w:color="auto" w:fill="auto"/>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0.0072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492" w:type="pct"/>
                  <w:vMerge w:val="continue"/>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862" w:type="pct"/>
                  <w:vMerge w:val="continue"/>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1718" w:type="pct"/>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有组织</w:t>
                  </w:r>
                  <w:r>
                    <w:rPr>
                      <w:rFonts w:hint="eastAsia" w:cs="Times New Roman"/>
                      <w:color w:val="auto"/>
                      <w:sz w:val="21"/>
                      <w:szCs w:val="21"/>
                      <w:lang w:val="en-US" w:eastAsia="zh-CN"/>
                    </w:rPr>
                    <w:t>排放量</w:t>
                  </w:r>
                </w:p>
              </w:tc>
              <w:tc>
                <w:tcPr>
                  <w:tcW w:w="927" w:type="pct"/>
                  <w:tcBorders>
                    <w:tl2br w:val="nil"/>
                    <w:tr2bl w:val="nil"/>
                  </w:tcBorders>
                  <w:noWrap w:val="0"/>
                  <w:vAlign w:val="center"/>
                </w:tcPr>
                <w:p>
                  <w:pPr>
                    <w:pStyle w:val="4"/>
                    <w:pageBreakBefore w:val="0"/>
                    <w:suppressLineNumbers w:val="0"/>
                    <w:shd w:val="clear" w:color="auto" w:fill="auto"/>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492" w:type="pct"/>
                  <w:vMerge w:val="continue"/>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862" w:type="pct"/>
                  <w:vMerge w:val="continue"/>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1718" w:type="pct"/>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w:t>
                  </w:r>
                  <w:r>
                    <w:rPr>
                      <w:rFonts w:hint="eastAsia" w:cs="Times New Roman"/>
                      <w:color w:val="auto"/>
                      <w:sz w:val="21"/>
                      <w:szCs w:val="21"/>
                      <w:lang w:val="en-US" w:eastAsia="zh-CN"/>
                    </w:rPr>
                    <w:t>排放量</w:t>
                  </w:r>
                </w:p>
              </w:tc>
              <w:tc>
                <w:tcPr>
                  <w:tcW w:w="927" w:type="pct"/>
                  <w:tcBorders>
                    <w:tl2br w:val="nil"/>
                    <w:tr2bl w:val="nil"/>
                  </w:tcBorders>
                  <w:noWrap w:val="0"/>
                  <w:vAlign w:val="center"/>
                </w:tcPr>
                <w:p>
                  <w:pPr>
                    <w:pStyle w:val="4"/>
                    <w:pageBreakBefore w:val="0"/>
                    <w:suppressLineNumbers w:val="0"/>
                    <w:shd w:val="clear" w:color="auto" w:fill="auto"/>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492" w:type="pct"/>
                  <w:vMerge w:val="restart"/>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热熔胶中的VOCs</w:t>
                  </w:r>
                </w:p>
              </w:tc>
              <w:tc>
                <w:tcPr>
                  <w:tcW w:w="862" w:type="pct"/>
                  <w:vMerge w:val="restart"/>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0.0016</w:t>
                  </w:r>
                </w:p>
              </w:tc>
              <w:tc>
                <w:tcPr>
                  <w:tcW w:w="1718" w:type="pct"/>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二级活性炭</w:t>
                  </w:r>
                  <w:r>
                    <w:rPr>
                      <w:rFonts w:hint="eastAsia" w:cs="Times New Roman"/>
                      <w:color w:val="auto"/>
                      <w:sz w:val="21"/>
                      <w:szCs w:val="21"/>
                      <w:lang w:val="en-US" w:eastAsia="zh-CN"/>
                    </w:rPr>
                    <w:t>吸附</w:t>
                  </w:r>
                </w:p>
              </w:tc>
              <w:tc>
                <w:tcPr>
                  <w:tcW w:w="927" w:type="pct"/>
                  <w:tcBorders>
                    <w:tl2br w:val="nil"/>
                    <w:tr2bl w:val="nil"/>
                  </w:tcBorders>
                  <w:noWrap w:val="0"/>
                  <w:vAlign w:val="center"/>
                </w:tcPr>
                <w:p>
                  <w:pPr>
                    <w:pStyle w:val="4"/>
                    <w:pageBreakBefore w:val="0"/>
                    <w:suppressLineNumbers w:val="0"/>
                    <w:shd w:val="clear" w:color="auto" w:fill="auto"/>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0.001152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492" w:type="pct"/>
                  <w:vMerge w:val="continue"/>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862" w:type="pct"/>
                  <w:vMerge w:val="continue"/>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1718" w:type="pct"/>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有组织</w:t>
                  </w:r>
                  <w:r>
                    <w:rPr>
                      <w:rFonts w:hint="eastAsia" w:cs="Times New Roman"/>
                      <w:color w:val="auto"/>
                      <w:sz w:val="21"/>
                      <w:szCs w:val="21"/>
                      <w:lang w:val="en-US" w:eastAsia="zh-CN"/>
                    </w:rPr>
                    <w:t>排放量</w:t>
                  </w:r>
                </w:p>
              </w:tc>
              <w:tc>
                <w:tcPr>
                  <w:tcW w:w="927" w:type="pct"/>
                  <w:tcBorders>
                    <w:tl2br w:val="nil"/>
                    <w:tr2bl w:val="nil"/>
                  </w:tcBorders>
                  <w:noWrap w:val="0"/>
                  <w:vAlign w:val="center"/>
                </w:tcPr>
                <w:p>
                  <w:pPr>
                    <w:pStyle w:val="4"/>
                    <w:pageBreakBefore w:val="0"/>
                    <w:suppressLineNumbers w:val="0"/>
                    <w:shd w:val="clear" w:color="auto" w:fill="auto"/>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0.000128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492" w:type="pct"/>
                  <w:vMerge w:val="continue"/>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862" w:type="pct"/>
                  <w:vMerge w:val="continue"/>
                  <w:tcBorders>
                    <w:tl2br w:val="nil"/>
                    <w:tr2bl w:val="nil"/>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1718" w:type="pct"/>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w:t>
                  </w:r>
                  <w:r>
                    <w:rPr>
                      <w:rFonts w:hint="eastAsia" w:cs="Times New Roman"/>
                      <w:color w:val="auto"/>
                      <w:sz w:val="21"/>
                      <w:szCs w:val="21"/>
                      <w:lang w:val="en-US" w:eastAsia="zh-CN"/>
                    </w:rPr>
                    <w:t>排放量</w:t>
                  </w:r>
                </w:p>
              </w:tc>
              <w:tc>
                <w:tcPr>
                  <w:tcW w:w="927" w:type="pct"/>
                  <w:tcBorders>
                    <w:tl2br w:val="nil"/>
                    <w:tr2bl w:val="nil"/>
                  </w:tcBorders>
                  <w:noWrap w:val="0"/>
                  <w:vAlign w:val="center"/>
                </w:tcPr>
                <w:p>
                  <w:pPr>
                    <w:pStyle w:val="4"/>
                    <w:pageBreakBefore w:val="0"/>
                    <w:suppressLineNumbers w:val="0"/>
                    <w:shd w:val="clear" w:color="auto" w:fill="auto"/>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0.00032</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420" w:leftChars="0"/>
              <w:textAlignment w:val="auto"/>
              <w:rPr>
                <w:rFonts w:hint="eastAsia"/>
                <w:b/>
                <w:bCs/>
                <w:sz w:val="24"/>
                <w:szCs w:val="24"/>
                <w:lang w:val="en-US" w:eastAsia="zh-CN"/>
              </w:rPr>
            </w:pPr>
            <w:r>
              <w:rPr>
                <w:rFonts w:hint="default" w:ascii="Times New Roman" w:hAnsi="Times New Roman" w:cs="Times New Roman"/>
                <w:b/>
                <w:bCs/>
                <w:sz w:val="24"/>
                <w:szCs w:val="24"/>
                <w:lang w:val="en-US" w:eastAsia="zh-CN"/>
              </w:rPr>
              <w:t>7、</w:t>
            </w:r>
            <w:r>
              <w:rPr>
                <w:rFonts w:hint="eastAsia"/>
                <w:b/>
                <w:bCs/>
                <w:sz w:val="24"/>
                <w:szCs w:val="24"/>
                <w:lang w:val="en-US" w:eastAsia="zh-CN"/>
              </w:rPr>
              <w:t>水汽平衡</w:t>
            </w:r>
          </w:p>
          <w:p>
            <w:pPr>
              <w:keepNext w:val="0"/>
              <w:keepLines w:val="0"/>
              <w:pageBreakBefore w:val="0"/>
              <w:widowControl w:val="0"/>
              <w:kinsoku/>
              <w:wordWrap/>
              <w:overflowPunct/>
              <w:topLinePunct w:val="0"/>
              <w:autoSpaceDE/>
              <w:autoSpaceDN/>
              <w:bidi w:val="0"/>
              <w:spacing w:line="500" w:lineRule="exact"/>
              <w:ind w:left="0" w:leftChars="0" w:firstLine="480" w:firstLineChars="200"/>
              <w:jc w:val="both"/>
              <w:textAlignment w:val="auto"/>
              <w:rPr>
                <w:rFonts w:hint="default"/>
                <w:lang w:val="en-US" w:eastAsia="zh-CN"/>
              </w:rPr>
            </w:pPr>
            <w:r>
              <w:rPr>
                <w:rFonts w:hint="eastAsia"/>
                <w:b w:val="0"/>
                <w:bCs w:val="0"/>
                <w:sz w:val="24"/>
                <w:lang w:val="en-US" w:eastAsia="zh-CN"/>
              </w:rPr>
              <w:t>建设项目全厂总用水317.5t/a，</w:t>
            </w:r>
            <w:r>
              <w:rPr>
                <w:rFonts w:hint="eastAsia" w:ascii="Times New Roman" w:hAnsi="Times New Roman"/>
                <w:b w:val="0"/>
                <w:bCs w:val="0"/>
                <w:sz w:val="24"/>
              </w:rPr>
              <w:t>主要为</w:t>
            </w:r>
            <w:r>
              <w:rPr>
                <w:rFonts w:hint="eastAsia"/>
                <w:b w:val="0"/>
                <w:bCs w:val="0"/>
                <w:sz w:val="24"/>
                <w:lang w:val="en-US" w:eastAsia="zh-CN"/>
              </w:rPr>
              <w:t>员工</w:t>
            </w:r>
            <w:r>
              <w:rPr>
                <w:rFonts w:ascii="Times New Roman" w:hAnsi="Times New Roman"/>
                <w:b w:val="0"/>
                <w:bCs w:val="0"/>
                <w:sz w:val="24"/>
              </w:rPr>
              <w:t>生活</w:t>
            </w:r>
            <w:r>
              <w:rPr>
                <w:rFonts w:hint="eastAsia"/>
                <w:b w:val="0"/>
                <w:bCs w:val="0"/>
                <w:sz w:val="24"/>
                <w:lang w:val="en-US" w:eastAsia="zh-CN"/>
              </w:rPr>
              <w:t>用</w:t>
            </w:r>
            <w:r>
              <w:rPr>
                <w:rFonts w:ascii="Times New Roman" w:hAnsi="Times New Roman"/>
                <w:b w:val="0"/>
                <w:bCs w:val="0"/>
                <w:sz w:val="24"/>
              </w:rPr>
              <w:t>水</w:t>
            </w:r>
            <w:r>
              <w:rPr>
                <w:rFonts w:hint="eastAsia"/>
                <w:b w:val="0"/>
                <w:bCs w:val="0"/>
                <w:sz w:val="24"/>
                <w:lang w:eastAsia="zh-CN"/>
              </w:rPr>
              <w:t>、</w:t>
            </w:r>
            <w:r>
              <w:rPr>
                <w:rFonts w:hint="eastAsia"/>
                <w:b w:val="0"/>
                <w:bCs w:val="0"/>
                <w:sz w:val="24"/>
                <w:lang w:val="en-US" w:eastAsia="zh-CN"/>
              </w:rPr>
              <w:t>印刷清洗用水。</w:t>
            </w:r>
            <w:r>
              <w:rPr>
                <w:rFonts w:ascii="Times New Roman" w:hAnsi="Times New Roman"/>
                <w:b w:val="0"/>
                <w:bCs w:val="0"/>
                <w:sz w:val="24"/>
              </w:rPr>
              <w:t>本项目设备及车间地面均不冲洗，故无</w:t>
            </w:r>
            <w:r>
              <w:rPr>
                <w:rFonts w:hint="eastAsia" w:ascii="Times New Roman" w:hAnsi="Times New Roman"/>
                <w:b w:val="0"/>
                <w:bCs w:val="0"/>
                <w:sz w:val="24"/>
                <w:lang w:val="en-US" w:eastAsia="zh-CN"/>
              </w:rPr>
              <w:t>设备及</w:t>
            </w:r>
            <w:r>
              <w:rPr>
                <w:rFonts w:ascii="Times New Roman" w:hAnsi="Times New Roman"/>
                <w:b w:val="0"/>
                <w:bCs w:val="0"/>
                <w:sz w:val="24"/>
              </w:rPr>
              <w:t>车间地面冲洗废水。</w:t>
            </w:r>
          </w:p>
          <w:p>
            <w:pPr>
              <w:numPr>
                <w:ilvl w:val="-1"/>
                <w:numId w:val="0"/>
              </w:numPr>
              <w:adjustRightInd w:val="0"/>
              <w:snapToGrid w:val="0"/>
              <w:spacing w:line="500" w:lineRule="exact"/>
              <w:ind w:left="0" w:leftChars="0" w:firstLine="480" w:firstLineChars="200"/>
              <w:rPr>
                <w:rFonts w:hint="eastAsia"/>
                <w:lang w:val="en-US" w:eastAsia="zh-CN"/>
              </w:rPr>
            </w:pPr>
            <w:r>
              <w:rPr>
                <w:rFonts w:hint="eastAsia"/>
                <w:sz w:val="24"/>
                <w:szCs w:val="24"/>
                <w:lang w:val="en-US" w:eastAsia="zh-CN"/>
              </w:rPr>
              <w:t>（1）生活用排水</w:t>
            </w:r>
          </w:p>
          <w:p>
            <w:pPr>
              <w:keepNext w:val="0"/>
              <w:keepLines w:val="0"/>
              <w:pageBreakBefore w:val="0"/>
              <w:widowControl w:val="0"/>
              <w:suppressLineNumbers w:val="0"/>
              <w:kinsoku/>
              <w:wordWrap/>
              <w:overflowPunct/>
              <w:topLinePunct w:val="0"/>
              <w:autoSpaceDE/>
              <w:autoSpaceDN/>
              <w:bidi w:val="0"/>
              <w:spacing w:line="500" w:lineRule="exact"/>
              <w:ind w:firstLine="480" w:firstLineChars="200"/>
              <w:jc w:val="both"/>
              <w:textAlignment w:val="auto"/>
              <w:rPr>
                <w:rFonts w:hint="eastAsia" w:ascii="Times New Roman" w:hAnsi="Times New Roman" w:eastAsia="宋体" w:cs="Times New Roman"/>
                <w:color w:val="auto"/>
                <w:kern w:val="2"/>
                <w:sz w:val="24"/>
                <w:szCs w:val="24"/>
                <w:lang w:val="en-US" w:eastAsia="zh-CN" w:bidi="ar"/>
              </w:rPr>
            </w:pPr>
            <w:r>
              <w:rPr>
                <w:rFonts w:hint="eastAsia"/>
                <w:b w:val="0"/>
                <w:bCs w:val="0"/>
                <w:sz w:val="24"/>
                <w:szCs w:val="24"/>
                <w:lang w:val="en-US" w:eastAsia="zh-CN"/>
              </w:rPr>
              <w:t>本项目劳动定员25人，</w:t>
            </w:r>
            <w:r>
              <w:rPr>
                <w:rFonts w:hint="eastAsia" w:ascii="Times New Roman" w:hAnsi="Times New Roman" w:eastAsia="宋体" w:cs="Times New Roman"/>
                <w:color w:val="auto"/>
                <w:kern w:val="2"/>
                <w:sz w:val="24"/>
                <w:szCs w:val="24"/>
                <w:lang w:val="en-US" w:eastAsia="zh-CN" w:bidi="ar"/>
              </w:rPr>
              <w:t>年工</w:t>
            </w:r>
            <w:r>
              <w:rPr>
                <w:rFonts w:hint="eastAsia" w:cs="Times New Roman"/>
                <w:color w:val="auto"/>
                <w:kern w:val="2"/>
                <w:sz w:val="24"/>
                <w:szCs w:val="24"/>
                <w:lang w:val="en-US" w:eastAsia="zh-CN" w:bidi="ar"/>
              </w:rPr>
              <w:t>作250</w:t>
            </w:r>
            <w:r>
              <w:rPr>
                <w:rFonts w:hint="eastAsia" w:ascii="Times New Roman" w:hAnsi="Times New Roman" w:eastAsia="宋体" w:cs="Times New Roman"/>
                <w:color w:val="auto"/>
                <w:kern w:val="2"/>
                <w:sz w:val="24"/>
                <w:szCs w:val="24"/>
                <w:lang w:val="en-US" w:eastAsia="zh-CN" w:bidi="ar"/>
              </w:rPr>
              <w:t>天，参照</w:t>
            </w:r>
            <w:r>
              <w:rPr>
                <w:rFonts w:hint="eastAsia" w:ascii="Times New Roman" w:hAnsi="Times New Roman" w:cs="Times New Roman"/>
                <w:color w:val="auto"/>
                <w:kern w:val="2"/>
                <w:sz w:val="24"/>
              </w:rPr>
              <w:t>《建筑给水排水设计标准》（GB50015-2019）</w:t>
            </w:r>
            <w:r>
              <w:rPr>
                <w:rFonts w:hint="eastAsia" w:ascii="Times New Roman" w:hAnsi="Times New Roman" w:eastAsia="宋体" w:cs="Times New Roman"/>
                <w:color w:val="auto"/>
                <w:kern w:val="2"/>
                <w:sz w:val="24"/>
                <w:szCs w:val="24"/>
                <w:lang w:val="en-US" w:eastAsia="zh-CN" w:bidi="ar"/>
              </w:rPr>
              <w:t>，生活用水以50L/d人计算，则生活用水为</w:t>
            </w:r>
            <w:r>
              <w:rPr>
                <w:rFonts w:hint="eastAsia" w:cs="Times New Roman"/>
                <w:color w:val="auto"/>
                <w:kern w:val="2"/>
                <w:sz w:val="24"/>
                <w:szCs w:val="24"/>
                <w:lang w:val="en-US" w:eastAsia="zh-CN" w:bidi="ar"/>
              </w:rPr>
              <w:t>312.5</w:t>
            </w:r>
            <w:r>
              <w:rPr>
                <w:rFonts w:hint="eastAsia" w:ascii="Times New Roman" w:hAnsi="Times New Roman" w:cs="Times New Roman"/>
                <w:color w:val="auto"/>
                <w:kern w:val="2"/>
                <w:sz w:val="24"/>
                <w:szCs w:val="24"/>
                <w:lang w:val="en-US" w:eastAsia="zh-CN" w:bidi="ar"/>
              </w:rPr>
              <w:t>t</w:t>
            </w:r>
            <w:r>
              <w:rPr>
                <w:rFonts w:hint="eastAsia" w:ascii="Times New Roman" w:hAnsi="Times New Roman" w:eastAsia="宋体" w:cs="Times New Roman"/>
                <w:color w:val="auto"/>
                <w:kern w:val="2"/>
                <w:sz w:val="24"/>
                <w:szCs w:val="24"/>
                <w:lang w:val="en-US" w:eastAsia="zh-CN" w:bidi="ar"/>
              </w:rPr>
              <w:t>/a；排水按用水的80%计算，生活污水排水量为</w:t>
            </w:r>
            <w:r>
              <w:rPr>
                <w:rFonts w:hint="eastAsia" w:cs="Times New Roman"/>
                <w:color w:val="auto"/>
                <w:kern w:val="2"/>
                <w:sz w:val="24"/>
                <w:szCs w:val="24"/>
                <w:lang w:val="en-US" w:eastAsia="zh-CN" w:bidi="ar"/>
              </w:rPr>
              <w:t>250</w:t>
            </w:r>
            <w:r>
              <w:rPr>
                <w:rFonts w:hint="eastAsia" w:ascii="Times New Roman" w:hAnsi="Times New Roman" w:eastAsia="宋体" w:cs="Times New Roman"/>
                <w:color w:val="auto"/>
                <w:kern w:val="2"/>
                <w:sz w:val="24"/>
                <w:szCs w:val="24"/>
                <w:lang w:val="en-US" w:eastAsia="zh-CN" w:bidi="ar"/>
              </w:rPr>
              <w:t>t/a，生活废水接管至</w:t>
            </w:r>
            <w:r>
              <w:rPr>
                <w:rFonts w:hint="eastAsia" w:ascii="Times New Roman" w:hAnsi="Times New Roman" w:cs="Times New Roman"/>
                <w:color w:val="auto"/>
                <w:kern w:val="2"/>
                <w:sz w:val="24"/>
                <w:szCs w:val="24"/>
                <w:lang w:val="en-US" w:eastAsia="zh-CN" w:bidi="ar"/>
              </w:rPr>
              <w:t>海安</w:t>
            </w:r>
            <w:r>
              <w:rPr>
                <w:rFonts w:hint="eastAsia" w:cs="Times New Roman"/>
                <w:color w:val="auto"/>
                <w:kern w:val="2"/>
                <w:sz w:val="24"/>
                <w:szCs w:val="24"/>
                <w:lang w:val="en-US" w:eastAsia="zh-CN" w:bidi="ar"/>
              </w:rPr>
              <w:t>市惠泽净水有限公司</w:t>
            </w:r>
            <w:r>
              <w:rPr>
                <w:rFonts w:hint="eastAsia" w:ascii="Times New Roman" w:hAnsi="Times New Roman" w:eastAsia="宋体" w:cs="Times New Roman"/>
                <w:color w:val="auto"/>
                <w:kern w:val="2"/>
                <w:sz w:val="24"/>
                <w:szCs w:val="24"/>
                <w:lang w:val="en-US" w:eastAsia="zh-CN" w:bidi="ar"/>
              </w:rPr>
              <w:t>处理，达标尾水排入</w:t>
            </w:r>
            <w:r>
              <w:rPr>
                <w:rFonts w:hint="eastAsia" w:eastAsia="宋体" w:cs="Times New Roman"/>
                <w:color w:val="auto"/>
                <w:kern w:val="2"/>
                <w:sz w:val="24"/>
                <w:szCs w:val="24"/>
                <w:lang w:val="en-US" w:eastAsia="zh-CN" w:bidi="ar"/>
              </w:rPr>
              <w:t>洋蛮</w:t>
            </w:r>
            <w:r>
              <w:rPr>
                <w:rFonts w:hint="eastAsia" w:ascii="Times New Roman" w:hAnsi="Times New Roman" w:eastAsia="宋体" w:cs="Times New Roman"/>
                <w:color w:val="auto"/>
                <w:kern w:val="2"/>
                <w:sz w:val="24"/>
                <w:szCs w:val="24"/>
                <w:lang w:val="en-US" w:eastAsia="zh-CN" w:bidi="ar"/>
              </w:rPr>
              <w:t>河。</w:t>
            </w:r>
          </w:p>
          <w:p>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eastAsia="宋体" w:cs="Times New Roman"/>
                <w:b w:val="0"/>
                <w:bCs w:val="0"/>
                <w:color w:val="auto"/>
                <w:kern w:val="2"/>
                <w:sz w:val="24"/>
                <w:szCs w:val="24"/>
                <w:lang w:val="en-US" w:eastAsia="zh-CN" w:bidi="ar"/>
              </w:rPr>
            </w:pPr>
            <w:r>
              <w:rPr>
                <w:rFonts w:hint="eastAsia" w:cs="Times New Roman"/>
                <w:b w:val="0"/>
                <w:bCs w:val="0"/>
                <w:kern w:val="2"/>
                <w:sz w:val="24"/>
                <w:szCs w:val="24"/>
                <w:lang w:val="en-US" w:eastAsia="zh-CN" w:bidi="ar"/>
              </w:rPr>
              <w:t>（2）</w:t>
            </w:r>
            <w:r>
              <w:rPr>
                <w:rFonts w:hint="eastAsia" w:eastAsia="宋体" w:cs="Times New Roman"/>
                <w:b w:val="0"/>
                <w:bCs w:val="0"/>
                <w:color w:val="auto"/>
                <w:kern w:val="2"/>
                <w:sz w:val="24"/>
                <w:szCs w:val="24"/>
                <w:lang w:val="en-US" w:eastAsia="zh-CN" w:bidi="ar"/>
              </w:rPr>
              <w:t>印刷清洗用</w:t>
            </w:r>
            <w:r>
              <w:rPr>
                <w:rFonts w:hint="eastAsia" w:cs="Times New Roman"/>
                <w:b w:val="0"/>
                <w:bCs w:val="0"/>
                <w:kern w:val="2"/>
                <w:sz w:val="24"/>
                <w:szCs w:val="24"/>
                <w:lang w:val="en-US" w:eastAsia="zh-CN" w:bidi="ar"/>
              </w:rPr>
              <w:t>排</w:t>
            </w:r>
            <w:r>
              <w:rPr>
                <w:rFonts w:hint="eastAsia" w:eastAsia="宋体" w:cs="Times New Roman"/>
                <w:b w:val="0"/>
                <w:bCs w:val="0"/>
                <w:color w:val="auto"/>
                <w:kern w:val="2"/>
                <w:sz w:val="24"/>
                <w:szCs w:val="24"/>
                <w:lang w:val="en-US" w:eastAsia="zh-CN" w:bidi="ar"/>
              </w:rPr>
              <w:t>水</w:t>
            </w:r>
          </w:p>
          <w:p>
            <w:pPr>
              <w:keepNext w:val="0"/>
              <w:keepLines w:val="0"/>
              <w:pageBreakBefore w:val="0"/>
              <w:widowControl w:val="0"/>
              <w:suppressLineNumbers w:val="0"/>
              <w:kinsoku/>
              <w:wordWrap/>
              <w:overflowPunct/>
              <w:topLinePunct w:val="0"/>
              <w:autoSpaceDE/>
              <w:autoSpaceDN/>
              <w:bidi w:val="0"/>
              <w:spacing w:line="500" w:lineRule="exact"/>
              <w:ind w:firstLine="480" w:firstLineChars="200"/>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rPr>
              <w:t>本项目印刷设备需每天清洗1次，不使用清洗剂，</w:t>
            </w:r>
            <w:r>
              <w:rPr>
                <w:rFonts w:hint="eastAsia" w:cs="Times New Roman"/>
                <w:b w:val="0"/>
                <w:bCs w:val="0"/>
                <w:sz w:val="24"/>
                <w:szCs w:val="24"/>
                <w:lang w:val="en-US" w:eastAsia="zh-CN"/>
              </w:rPr>
              <w:t>一台印刷设备需清洗水约20kg/d，本项目设置一台印刷设备，则</w:t>
            </w:r>
            <w:r>
              <w:rPr>
                <w:rFonts w:hint="eastAsia" w:ascii="Times New Roman" w:hAnsi="Times New Roman" w:eastAsia="宋体" w:cs="Times New Roman"/>
                <w:b w:val="0"/>
                <w:bCs w:val="0"/>
                <w:sz w:val="24"/>
                <w:szCs w:val="24"/>
              </w:rPr>
              <w:t>需清洗水约</w:t>
            </w:r>
            <w:r>
              <w:rPr>
                <w:rFonts w:hint="eastAsia" w:cs="Times New Roman"/>
                <w:b w:val="0"/>
                <w:bCs w:val="0"/>
                <w:sz w:val="24"/>
                <w:szCs w:val="24"/>
                <w:lang w:val="en-US" w:eastAsia="zh-CN"/>
              </w:rPr>
              <w:t>5</w:t>
            </w:r>
            <w:r>
              <w:rPr>
                <w:rFonts w:hint="eastAsia" w:ascii="Times New Roman" w:hAnsi="Times New Roman" w:eastAsia="宋体" w:cs="Times New Roman"/>
                <w:b w:val="0"/>
                <w:bCs w:val="0"/>
                <w:sz w:val="24"/>
                <w:szCs w:val="24"/>
              </w:rPr>
              <w:t>t/a。清洗废水</w:t>
            </w:r>
            <w:r>
              <w:rPr>
                <w:rFonts w:hint="eastAsia" w:cs="Times New Roman"/>
                <w:b w:val="0"/>
                <w:bCs w:val="0"/>
                <w:sz w:val="24"/>
                <w:szCs w:val="24"/>
                <w:lang w:val="en-US" w:eastAsia="zh-CN"/>
              </w:rPr>
              <w:t>作为危废桶装密闭暂存于危废贮存点，委托有资质单位处理。</w:t>
            </w:r>
          </w:p>
          <w:p>
            <w:pPr>
              <w:keepNext w:val="0"/>
              <w:keepLines w:val="0"/>
              <w:pageBreakBefore w:val="0"/>
              <w:widowControl w:val="0"/>
              <w:kinsoku/>
              <w:overflowPunct/>
              <w:topLinePunct w:val="0"/>
              <w:autoSpaceDE/>
              <w:autoSpaceDN/>
              <w:bidi w:val="0"/>
              <w:spacing w:line="500" w:lineRule="exact"/>
              <w:ind w:firstLine="480" w:firstLineChars="200"/>
              <w:jc w:val="both"/>
              <w:textAlignment w:val="auto"/>
              <w:rPr>
                <w:rFonts w:hint="eastAsia" w:ascii="Times New Roman" w:hAnsi="Times New Roman" w:cs="Times New Roman"/>
                <w:color w:val="auto"/>
                <w:sz w:val="24"/>
              </w:rPr>
            </w:pPr>
            <w:r>
              <w:rPr>
                <w:rFonts w:hint="eastAsia" w:ascii="Times New Roman" w:hAnsi="Times New Roman" w:cs="Times New Roman"/>
                <w:color w:val="auto"/>
                <w:sz w:val="24"/>
                <w:szCs w:val="24"/>
              </w:rPr>
              <w:t>项目建成后用排水平衡图见</w:t>
            </w:r>
            <w:r>
              <w:rPr>
                <w:rFonts w:hint="eastAsia" w:ascii="Times New Roman" w:hAnsi="Times New Roman" w:cs="Times New Roman"/>
                <w:color w:val="auto"/>
                <w:sz w:val="24"/>
                <w:szCs w:val="24"/>
                <w:lang w:val="en-US" w:eastAsia="zh-CN"/>
              </w:rPr>
              <w:t>下</w:t>
            </w:r>
            <w:r>
              <w:rPr>
                <w:rFonts w:hint="eastAsia" w:ascii="Times New Roman" w:hAnsi="Times New Roman" w:cs="Times New Roman"/>
                <w:color w:val="auto"/>
                <w:sz w:val="24"/>
                <w:szCs w:val="24"/>
              </w:rPr>
              <w:t>图。</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eastAsia" w:cs="Times New Roman"/>
                <w:b/>
                <w:bCs/>
                <w:sz w:val="24"/>
                <w:szCs w:val="24"/>
                <w:lang w:val="en-US" w:eastAsia="zh-CN"/>
              </w:rPr>
            </w:pPr>
            <w:r>
              <w:rPr>
                <w:rFonts w:hint="eastAsia" w:cs="Times New Roman"/>
                <w:b/>
                <w:bCs/>
                <w:sz w:val="24"/>
                <w:szCs w:val="24"/>
                <w:lang w:val="en-US" w:eastAsia="zh-CN"/>
              </w:rPr>
              <w:object>
                <v:shape id="_x0000_i1025" o:spt="75" type="#_x0000_t75" style="height:118.3pt;width:352.4pt;" o:ole="t" filled="f" o:preferrelative="t" stroked="f" coordsize="21600,21600">
                  <v:path/>
                  <v:fill on="f" focussize="0,0"/>
                  <v:stroke on="f"/>
                  <v:imagedata r:id="rId9" o:title=""/>
                  <o:lock v:ext="edit" aspectratio="f"/>
                  <w10:wrap type="none"/>
                  <w10:anchorlock/>
                </v:shape>
                <o:OLEObject Type="Embed" ProgID="Visio.Drawing.15" ShapeID="_x0000_i1025" DrawAspect="Content" ObjectID="_1468075725" r:id="rId8">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bCs/>
                <w:sz w:val="24"/>
                <w:szCs w:val="24"/>
              </w:rPr>
            </w:pPr>
            <w:r>
              <w:rPr>
                <w:rFonts w:hint="eastAsia" w:cs="Times New Roman"/>
                <w:b/>
                <w:bCs/>
                <w:sz w:val="24"/>
                <w:szCs w:val="24"/>
                <w:lang w:val="en-US" w:eastAsia="zh-CN"/>
              </w:rPr>
              <w:t>图</w:t>
            </w:r>
            <w:r>
              <w:rPr>
                <w:rFonts w:hint="default" w:ascii="Times New Roman" w:hAnsi="Times New Roman" w:eastAsia="宋体" w:cs="Times New Roman"/>
                <w:b/>
                <w:bCs/>
                <w:sz w:val="24"/>
                <w:szCs w:val="24"/>
              </w:rPr>
              <w:t>2-</w:t>
            </w:r>
            <w:r>
              <w:rPr>
                <w:rFonts w:hint="default" w:ascii="Times New Roman" w:hAnsi="Times New Roman" w:eastAsia="宋体" w:cs="Times New Roman"/>
                <w:b/>
                <w:bCs/>
                <w:sz w:val="24"/>
                <w:szCs w:val="24"/>
                <w:lang w:val="en-US" w:eastAsia="zh-CN"/>
              </w:rPr>
              <w:t>1</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建设项目</w:t>
            </w:r>
            <w:r>
              <w:rPr>
                <w:rFonts w:hint="eastAsia" w:ascii="宋体" w:hAnsi="宋体" w:eastAsia="宋体" w:cs="宋体"/>
                <w:b/>
                <w:bCs/>
                <w:sz w:val="24"/>
                <w:szCs w:val="24"/>
              </w:rPr>
              <w:t>水平衡图（</w:t>
            </w:r>
            <w:r>
              <w:rPr>
                <w:rFonts w:hint="default" w:ascii="Times New Roman" w:hAnsi="Times New Roman" w:eastAsia="宋体" w:cs="Times New Roman"/>
                <w:b/>
                <w:bCs/>
                <w:sz w:val="24"/>
                <w:szCs w:val="24"/>
              </w:rPr>
              <w:t>t/a</w:t>
            </w:r>
            <w:r>
              <w:rPr>
                <w:rFonts w:hint="eastAsia" w:ascii="宋体" w:hAnsi="宋体" w:eastAsia="宋体" w:cs="宋体"/>
                <w:b/>
                <w:bCs/>
                <w:sz w:val="24"/>
                <w:szCs w:val="24"/>
              </w:rPr>
              <w:t>）</w:t>
            </w:r>
          </w:p>
          <w:p>
            <w:pPr>
              <w:pStyle w:val="4"/>
              <w:pageBreakBefore w:val="0"/>
              <w:widowControl w:val="0"/>
              <w:kinsoku/>
              <w:wordWrap/>
              <w:overflowPunct/>
              <w:topLinePunct w:val="0"/>
              <w:autoSpaceDE/>
              <w:autoSpaceDN/>
              <w:bidi w:val="0"/>
              <w:spacing w:before="0" w:after="0" w:line="500" w:lineRule="exact"/>
              <w:ind w:firstLine="482" w:firstLineChars="200"/>
              <w:textAlignment w:val="auto"/>
              <w:rPr>
                <w:b/>
                <w:bCs/>
                <w:color w:val="000000"/>
                <w:sz w:val="24"/>
                <w:szCs w:val="24"/>
              </w:rPr>
            </w:pPr>
            <w:r>
              <w:rPr>
                <w:rFonts w:hint="eastAsia"/>
                <w:b/>
                <w:bCs/>
                <w:color w:val="000000"/>
                <w:sz w:val="24"/>
                <w:szCs w:val="24"/>
              </w:rPr>
              <w:t>8</w:t>
            </w:r>
            <w:r>
              <w:rPr>
                <w:b/>
                <w:bCs/>
                <w:color w:val="000000"/>
                <w:sz w:val="24"/>
                <w:szCs w:val="24"/>
              </w:rPr>
              <w:t>、劳动定员及工作制度</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000000"/>
                <w:sz w:val="24"/>
                <w:szCs w:val="24"/>
              </w:rPr>
            </w:pPr>
            <w:r>
              <w:rPr>
                <w:color w:val="000000"/>
                <w:sz w:val="24"/>
                <w:szCs w:val="24"/>
              </w:rPr>
              <w:t>劳动定员：劳动定员</w:t>
            </w:r>
            <w:r>
              <w:rPr>
                <w:rFonts w:hint="eastAsia"/>
                <w:color w:val="000000"/>
                <w:sz w:val="24"/>
                <w:szCs w:val="24"/>
                <w:lang w:val="en-US" w:eastAsia="zh-CN"/>
              </w:rPr>
              <w:t>25</w:t>
            </w:r>
            <w:r>
              <w:rPr>
                <w:rFonts w:hint="eastAsia"/>
                <w:color w:val="000000"/>
                <w:sz w:val="24"/>
                <w:szCs w:val="24"/>
              </w:rPr>
              <w:t>人，不设食堂和宿舍</w:t>
            </w:r>
            <w:r>
              <w:rPr>
                <w:color w:val="000000"/>
                <w:sz w:val="24"/>
                <w:szCs w:val="24"/>
              </w:rPr>
              <w:t>。</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b/>
                <w:bCs/>
                <w:color w:val="000000"/>
                <w:sz w:val="24"/>
                <w:szCs w:val="24"/>
              </w:rPr>
            </w:pPr>
            <w:r>
              <w:rPr>
                <w:color w:val="000000"/>
                <w:sz w:val="24"/>
                <w:szCs w:val="24"/>
              </w:rPr>
              <w:t>工作制度：年工作天数</w:t>
            </w:r>
            <w:r>
              <w:rPr>
                <w:rFonts w:hint="eastAsia"/>
                <w:color w:val="000000"/>
                <w:sz w:val="24"/>
                <w:szCs w:val="24"/>
                <w:lang w:val="en-US" w:eastAsia="zh-CN"/>
              </w:rPr>
              <w:t>250</w:t>
            </w:r>
            <w:r>
              <w:rPr>
                <w:color w:val="000000"/>
                <w:sz w:val="24"/>
                <w:szCs w:val="24"/>
              </w:rPr>
              <w:t>天，</w:t>
            </w:r>
            <w:r>
              <w:rPr>
                <w:rFonts w:hint="eastAsia"/>
                <w:color w:val="000000"/>
                <w:sz w:val="24"/>
                <w:szCs w:val="24"/>
                <w:lang w:val="en-US" w:eastAsia="zh-CN"/>
              </w:rPr>
              <w:t>昼间8</w:t>
            </w:r>
            <w:r>
              <w:rPr>
                <w:rFonts w:hint="eastAsia"/>
                <w:color w:val="000000"/>
                <w:sz w:val="24"/>
                <w:szCs w:val="24"/>
              </w:rPr>
              <w:t>h</w:t>
            </w:r>
            <w:r>
              <w:rPr>
                <w:rFonts w:hint="eastAsia"/>
                <w:color w:val="000000"/>
                <w:sz w:val="24"/>
                <w:szCs w:val="24"/>
                <w:lang w:val="en-US" w:eastAsia="zh-CN"/>
              </w:rPr>
              <w:t>一班工作制</w:t>
            </w:r>
            <w:r>
              <w:rPr>
                <w:color w:val="000000"/>
                <w:sz w:val="24"/>
                <w:szCs w:val="24"/>
              </w:rPr>
              <w:t>。</w:t>
            </w:r>
          </w:p>
          <w:p>
            <w:pPr>
              <w:pageBreakBefore w:val="0"/>
              <w:widowControl w:val="0"/>
              <w:kinsoku/>
              <w:wordWrap/>
              <w:overflowPunct/>
              <w:topLinePunct w:val="0"/>
              <w:autoSpaceDE/>
              <w:autoSpaceDN/>
              <w:bidi w:val="0"/>
              <w:adjustRightInd w:val="0"/>
              <w:snapToGrid w:val="0"/>
              <w:spacing w:line="500" w:lineRule="exact"/>
              <w:ind w:firstLine="482" w:firstLineChars="200"/>
              <w:textAlignment w:val="auto"/>
              <w:rPr>
                <w:b/>
                <w:bCs/>
                <w:color w:val="000000"/>
                <w:sz w:val="24"/>
                <w:szCs w:val="24"/>
              </w:rPr>
            </w:pPr>
            <w:r>
              <w:rPr>
                <w:rFonts w:hint="eastAsia"/>
                <w:b/>
                <w:bCs/>
                <w:color w:val="000000"/>
                <w:sz w:val="24"/>
                <w:szCs w:val="24"/>
              </w:rPr>
              <w:t>9</w:t>
            </w:r>
            <w:r>
              <w:rPr>
                <w:b/>
                <w:bCs/>
                <w:color w:val="000000"/>
                <w:sz w:val="24"/>
                <w:szCs w:val="24"/>
              </w:rPr>
              <w:t>、厂区平面布置情况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eastAsia="宋体"/>
                <w:sz w:val="24"/>
                <w:szCs w:val="24"/>
                <w:vertAlign w:val="baseline"/>
                <w:lang w:val="en-US" w:eastAsia="zh-CN"/>
              </w:rPr>
            </w:pPr>
            <w:r>
              <w:rPr>
                <w:rFonts w:hint="eastAsia"/>
                <w:sz w:val="24"/>
                <w:szCs w:val="24"/>
                <w:lang w:val="en-US" w:eastAsia="zh-CN"/>
              </w:rPr>
              <w:t>本次总建筑面积为2804.6m</w:t>
            </w:r>
            <w:r>
              <w:rPr>
                <w:rFonts w:hint="eastAsia"/>
                <w:sz w:val="24"/>
                <w:szCs w:val="24"/>
                <w:vertAlign w:val="superscript"/>
                <w:lang w:val="en-US" w:eastAsia="zh-CN"/>
              </w:rPr>
              <w:t>2</w:t>
            </w:r>
            <w:r>
              <w:rPr>
                <w:rFonts w:hint="eastAsia"/>
                <w:sz w:val="24"/>
                <w:szCs w:val="24"/>
                <w:vertAlign w:val="baseline"/>
                <w:lang w:val="en-US" w:eastAsia="zh-CN"/>
              </w:rPr>
              <w:t>，生产车间内根据不同用途划分不同区域，生产车间主要包括1F纸制品加工车间、木制品加工车间；2F塑料、泡沫制品加工车间；3F组装与制造车间，4F办公区等。本项目一般固废堆场位于1F车间西侧，危废贮存点位于车间东侧，原料区位于1F车间东南侧，成品区位于1F车间西侧、2F车间东北侧。纵观车间的平面布置，各分区的布置规划整齐，既方便内外交通联系，又方便原辅材料和成品的运输，厂区平面布置较合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36" w:hRule="atLeast"/>
          <w:jc w:val="center"/>
        </w:trPr>
        <w:tc>
          <w:tcPr>
            <w:tcW w:w="178" w:type="pct"/>
            <w:tcBorders>
              <w:tl2br w:val="nil"/>
              <w:tr2bl w:val="nil"/>
            </w:tcBorders>
            <w:vAlign w:val="center"/>
          </w:tcPr>
          <w:p>
            <w:pPr>
              <w:pStyle w:val="16"/>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工艺流程和产排污环节</w:t>
            </w:r>
          </w:p>
        </w:tc>
        <w:tc>
          <w:tcPr>
            <w:tcW w:w="4821"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sz w:val="24"/>
                <w:szCs w:val="24"/>
              </w:rPr>
            </w:pPr>
            <w:r>
              <w:rPr>
                <w:b/>
                <w:bCs/>
                <w:sz w:val="24"/>
                <w:szCs w:val="24"/>
              </w:rPr>
              <w:t>1、工艺流程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szCs w:val="24"/>
              </w:rPr>
            </w:pPr>
            <w:r>
              <w:rPr>
                <w:rFonts w:hint="eastAsia"/>
                <w:sz w:val="24"/>
                <w:szCs w:val="24"/>
              </w:rPr>
              <w:t>本项目以</w:t>
            </w:r>
            <w:r>
              <w:rPr>
                <w:rFonts w:hint="eastAsia"/>
                <w:sz w:val="24"/>
                <w:szCs w:val="24"/>
                <w:lang w:val="en-US" w:eastAsia="zh-CN"/>
              </w:rPr>
              <w:t>纸板</w:t>
            </w:r>
            <w:r>
              <w:rPr>
                <w:sz w:val="24"/>
                <w:szCs w:val="24"/>
              </w:rPr>
              <w:t>、</w:t>
            </w:r>
            <w:r>
              <w:rPr>
                <w:rFonts w:hint="eastAsia"/>
                <w:sz w:val="24"/>
                <w:szCs w:val="24"/>
                <w:lang w:val="en-US" w:eastAsia="zh-CN"/>
              </w:rPr>
              <w:t>条形码纸片、木板</w:t>
            </w:r>
            <w:r>
              <w:rPr>
                <w:sz w:val="24"/>
                <w:szCs w:val="24"/>
              </w:rPr>
              <w:t>、</w:t>
            </w:r>
            <w:r>
              <w:rPr>
                <w:rFonts w:hint="eastAsia"/>
                <w:sz w:val="24"/>
                <w:szCs w:val="24"/>
                <w:lang w:val="en-US" w:eastAsia="zh-CN"/>
              </w:rPr>
              <w:t>珍珠棉等泡沫材料EPE</w:t>
            </w:r>
            <w:r>
              <w:rPr>
                <w:sz w:val="24"/>
                <w:szCs w:val="24"/>
              </w:rPr>
              <w:t>、</w:t>
            </w:r>
            <w:r>
              <w:rPr>
                <w:rFonts w:hint="eastAsia"/>
                <w:sz w:val="24"/>
                <w:szCs w:val="24"/>
                <w:lang w:val="en-US" w:eastAsia="zh-CN"/>
              </w:rPr>
              <w:t>PP中空板材料</w:t>
            </w:r>
            <w:r>
              <w:rPr>
                <w:sz w:val="24"/>
                <w:szCs w:val="24"/>
              </w:rPr>
              <w:t>等</w:t>
            </w:r>
            <w:r>
              <w:rPr>
                <w:rFonts w:hint="eastAsia"/>
                <w:sz w:val="24"/>
                <w:szCs w:val="24"/>
              </w:rPr>
              <w:t>为原料，从事</w:t>
            </w:r>
            <w:r>
              <w:rPr>
                <w:rFonts w:hint="eastAsia"/>
                <w:sz w:val="24"/>
                <w:szCs w:val="24"/>
                <w:lang w:val="en-US" w:eastAsia="zh-CN"/>
              </w:rPr>
              <w:t>纸制品、木制品、</w:t>
            </w:r>
            <w:r>
              <w:rPr>
                <w:rFonts w:hint="eastAsia"/>
                <w:sz w:val="24"/>
                <w:szCs w:val="24"/>
              </w:rPr>
              <w:t>塑料制品</w:t>
            </w:r>
            <w:r>
              <w:rPr>
                <w:rFonts w:hint="eastAsia"/>
                <w:sz w:val="24"/>
                <w:szCs w:val="24"/>
                <w:lang w:val="en-US" w:eastAsia="zh-CN"/>
              </w:rPr>
              <w:t>和泡沫制品</w:t>
            </w:r>
            <w:r>
              <w:rPr>
                <w:rFonts w:hint="eastAsia"/>
                <w:sz w:val="24"/>
                <w:szCs w:val="24"/>
              </w:rPr>
              <w:t>生产项目，主要工艺流程见下图</w:t>
            </w:r>
            <w:r>
              <w:rPr>
                <w:sz w:val="24"/>
                <w:szCs w:val="24"/>
              </w:rPr>
              <w:t>。</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482" w:firstLineChars="200"/>
              <w:textAlignment w:val="auto"/>
              <w:rPr>
                <w:rFonts w:hint="eastAsia"/>
                <w:b/>
                <w:bCs/>
                <w:sz w:val="24"/>
                <w:szCs w:val="24"/>
              </w:rPr>
            </w:pPr>
            <w:r>
              <w:rPr>
                <w:rFonts w:hint="eastAsia"/>
                <w:b/>
                <w:bCs/>
                <w:sz w:val="24"/>
                <w:szCs w:val="24"/>
                <w:lang w:val="en-US" w:eastAsia="zh-CN"/>
              </w:rPr>
              <w:t>（1）纸箱</w:t>
            </w:r>
            <w:r>
              <w:rPr>
                <w:rFonts w:hint="eastAsia"/>
                <w:b/>
                <w:bCs/>
                <w:sz w:val="24"/>
                <w:szCs w:val="24"/>
              </w:rPr>
              <w:t>生产工艺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240" w:lineRule="auto"/>
              <w:ind w:left="0" w:leftChars="0" w:right="0" w:rightChars="0" w:firstLine="0" w:firstLineChars="0"/>
              <w:jc w:val="center"/>
              <w:textAlignment w:val="auto"/>
              <w:outlineLvl w:val="9"/>
            </w:pPr>
            <w:r>
              <w:object>
                <v:shape id="_x0000_i1026" o:spt="75" type="#_x0000_t75" style="height:266.25pt;width:350.95pt;" o:ole="t" filled="f" o:preferrelative="t" stroked="f" coordsize="21600,21600">
                  <v:path/>
                  <v:fill on="f" focussize="0,0"/>
                  <v:stroke on="f"/>
                  <v:imagedata r:id="rId11" cropleft="2308f" croptop="3801f" cropright="2317f" cropbottom="3063f" o:title=""/>
                  <o:lock v:ext="edit" aspectratio="f"/>
                  <w10:wrap type="none"/>
                  <w10:anchorlock/>
                </v:shape>
                <o:OLEObject Type="Embed" ProgID="Visio.Drawing.15" ShapeID="_x0000_i1026" DrawAspect="Content" ObjectID="_1468075726" r:id="rId10">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00" w:lineRule="exact"/>
              <w:jc w:val="center"/>
              <w:textAlignment w:val="auto"/>
              <w:outlineLvl w:val="9"/>
              <w:rPr>
                <w:rFonts w:hint="eastAsia"/>
                <w:b/>
                <w:bCs/>
                <w:color w:val="auto"/>
                <w:sz w:val="24"/>
                <w:szCs w:val="24"/>
                <w:lang w:val="en-US" w:eastAsia="zh-CN"/>
              </w:rPr>
            </w:pPr>
            <w:r>
              <w:rPr>
                <w:rFonts w:hint="eastAsia"/>
                <w:b/>
                <w:bCs/>
                <w:color w:val="auto"/>
                <w:sz w:val="24"/>
                <w:szCs w:val="24"/>
                <w:lang w:val="en-US" w:eastAsia="zh-CN"/>
              </w:rPr>
              <w:t>图2-2</w:t>
            </w:r>
            <w:r>
              <w:rPr>
                <w:rFonts w:hint="eastAsia"/>
                <w:b/>
                <w:bCs/>
                <w:color w:val="0000FF"/>
                <w:sz w:val="24"/>
                <w:szCs w:val="24"/>
                <w:lang w:val="en-US" w:eastAsia="zh-CN"/>
              </w:rPr>
              <w:t xml:space="preserve">  </w:t>
            </w:r>
            <w:r>
              <w:rPr>
                <w:rFonts w:hint="eastAsia"/>
                <w:b/>
                <w:bCs/>
                <w:sz w:val="24"/>
                <w:szCs w:val="24"/>
                <w:lang w:val="en-US" w:eastAsia="zh-CN"/>
              </w:rPr>
              <w:t>纸箱加工工艺流程</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sz w:val="24"/>
                <w:szCs w:val="24"/>
                <w:lang w:val="en-US" w:eastAsia="zh-CN"/>
              </w:rPr>
            </w:pPr>
            <w:r>
              <w:rPr>
                <w:rFonts w:hint="eastAsia"/>
                <w:b/>
                <w:bCs/>
                <w:sz w:val="24"/>
                <w:szCs w:val="24"/>
                <w:lang w:val="en-US" w:eastAsia="zh-CN"/>
              </w:rPr>
              <w:t>工艺说明：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szCs w:val="24"/>
                <w:lang w:val="en-US" w:eastAsia="zh-CN"/>
              </w:rPr>
            </w:pPr>
            <w:r>
              <w:rPr>
                <w:rFonts w:hint="eastAsia"/>
                <w:sz w:val="24"/>
                <w:szCs w:val="24"/>
                <w:lang w:val="en-US" w:eastAsia="zh-CN"/>
              </w:rPr>
              <w:t>1、分切：利用分纸压线机根据订单需要将外购的纸板利用刀头分切成所需规格大小，并压制有纵向凸凹线的纸板，</w:t>
            </w:r>
            <w:r>
              <w:rPr>
                <w:rFonts w:ascii="宋体" w:hAnsi="宋体" w:eastAsia="宋体" w:cs="宋体"/>
                <w:color w:val="auto"/>
                <w:sz w:val="24"/>
                <w:szCs w:val="24"/>
              </w:rPr>
              <w:t>形成可以折叠成</w:t>
            </w:r>
            <w:r>
              <w:rPr>
                <w:rFonts w:hint="eastAsia" w:ascii="宋体" w:hAnsi="宋体" w:eastAsia="宋体" w:cs="宋体"/>
                <w:color w:val="auto"/>
                <w:sz w:val="24"/>
                <w:szCs w:val="24"/>
                <w:lang w:val="en-US" w:eastAsia="zh-CN"/>
              </w:rPr>
              <w:t>纸箱</w:t>
            </w:r>
            <w:r>
              <w:rPr>
                <w:rFonts w:ascii="宋体" w:hAnsi="宋体" w:eastAsia="宋体" w:cs="宋体"/>
                <w:color w:val="auto"/>
                <w:sz w:val="24"/>
                <w:szCs w:val="24"/>
              </w:rPr>
              <w:t>的形状</w:t>
            </w:r>
            <w:r>
              <w:rPr>
                <w:rFonts w:hint="eastAsia" w:ascii="宋体" w:hAnsi="宋体" w:eastAsia="宋体" w:cs="宋体"/>
                <w:color w:val="auto"/>
                <w:sz w:val="24"/>
                <w:szCs w:val="24"/>
                <w:lang w:eastAsia="zh-CN"/>
              </w:rPr>
              <w:t>，</w:t>
            </w:r>
            <w:r>
              <w:rPr>
                <w:rFonts w:hint="eastAsia"/>
                <w:sz w:val="24"/>
                <w:szCs w:val="24"/>
                <w:lang w:val="en-US" w:eastAsia="zh-CN"/>
              </w:rPr>
              <w:t>此过程产生极少量的微尘（</w:t>
            </w:r>
            <w:r>
              <w:rPr>
                <w:rFonts w:hint="eastAsia" w:ascii="Times New Roman" w:eastAsia="宋体"/>
                <w:sz w:val="24"/>
                <w:szCs w:val="24"/>
                <w:lang w:val="en-US" w:eastAsia="zh-CN"/>
              </w:rPr>
              <w:t>G1-1</w:t>
            </w:r>
            <w:r>
              <w:rPr>
                <w:rFonts w:hint="eastAsia"/>
                <w:sz w:val="24"/>
                <w:szCs w:val="24"/>
                <w:lang w:val="en-US" w:eastAsia="zh-CN"/>
              </w:rPr>
              <w:t>），会产生纸板边角料（S1-1）。</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2、开槽、印刷：用自动双色印刷开槽机将分切后的纸板</w:t>
            </w:r>
            <w:r>
              <w:rPr>
                <w:rFonts w:ascii="宋体" w:hAnsi="宋体" w:eastAsia="宋体" w:cs="宋体"/>
                <w:color w:val="auto"/>
                <w:sz w:val="24"/>
                <w:szCs w:val="24"/>
              </w:rPr>
              <w:t>在指定位置开窗口</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w:t>
            </w:r>
            <w:r>
              <w:rPr>
                <w:rFonts w:hint="default" w:ascii="Times New Roman" w:hAnsi="Times New Roman" w:cs="Times New Roman"/>
                <w:color w:val="auto"/>
                <w:sz w:val="24"/>
                <w:highlight w:val="none"/>
              </w:rPr>
              <w:t>根据生产需要在表面印刷出所需文字和图案。</w:t>
            </w:r>
            <w:r>
              <w:rPr>
                <w:rFonts w:hint="eastAsia" w:ascii="Times New Roman" w:hAnsi="Times New Roman" w:cs="Times New Roman"/>
                <w:color w:val="auto"/>
                <w:sz w:val="24"/>
                <w:highlight w:val="none"/>
                <w:lang w:val="en-US" w:eastAsia="zh-CN"/>
              </w:rPr>
              <w:t>本</w:t>
            </w:r>
            <w:r>
              <w:rPr>
                <w:rFonts w:hint="default" w:ascii="Times New Roman" w:hAnsi="Times New Roman" w:cs="Times New Roman"/>
                <w:color w:val="auto"/>
                <w:sz w:val="24"/>
                <w:highlight w:val="none"/>
              </w:rPr>
              <w:t>项目</w:t>
            </w:r>
            <w:r>
              <w:rPr>
                <w:rFonts w:hint="eastAsia" w:cs="Times New Roman"/>
                <w:color w:val="auto"/>
                <w:sz w:val="24"/>
                <w:highlight w:val="none"/>
                <w:lang w:val="en-US" w:eastAsia="zh-CN"/>
              </w:rPr>
              <w:t>纸板开槽是利用开槽部位的刀头和下方刀槽相互施压对纸板进行裁切的原理进行操作，该过程</w:t>
            </w:r>
            <w:r>
              <w:rPr>
                <w:rFonts w:hint="eastAsia" w:ascii="Times New Roman" w:eastAsia="宋体"/>
                <w:sz w:val="24"/>
                <w:szCs w:val="24"/>
                <w:lang w:val="en-US" w:eastAsia="zh-CN"/>
              </w:rPr>
              <w:t>产生极少量的微尘（G1-</w:t>
            </w:r>
            <w:r>
              <w:rPr>
                <w:rFonts w:hint="eastAsia"/>
                <w:sz w:val="24"/>
                <w:szCs w:val="24"/>
                <w:lang w:val="en-US" w:eastAsia="zh-CN"/>
              </w:rPr>
              <w:t>2</w:t>
            </w:r>
            <w:r>
              <w:rPr>
                <w:rFonts w:hint="eastAsia" w:ascii="Times New Roman" w:eastAsia="宋体"/>
                <w:sz w:val="24"/>
                <w:szCs w:val="24"/>
                <w:lang w:val="en-US" w:eastAsia="zh-CN"/>
              </w:rPr>
              <w:t>）</w:t>
            </w:r>
            <w:r>
              <w:rPr>
                <w:rFonts w:hint="eastAsia" w:cs="Times New Roman"/>
                <w:color w:val="auto"/>
                <w:sz w:val="24"/>
                <w:highlight w:val="none"/>
                <w:lang w:val="en-US" w:eastAsia="zh-CN"/>
              </w:rPr>
              <w:t>，会产生</w:t>
            </w:r>
            <w:r>
              <w:rPr>
                <w:rFonts w:hint="eastAsia"/>
                <w:sz w:val="24"/>
                <w:szCs w:val="24"/>
                <w:lang w:val="en-US" w:eastAsia="zh-CN"/>
              </w:rPr>
              <w:t>边角料（S1-2）；</w:t>
            </w:r>
            <w:r>
              <w:rPr>
                <w:rFonts w:hint="eastAsia" w:cs="Times New Roman"/>
                <w:color w:val="auto"/>
                <w:sz w:val="24"/>
                <w:highlight w:val="none"/>
                <w:lang w:val="en-US" w:eastAsia="zh-CN"/>
              </w:rPr>
              <w:t>印刷则</w:t>
            </w:r>
            <w:r>
              <w:rPr>
                <w:rFonts w:hint="default" w:ascii="Times New Roman" w:hAnsi="Times New Roman" w:cs="Times New Roman"/>
                <w:color w:val="auto"/>
                <w:sz w:val="24"/>
                <w:highlight w:val="none"/>
              </w:rPr>
              <w:t>采用水性油墨对纸板进行</w:t>
            </w:r>
            <w:r>
              <w:rPr>
                <w:rFonts w:hint="eastAsia"/>
                <w:color w:val="auto"/>
                <w:sz w:val="24"/>
                <w:szCs w:val="24"/>
                <w:lang w:val="en-US" w:eastAsia="zh-CN"/>
              </w:rPr>
              <w:t>水墨柔版印刷</w:t>
            </w:r>
            <w:r>
              <w:rPr>
                <w:rFonts w:hint="eastAsia"/>
                <w:color w:val="auto"/>
                <w:lang w:val="en-US" w:eastAsia="zh-CN"/>
              </w:rPr>
              <w:t>，</w:t>
            </w:r>
            <w:r>
              <w:rPr>
                <w:rFonts w:hint="eastAsia"/>
                <w:sz w:val="24"/>
                <w:szCs w:val="24"/>
                <w:lang w:val="en-US" w:eastAsia="zh-CN"/>
              </w:rPr>
              <w:t>印刷所用水性油墨使用过程无需再加水调配，印刷程会产生一定量的有机废气（以非甲烷总烃计）（G1-3）。</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3、打钉、黏胶：</w:t>
            </w:r>
            <w:r>
              <w:rPr>
                <w:rFonts w:hint="default" w:ascii="Times New Roman" w:hAnsi="Times New Roman" w:cs="Times New Roman"/>
                <w:bCs/>
                <w:caps w:val="0"/>
                <w:smallCaps w:val="0"/>
                <w:color w:val="auto"/>
                <w:sz w:val="24"/>
              </w:rPr>
              <w:t>纸板约</w:t>
            </w:r>
            <w:r>
              <w:rPr>
                <w:rFonts w:hint="eastAsia" w:cs="Times New Roman"/>
                <w:bCs/>
                <w:caps w:val="0"/>
                <w:smallCaps w:val="0"/>
                <w:color w:val="auto"/>
                <w:sz w:val="24"/>
                <w:lang w:val="en-US" w:eastAsia="zh-CN"/>
              </w:rPr>
              <w:t>4</w:t>
            </w:r>
            <w:r>
              <w:rPr>
                <w:rFonts w:hint="eastAsia" w:ascii="Times New Roman" w:hAnsi="Times New Roman" w:cs="Times New Roman"/>
                <w:bCs/>
                <w:caps w:val="0"/>
                <w:smallCaps w:val="0"/>
                <w:color w:val="auto"/>
                <w:sz w:val="24"/>
                <w:lang w:val="en-US" w:eastAsia="zh-CN"/>
              </w:rPr>
              <w:t>0</w:t>
            </w:r>
            <w:r>
              <w:rPr>
                <w:rFonts w:hint="default" w:ascii="Times New Roman" w:hAnsi="Times New Roman" w:cs="Times New Roman"/>
                <w:bCs/>
                <w:caps w:val="0"/>
                <w:smallCaps w:val="0"/>
                <w:color w:val="auto"/>
                <w:sz w:val="24"/>
              </w:rPr>
              <w:t>%采用</w:t>
            </w:r>
            <w:r>
              <w:rPr>
                <w:rFonts w:hint="eastAsia" w:ascii="Times New Roman" w:hAnsi="Times New Roman" w:cs="Times New Roman"/>
                <w:bCs/>
                <w:caps w:val="0"/>
                <w:smallCaps w:val="0"/>
                <w:color w:val="auto"/>
                <w:sz w:val="24"/>
                <w:lang w:eastAsia="zh-CN"/>
              </w:rPr>
              <w:t>钉箱</w:t>
            </w:r>
            <w:r>
              <w:rPr>
                <w:rFonts w:hint="default" w:ascii="Times New Roman" w:hAnsi="Times New Roman" w:cs="Times New Roman"/>
                <w:bCs/>
                <w:caps w:val="0"/>
                <w:smallCaps w:val="0"/>
                <w:color w:val="auto"/>
                <w:sz w:val="24"/>
              </w:rPr>
              <w:t>工艺，</w:t>
            </w:r>
            <w:r>
              <w:rPr>
                <w:rFonts w:hint="eastAsia" w:cs="Times New Roman"/>
                <w:bCs/>
                <w:caps w:val="0"/>
                <w:smallCaps w:val="0"/>
                <w:color w:val="auto"/>
                <w:sz w:val="24"/>
                <w:lang w:val="en-US" w:eastAsia="zh-CN"/>
              </w:rPr>
              <w:t>6</w:t>
            </w:r>
            <w:r>
              <w:rPr>
                <w:rFonts w:hint="eastAsia" w:ascii="Times New Roman" w:hAnsi="Times New Roman" w:cs="Times New Roman"/>
                <w:bCs/>
                <w:caps w:val="0"/>
                <w:smallCaps w:val="0"/>
                <w:color w:val="auto"/>
                <w:sz w:val="24"/>
                <w:lang w:val="en-US" w:eastAsia="zh-CN"/>
              </w:rPr>
              <w:t>0</w:t>
            </w:r>
            <w:r>
              <w:rPr>
                <w:rFonts w:hint="default" w:ascii="Times New Roman" w:hAnsi="Times New Roman" w:cs="Times New Roman"/>
                <w:bCs/>
                <w:caps w:val="0"/>
                <w:smallCaps w:val="0"/>
                <w:color w:val="auto"/>
                <w:sz w:val="24"/>
              </w:rPr>
              <w:t>%采用</w:t>
            </w:r>
            <w:r>
              <w:rPr>
                <w:rFonts w:hint="eastAsia" w:ascii="Times New Roman" w:hAnsi="Times New Roman" w:cs="Times New Roman"/>
                <w:bCs/>
                <w:caps w:val="0"/>
                <w:smallCaps w:val="0"/>
                <w:color w:val="auto"/>
                <w:sz w:val="24"/>
                <w:lang w:eastAsia="zh-CN"/>
              </w:rPr>
              <w:t>粘箱</w:t>
            </w:r>
            <w:r>
              <w:rPr>
                <w:rFonts w:hint="default" w:ascii="Times New Roman" w:hAnsi="Times New Roman" w:cs="Times New Roman"/>
                <w:bCs/>
                <w:caps w:val="0"/>
                <w:smallCaps w:val="0"/>
                <w:color w:val="auto"/>
                <w:sz w:val="24"/>
              </w:rPr>
              <w:t>工艺。</w:t>
            </w:r>
            <w:r>
              <w:rPr>
                <w:rFonts w:hint="eastAsia" w:cs="Times New Roman"/>
                <w:bCs/>
                <w:caps w:val="0"/>
                <w:smallCaps w:val="0"/>
                <w:color w:val="auto"/>
                <w:sz w:val="24"/>
                <w:lang w:val="en-US" w:eastAsia="zh-CN"/>
              </w:rPr>
              <w:t>打钉</w:t>
            </w:r>
            <w:r>
              <w:rPr>
                <w:rFonts w:hint="default" w:ascii="Times New Roman" w:hAnsi="Times New Roman" w:cs="Times New Roman"/>
                <w:bCs/>
                <w:caps w:val="0"/>
                <w:smallCaps w:val="0"/>
                <w:color w:val="auto"/>
                <w:sz w:val="24"/>
              </w:rPr>
              <w:t>是将</w:t>
            </w:r>
            <w:r>
              <w:rPr>
                <w:rFonts w:hint="eastAsia" w:cs="Times New Roman"/>
                <w:bCs/>
                <w:caps w:val="0"/>
                <w:smallCaps w:val="0"/>
                <w:color w:val="auto"/>
                <w:sz w:val="24"/>
                <w:lang w:val="en-US" w:eastAsia="zh-CN"/>
              </w:rPr>
              <w:t>印刷</w:t>
            </w:r>
            <w:r>
              <w:rPr>
                <w:rFonts w:hint="default" w:ascii="Times New Roman" w:hAnsi="Times New Roman" w:cs="Times New Roman"/>
                <w:bCs/>
                <w:caps w:val="0"/>
                <w:smallCaps w:val="0"/>
                <w:color w:val="auto"/>
                <w:sz w:val="24"/>
              </w:rPr>
              <w:t>后的纸板装订成型，</w:t>
            </w:r>
            <w:r>
              <w:rPr>
                <w:rFonts w:hint="eastAsia" w:cs="Times New Roman"/>
                <w:bCs/>
                <w:caps w:val="0"/>
                <w:smallCaps w:val="0"/>
                <w:color w:val="auto"/>
                <w:sz w:val="24"/>
                <w:lang w:val="en-US" w:eastAsia="zh-CN"/>
              </w:rPr>
              <w:t>采用钉箱机</w:t>
            </w:r>
            <w:r>
              <w:rPr>
                <w:rFonts w:hint="default" w:ascii="Times New Roman" w:hAnsi="Times New Roman" w:cs="Times New Roman"/>
                <w:bCs/>
                <w:caps w:val="0"/>
                <w:smallCaps w:val="0"/>
                <w:color w:val="auto"/>
                <w:sz w:val="24"/>
              </w:rPr>
              <w:t>将</w:t>
            </w:r>
            <w:r>
              <w:rPr>
                <w:rFonts w:hint="eastAsia" w:cs="Times New Roman"/>
                <w:bCs/>
                <w:caps w:val="0"/>
                <w:smallCaps w:val="0"/>
                <w:color w:val="auto"/>
                <w:sz w:val="24"/>
                <w:lang w:val="en-US" w:eastAsia="zh-CN"/>
              </w:rPr>
              <w:t>印刷</w:t>
            </w:r>
            <w:r>
              <w:rPr>
                <w:rFonts w:hint="default" w:ascii="Times New Roman" w:hAnsi="Times New Roman" w:cs="Times New Roman"/>
                <w:bCs/>
                <w:caps w:val="0"/>
                <w:smallCaps w:val="0"/>
                <w:color w:val="auto"/>
                <w:sz w:val="24"/>
              </w:rPr>
              <w:t>好的纸板经过装订加工成各种规格的</w:t>
            </w:r>
            <w:r>
              <w:rPr>
                <w:rFonts w:hint="eastAsia" w:ascii="Times New Roman" w:hAnsi="Times New Roman" w:cs="Times New Roman"/>
                <w:bCs/>
                <w:caps w:val="0"/>
                <w:smallCaps w:val="0"/>
                <w:color w:val="auto"/>
                <w:sz w:val="24"/>
                <w:lang w:eastAsia="zh-CN"/>
              </w:rPr>
              <w:t>纸箱</w:t>
            </w:r>
            <w:r>
              <w:rPr>
                <w:rFonts w:hint="default" w:ascii="Times New Roman" w:hAnsi="Times New Roman" w:cs="Times New Roman"/>
                <w:bCs/>
                <w:caps w:val="0"/>
                <w:smallCaps w:val="0"/>
                <w:color w:val="auto"/>
                <w:sz w:val="24"/>
              </w:rPr>
              <w:t>；</w:t>
            </w:r>
            <w:r>
              <w:rPr>
                <w:rFonts w:hint="eastAsia" w:cs="Times New Roman"/>
                <w:bCs/>
                <w:caps w:val="0"/>
                <w:smallCaps w:val="0"/>
                <w:color w:val="auto"/>
                <w:sz w:val="24"/>
                <w:lang w:val="en-US" w:eastAsia="zh-CN"/>
              </w:rPr>
              <w:t>黏胶</w:t>
            </w:r>
            <w:r>
              <w:rPr>
                <w:rFonts w:hint="default" w:ascii="Times New Roman" w:hAnsi="Times New Roman" w:cs="Times New Roman"/>
                <w:bCs/>
                <w:caps w:val="0"/>
                <w:smallCaps w:val="0"/>
                <w:color w:val="auto"/>
                <w:sz w:val="24"/>
              </w:rPr>
              <w:t>是将</w:t>
            </w:r>
            <w:r>
              <w:rPr>
                <w:rFonts w:hint="eastAsia" w:cs="Times New Roman"/>
                <w:bCs/>
                <w:caps w:val="0"/>
                <w:smallCaps w:val="0"/>
                <w:color w:val="auto"/>
                <w:sz w:val="24"/>
                <w:lang w:val="en-US" w:eastAsia="zh-CN"/>
              </w:rPr>
              <w:t>印刷</w:t>
            </w:r>
            <w:r>
              <w:rPr>
                <w:rFonts w:hint="default" w:ascii="Times New Roman" w:hAnsi="Times New Roman" w:cs="Times New Roman"/>
                <w:bCs/>
                <w:caps w:val="0"/>
                <w:smallCaps w:val="0"/>
                <w:color w:val="auto"/>
                <w:sz w:val="24"/>
              </w:rPr>
              <w:t>好的纸板用</w:t>
            </w:r>
            <w:r>
              <w:rPr>
                <w:rFonts w:hint="eastAsia" w:ascii="Times New Roman" w:hAnsi="Times New Roman" w:cs="Times New Roman"/>
                <w:bCs/>
                <w:caps w:val="0"/>
                <w:smallCaps w:val="0"/>
                <w:color w:val="auto"/>
                <w:sz w:val="24"/>
                <w:lang w:val="en-US" w:eastAsia="zh-CN"/>
              </w:rPr>
              <w:t>白乳胶</w:t>
            </w:r>
            <w:r>
              <w:rPr>
                <w:rFonts w:hint="eastAsia" w:cs="Times New Roman"/>
                <w:bCs/>
                <w:caps w:val="0"/>
                <w:smallCaps w:val="0"/>
                <w:color w:val="auto"/>
                <w:sz w:val="24"/>
                <w:lang w:val="en-US" w:eastAsia="zh-CN"/>
              </w:rPr>
              <w:t>通过糊箱机</w:t>
            </w:r>
            <w:r>
              <w:rPr>
                <w:rFonts w:hint="default" w:ascii="Times New Roman" w:hAnsi="Times New Roman" w:cs="Times New Roman"/>
                <w:bCs/>
                <w:caps w:val="0"/>
                <w:smallCaps w:val="0"/>
                <w:color w:val="auto"/>
                <w:sz w:val="24"/>
              </w:rPr>
              <w:t>进行</w:t>
            </w:r>
            <w:r>
              <w:rPr>
                <w:rFonts w:hint="eastAsia" w:cs="Times New Roman"/>
                <w:bCs/>
                <w:caps w:val="0"/>
                <w:smallCaps w:val="0"/>
                <w:color w:val="auto"/>
                <w:sz w:val="24"/>
                <w:lang w:eastAsia="zh-CN"/>
              </w:rPr>
              <w:t>胶黏</w:t>
            </w:r>
            <w:r>
              <w:rPr>
                <w:rFonts w:hint="default" w:ascii="Times New Roman" w:hAnsi="Times New Roman" w:cs="Times New Roman"/>
                <w:bCs/>
                <w:caps w:val="0"/>
                <w:smallCaps w:val="0"/>
                <w:color w:val="auto"/>
                <w:sz w:val="24"/>
              </w:rPr>
              <w:t>，经</w:t>
            </w:r>
            <w:r>
              <w:rPr>
                <w:rFonts w:hint="eastAsia" w:ascii="Times New Roman" w:hAnsi="Times New Roman" w:cs="Times New Roman"/>
                <w:bCs/>
                <w:caps w:val="0"/>
                <w:smallCaps w:val="0"/>
                <w:color w:val="auto"/>
                <w:sz w:val="24"/>
                <w:lang w:val="en-US" w:eastAsia="zh-CN"/>
              </w:rPr>
              <w:t>粘</w:t>
            </w:r>
            <w:r>
              <w:rPr>
                <w:rFonts w:hint="default" w:ascii="Times New Roman" w:hAnsi="Times New Roman" w:cs="Times New Roman"/>
                <w:bCs/>
                <w:caps w:val="0"/>
                <w:smallCaps w:val="0"/>
                <w:color w:val="auto"/>
                <w:sz w:val="24"/>
              </w:rPr>
              <w:t>贴后形成各种规格的</w:t>
            </w:r>
            <w:r>
              <w:rPr>
                <w:rFonts w:hint="eastAsia" w:ascii="Times New Roman" w:hAnsi="Times New Roman" w:cs="Times New Roman"/>
                <w:bCs/>
                <w:caps w:val="0"/>
                <w:smallCaps w:val="0"/>
                <w:color w:val="auto"/>
                <w:sz w:val="24"/>
                <w:lang w:eastAsia="zh-CN"/>
              </w:rPr>
              <w:t>纸箱</w:t>
            </w:r>
            <w:r>
              <w:rPr>
                <w:rFonts w:hint="default" w:ascii="Times New Roman" w:hAnsi="Times New Roman" w:cs="Times New Roman"/>
                <w:bCs/>
                <w:caps w:val="0"/>
                <w:smallCaps w:val="0"/>
                <w:color w:val="auto"/>
                <w:sz w:val="24"/>
              </w:rPr>
              <w:t>。</w:t>
            </w:r>
            <w:r>
              <w:rPr>
                <w:rFonts w:hint="eastAsia" w:ascii="Times New Roman" w:hAnsi="Times New Roman" w:cs="Times New Roman"/>
                <w:bCs/>
                <w:caps w:val="0"/>
                <w:smallCaps w:val="0"/>
                <w:color w:val="auto"/>
                <w:sz w:val="24"/>
                <w:lang w:val="en-US" w:eastAsia="zh-CN"/>
              </w:rPr>
              <w:t>粘箱过程的白乳胶</w:t>
            </w:r>
            <w:r>
              <w:rPr>
                <w:rFonts w:hint="eastAsia" w:cs="Times New Roman"/>
                <w:bCs/>
                <w:caps w:val="0"/>
                <w:smallCaps w:val="0"/>
                <w:color w:val="auto"/>
                <w:sz w:val="24"/>
                <w:lang w:val="en-US" w:eastAsia="zh-CN"/>
              </w:rPr>
              <w:t>自然晾干</w:t>
            </w:r>
            <w:r>
              <w:rPr>
                <w:rFonts w:hint="eastAsia" w:ascii="Times New Roman" w:hAnsi="Times New Roman" w:cs="Times New Roman"/>
                <w:bCs/>
                <w:caps w:val="0"/>
                <w:smallCaps w:val="0"/>
                <w:color w:val="auto"/>
                <w:sz w:val="24"/>
                <w:lang w:val="en-US" w:eastAsia="zh-CN"/>
              </w:rPr>
              <w:t>。</w:t>
            </w:r>
            <w:r>
              <w:rPr>
                <w:rFonts w:hint="eastAsia"/>
                <w:sz w:val="24"/>
                <w:szCs w:val="24"/>
                <w:lang w:val="en-US" w:eastAsia="zh-CN"/>
              </w:rPr>
              <w:t>此过程会产生一定量的有机废气（以非甲烷总烃计）（G1-4）。</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szCs w:val="24"/>
                <w:lang w:val="en-US" w:eastAsia="zh-CN"/>
              </w:rPr>
            </w:pPr>
            <w:r>
              <w:rPr>
                <w:rFonts w:hint="eastAsia"/>
                <w:sz w:val="24"/>
                <w:szCs w:val="24"/>
                <w:lang w:val="en-US" w:eastAsia="zh-CN"/>
              </w:rPr>
              <w:t>4、包装：根据客户需求将外购的智能条形码纸片手动贴到纸箱上，将加工好的纸箱用半自动捆绑机进行捆绑包装入库，此过程会产生一定量的废纸（S1-3）。</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482" w:firstLineChars="200"/>
              <w:textAlignment w:val="auto"/>
              <w:rPr>
                <w:rFonts w:hint="eastAsia"/>
                <w:b/>
                <w:bCs/>
                <w:sz w:val="24"/>
                <w:szCs w:val="24"/>
                <w:lang w:val="en-US" w:eastAsia="zh-CN"/>
              </w:rPr>
            </w:pPr>
            <w:r>
              <w:rPr>
                <w:rFonts w:hint="eastAsia"/>
                <w:b/>
                <w:bCs/>
                <w:sz w:val="24"/>
                <w:szCs w:val="24"/>
                <w:lang w:val="en-US" w:eastAsia="zh-CN"/>
              </w:rPr>
              <w:t>（2）木制品生产工艺</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bCs/>
                <w:color w:val="auto"/>
                <w:sz w:val="24"/>
                <w:szCs w:val="24"/>
                <w:lang w:val="en-US" w:eastAsia="zh-CN"/>
              </w:rPr>
            </w:pPr>
            <w:r>
              <w:rPr>
                <w:rFonts w:hint="eastAsia"/>
                <w:b/>
                <w:bCs/>
                <w:color w:val="auto"/>
                <w:sz w:val="24"/>
                <w:szCs w:val="24"/>
                <w:lang w:val="en-US" w:eastAsia="zh-CN"/>
              </w:rPr>
              <w:object>
                <v:shape id="_x0000_i1027" o:spt="75" type="#_x0000_t75" style="height:212.85pt;width:281.15pt;" o:ole="t" filled="f" o:preferrelative="t" stroked="f" coordsize="21600,21600">
                  <v:path/>
                  <v:fill on="f" focussize="0,0"/>
                  <v:stroke on="f"/>
                  <v:imagedata r:id="rId13" cropleft="2905f" croptop="4653f" cropright="2916f" cropbottom="4702f" o:title=""/>
                  <o:lock v:ext="edit" aspectratio="f"/>
                  <w10:wrap type="none"/>
                  <w10:anchorlock/>
                </v:shape>
                <o:OLEObject Type="Embed" ProgID="Visio.Drawing.15" ShapeID="_x0000_i1027" DrawAspect="Content" ObjectID="_1468075727" r:id="rId12">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b/>
                <w:bCs/>
                <w:sz w:val="24"/>
                <w:szCs w:val="24"/>
                <w:lang w:val="en-US" w:eastAsia="zh-CN"/>
              </w:rPr>
            </w:pPr>
            <w:r>
              <w:rPr>
                <w:rFonts w:hint="eastAsia"/>
                <w:b/>
                <w:bCs/>
                <w:color w:val="auto"/>
                <w:sz w:val="24"/>
                <w:szCs w:val="24"/>
                <w:lang w:val="en-US" w:eastAsia="zh-CN"/>
              </w:rPr>
              <w:t>图2-3  木</w:t>
            </w:r>
            <w:r>
              <w:rPr>
                <w:rFonts w:hint="eastAsia"/>
                <w:b/>
                <w:bCs/>
                <w:sz w:val="24"/>
                <w:szCs w:val="24"/>
                <w:lang w:val="en-US" w:eastAsia="zh-CN"/>
              </w:rPr>
              <w:t>制品加工工艺流程</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sz w:val="24"/>
                <w:szCs w:val="24"/>
                <w:lang w:val="en-US" w:eastAsia="zh-CN"/>
              </w:rPr>
            </w:pPr>
            <w:r>
              <w:rPr>
                <w:rFonts w:hint="eastAsia"/>
                <w:b/>
                <w:bCs/>
                <w:sz w:val="24"/>
                <w:szCs w:val="24"/>
                <w:lang w:val="en-US" w:eastAsia="zh-CN"/>
              </w:rPr>
              <w:t>工艺说明：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szCs w:val="24"/>
                <w:lang w:val="en-US" w:eastAsia="zh-CN"/>
              </w:rPr>
            </w:pPr>
            <w:r>
              <w:rPr>
                <w:rFonts w:hint="eastAsia"/>
                <w:sz w:val="24"/>
                <w:szCs w:val="24"/>
                <w:lang w:val="en-US" w:eastAsia="zh-CN"/>
              </w:rPr>
              <w:t>1、下料：人工把木板送到液压平面下料机上，把模具放到需要下料的木板上，摆正后，下料机按照模具将木板裁切，此过程产生下料粉尘（G2-1）。</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szCs w:val="24"/>
                <w:lang w:val="en-US" w:eastAsia="zh-CN"/>
              </w:rPr>
            </w:pPr>
            <w:r>
              <w:rPr>
                <w:rFonts w:hint="eastAsia"/>
                <w:sz w:val="24"/>
                <w:szCs w:val="24"/>
                <w:lang w:val="en-US" w:eastAsia="zh-CN"/>
              </w:rPr>
              <w:t>2、板材加工、配件加工：按照设计要求，利用</w:t>
            </w:r>
            <w:r>
              <w:rPr>
                <w:rFonts w:hint="eastAsia"/>
                <w:color w:val="auto"/>
                <w:sz w:val="24"/>
                <w:szCs w:val="24"/>
                <w:lang w:val="en-US" w:eastAsia="zh-CN"/>
              </w:rPr>
              <w:t>普通锯床</w:t>
            </w:r>
            <w:r>
              <w:rPr>
                <w:rFonts w:hint="eastAsia"/>
                <w:sz w:val="24"/>
                <w:szCs w:val="24"/>
                <w:lang w:val="en-US" w:eastAsia="zh-CN"/>
              </w:rPr>
              <w:t>等设备对木板进行锯切，并根据客户需求将加工好的木板用</w:t>
            </w:r>
            <w:r>
              <w:rPr>
                <w:rFonts w:hint="eastAsia"/>
                <w:color w:val="auto"/>
                <w:sz w:val="24"/>
                <w:szCs w:val="24"/>
                <w:lang w:val="en-US" w:eastAsia="zh-CN"/>
              </w:rPr>
              <w:t>压刨床</w:t>
            </w:r>
            <w:r>
              <w:rPr>
                <w:rFonts w:hint="eastAsia"/>
                <w:sz w:val="24"/>
                <w:szCs w:val="24"/>
                <w:lang w:val="en-US" w:eastAsia="zh-CN"/>
              </w:rPr>
              <w:t>抛光，该过程会产生加工粉尘（G2-2）、边角料（S2-1）。</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default" w:ascii="Times New Roman" w:hAnsi="Times New Roman" w:eastAsia="宋体" w:cs="Times New Roman"/>
                <w:sz w:val="24"/>
                <w:szCs w:val="24"/>
                <w:lang w:val="en-US" w:eastAsia="zh-CN"/>
              </w:rPr>
              <w:t>3</w:t>
            </w:r>
            <w:r>
              <w:rPr>
                <w:rFonts w:hint="eastAsia" w:ascii="宋体" w:hAnsi="宋体" w:eastAsia="宋体" w:cs="宋体"/>
                <w:sz w:val="24"/>
                <w:szCs w:val="24"/>
                <w:lang w:val="en-US" w:eastAsia="zh-CN"/>
              </w:rPr>
              <w:t>、组装：将加工好的木板</w:t>
            </w:r>
            <w:r>
              <w:rPr>
                <w:rFonts w:hint="eastAsia" w:ascii="宋体" w:hAnsi="宋体" w:cs="宋体"/>
                <w:sz w:val="24"/>
                <w:szCs w:val="24"/>
                <w:lang w:val="en-US" w:eastAsia="zh-CN"/>
              </w:rPr>
              <w:t>用钉子组装为箱体，并装好包角形成完整的木箱；根据客户需求将外购的芯片利用螺丝钉装在栈板的指定位置，形成智能芯片栈板。</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left="0" w:leftChars="0" w:firstLine="482" w:firstLineChars="200"/>
              <w:textAlignment w:val="auto"/>
              <w:rPr>
                <w:rFonts w:hint="eastAsia"/>
                <w:b/>
                <w:bCs/>
                <w:sz w:val="24"/>
                <w:szCs w:val="24"/>
                <w:lang w:val="en-US" w:eastAsia="zh-CN"/>
              </w:rPr>
            </w:pPr>
            <w:r>
              <w:rPr>
                <w:rFonts w:hint="eastAsia"/>
                <w:b/>
                <w:bCs/>
                <w:sz w:val="24"/>
                <w:szCs w:val="24"/>
                <w:lang w:val="en-US" w:eastAsia="zh-CN"/>
              </w:rPr>
              <w:t>（3）塑料、泡沫制品生产工艺</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lang w:eastAsia="zh-CN"/>
              </w:rPr>
            </w:pPr>
            <w:r>
              <w:rPr>
                <w:rFonts w:hint="eastAsia"/>
                <w:lang w:eastAsia="zh-CN"/>
              </w:rPr>
              <w:object>
                <v:shape id="_x0000_i1028" o:spt="75" type="#_x0000_t75" style="height:237.2pt;width:334pt;" o:ole="t" filled="f" o:preferrelative="t" stroked="f" coordsize="21600,21600">
                  <v:path/>
                  <v:fill on="f" focussize="0,0"/>
                  <v:stroke on="f"/>
                  <v:imagedata r:id="rId15" cropleft="3833f" croptop="4631f" cropright="3247f" cropbottom="5148f" o:title=""/>
                  <o:lock v:ext="edit" aspectratio="f"/>
                  <w10:wrap type="none"/>
                  <w10:anchorlock/>
                </v:shape>
                <o:OLEObject Type="Embed" ProgID="Visio.Drawing.15" ShapeID="_x0000_i1028" DrawAspect="Content" ObjectID="_1468075728" r:id="rId14">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b/>
                <w:bCs/>
                <w:sz w:val="24"/>
                <w:szCs w:val="24"/>
                <w:lang w:val="en-US" w:eastAsia="zh-CN"/>
              </w:rPr>
            </w:pPr>
            <w:r>
              <w:rPr>
                <w:rFonts w:hint="eastAsia"/>
                <w:b/>
                <w:bCs/>
                <w:color w:val="auto"/>
                <w:sz w:val="24"/>
                <w:szCs w:val="24"/>
                <w:lang w:val="en-US" w:eastAsia="zh-CN"/>
              </w:rPr>
              <w:t>图2-4</w:t>
            </w:r>
            <w:r>
              <w:rPr>
                <w:rFonts w:hint="eastAsia"/>
                <w:b/>
                <w:bCs/>
                <w:sz w:val="24"/>
                <w:szCs w:val="24"/>
                <w:lang w:val="en-US" w:eastAsia="zh-CN"/>
              </w:rPr>
              <w:t xml:space="preserve">  塑料、泡沫制品加工工艺流程</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sz w:val="24"/>
                <w:szCs w:val="24"/>
                <w:lang w:val="en-US" w:eastAsia="zh-CN"/>
              </w:rPr>
            </w:pPr>
            <w:r>
              <w:rPr>
                <w:rFonts w:hint="eastAsia"/>
                <w:b/>
                <w:bCs/>
                <w:sz w:val="24"/>
                <w:szCs w:val="24"/>
                <w:lang w:val="en-US" w:eastAsia="zh-CN"/>
              </w:rPr>
              <w:t>工艺说明：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after="0" w:line="500" w:lineRule="exact"/>
              <w:ind w:left="0" w:leftChars="0" w:firstLine="480" w:firstLineChars="200"/>
              <w:jc w:val="both"/>
              <w:textAlignment w:val="auto"/>
              <w:outlineLvl w:val="9"/>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分切：</w:t>
            </w:r>
            <w:r>
              <w:rPr>
                <w:rFonts w:hint="eastAsia" w:cs="Times New Roman"/>
                <w:b w:val="0"/>
                <w:bCs w:val="0"/>
                <w:sz w:val="24"/>
                <w:szCs w:val="24"/>
                <w:lang w:val="en-US" w:eastAsia="zh-CN"/>
              </w:rPr>
              <w:t>EPE</w:t>
            </w:r>
            <w:r>
              <w:rPr>
                <w:rFonts w:hint="eastAsia" w:ascii="Times New Roman" w:hAnsi="Times New Roman" w:cs="Times New Roman"/>
                <w:b w:val="0"/>
                <w:bCs w:val="0"/>
                <w:sz w:val="24"/>
                <w:szCs w:val="24"/>
                <w:lang w:val="en-US" w:eastAsia="zh-CN"/>
              </w:rPr>
              <w:t>泡沫材料用泡棉直切机进行分切，</w:t>
            </w:r>
            <w:r>
              <w:rPr>
                <w:rFonts w:hint="eastAsia" w:cs="Times New Roman"/>
                <w:b w:val="0"/>
                <w:bCs w:val="0"/>
                <w:sz w:val="24"/>
                <w:szCs w:val="24"/>
                <w:lang w:val="en-US" w:eastAsia="zh-CN"/>
              </w:rPr>
              <w:t>中空板材料用中空板裁切机进行分切，该过程主要采用锋利的刀片进行快速震动切割，</w:t>
            </w:r>
            <w:r>
              <w:rPr>
                <w:rFonts w:hint="eastAsia" w:ascii="Times New Roman" w:hAnsi="Times New Roman" w:cs="Times New Roman"/>
                <w:b w:val="0"/>
                <w:bCs w:val="0"/>
                <w:sz w:val="24"/>
                <w:szCs w:val="24"/>
                <w:lang w:val="en-US" w:eastAsia="zh-CN"/>
              </w:rPr>
              <w:t>此过程会</w:t>
            </w:r>
            <w:r>
              <w:rPr>
                <w:rFonts w:hint="eastAsia" w:cs="Times New Roman"/>
                <w:b w:val="0"/>
                <w:bCs w:val="0"/>
                <w:sz w:val="24"/>
                <w:szCs w:val="24"/>
                <w:lang w:val="en-US" w:eastAsia="zh-CN"/>
              </w:rPr>
              <w:t>产生少量粉尘污染类污染（G3-1），</w:t>
            </w:r>
            <w:r>
              <w:rPr>
                <w:rFonts w:hint="eastAsia" w:ascii="Times New Roman" w:hAnsi="Times New Roman" w:cs="Times New Roman"/>
                <w:b w:val="0"/>
                <w:bCs w:val="0"/>
                <w:sz w:val="24"/>
                <w:szCs w:val="24"/>
                <w:lang w:val="en-US" w:eastAsia="zh-CN"/>
              </w:rPr>
              <w:t>中空板边角料</w:t>
            </w:r>
            <w:r>
              <w:rPr>
                <w:rFonts w:hint="eastAsia" w:cs="Times New Roman"/>
                <w:b w:val="0"/>
                <w:bCs w:val="0"/>
                <w:sz w:val="24"/>
                <w:szCs w:val="24"/>
                <w:lang w:val="en-US" w:eastAsia="zh-CN"/>
              </w:rPr>
              <w:t>（S3-1）</w:t>
            </w:r>
            <w:r>
              <w:rPr>
                <w:rFonts w:hint="eastAsia" w:ascii="Times New Roman" w:hAnsi="Times New Roman" w:cs="Times New Roman"/>
                <w:b w:val="0"/>
                <w:bCs w:val="0"/>
                <w:sz w:val="24"/>
                <w:szCs w:val="24"/>
                <w:lang w:val="en-US" w:eastAsia="zh-CN"/>
              </w:rPr>
              <w:t>，EPE边角料</w:t>
            </w:r>
            <w:r>
              <w:rPr>
                <w:rFonts w:hint="eastAsia" w:cs="Times New Roman"/>
                <w:b w:val="0"/>
                <w:bCs w:val="0"/>
                <w:sz w:val="24"/>
                <w:szCs w:val="24"/>
                <w:lang w:val="en-US" w:eastAsia="zh-CN"/>
              </w:rPr>
              <w:t>（S3-2）</w:t>
            </w:r>
            <w:r>
              <w:rPr>
                <w:rFonts w:hint="eastAsia" w:ascii="Times New Roman" w:hAnsi="Times New Roman" w:cs="Times New Roman"/>
                <w:b w:val="0"/>
                <w:bCs w:val="0"/>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80" w:firstLineChars="200"/>
              <w:textAlignment w:val="auto"/>
              <w:outlineLvl w:val="9"/>
              <w:rPr>
                <w:rFonts w:hint="eastAsia"/>
                <w:sz w:val="24"/>
                <w:szCs w:val="24"/>
                <w:lang w:val="en-US" w:eastAsia="zh-CN"/>
              </w:rPr>
            </w:pPr>
            <w:r>
              <w:rPr>
                <w:rFonts w:hint="eastAsia"/>
                <w:sz w:val="24"/>
                <w:szCs w:val="24"/>
                <w:lang w:val="en-US" w:eastAsia="zh-CN"/>
              </w:rPr>
              <w:t>成型（粘合）：本项目采用热熔机对泡沫或中空板材料进行粘合，利用热能将热熔胶热熔后再通过压力将胶水压出，从而实现泡沫、塑料制品的粘接，加热温度为220~230</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，加热时间为7s。</w:t>
            </w:r>
            <w:r>
              <w:rPr>
                <w:rFonts w:hint="eastAsia"/>
                <w:sz w:val="24"/>
                <w:szCs w:val="24"/>
                <w:lang w:val="en-US" w:eastAsia="zh-CN"/>
              </w:rPr>
              <w:t>此过程会产生有机废气，以非甲烷总烃计（G3-2）。</w:t>
            </w:r>
          </w:p>
          <w:p>
            <w:pPr>
              <w:pStyle w:val="4"/>
              <w:pageBreakBefore w:val="0"/>
              <w:widowControl w:val="0"/>
              <w:kinsoku/>
              <w:wordWrap/>
              <w:overflowPunct/>
              <w:topLinePunct w:val="0"/>
              <w:autoSpaceDE/>
              <w:autoSpaceDN/>
              <w:bidi w:val="0"/>
              <w:adjustRightInd/>
              <w:snapToGrid/>
              <w:spacing w:before="0" w:after="0" w:line="500" w:lineRule="exact"/>
              <w:ind w:firstLine="480" w:firstLineChars="200"/>
              <w:textAlignment w:val="auto"/>
              <w:rPr>
                <w:rFonts w:hint="default"/>
                <w:lang w:val="en-US" w:eastAsia="zh-CN"/>
              </w:rPr>
            </w:pPr>
            <w:r>
              <w:rPr>
                <w:rFonts w:hint="eastAsia"/>
                <w:b w:val="0"/>
                <w:bCs w:val="0"/>
                <w:sz w:val="24"/>
                <w:szCs w:val="24"/>
                <w:lang w:val="en-US" w:eastAsia="zh-CN"/>
              </w:rPr>
              <w:t>3、检验、包装：成型后的中空板片材、中空板箱、珍珠棉绿色缓冲材由工人检验其规格，产品用半自动捆绑机包装，最后得到成品。</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b/>
                <w:bCs/>
                <w:sz w:val="24"/>
                <w:szCs w:val="24"/>
                <w:lang w:val="en-US" w:eastAsia="zh-CN"/>
              </w:rPr>
            </w:pPr>
            <w:r>
              <w:rPr>
                <w:rFonts w:hint="eastAsia"/>
                <w:b/>
                <w:bCs/>
                <w:sz w:val="24"/>
                <w:szCs w:val="24"/>
                <w:lang w:val="en-US" w:eastAsia="zh-CN"/>
              </w:rPr>
              <w:t>其他污染物的产生：</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eastAsia="宋体"/>
                <w:sz w:val="24"/>
                <w:szCs w:val="24"/>
                <w:lang w:val="en-US" w:eastAsia="zh-CN"/>
              </w:rPr>
            </w:pPr>
            <w:r>
              <w:rPr>
                <w:rFonts w:hint="eastAsia"/>
                <w:sz w:val="24"/>
                <w:szCs w:val="24"/>
                <w:lang w:val="en-US" w:eastAsia="zh-CN"/>
              </w:rPr>
              <w:t>办公生活产生的生活污水W；一般废包装材料S4，废包装桶S5，废润滑油S6，废润滑油桶S7，废活性炭S8，含油废液S9，清洗废液S10、废劳保用品S11，生活垃圾S12。</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eastAsia="宋体"/>
                <w:b/>
                <w:bCs/>
                <w:color w:val="auto"/>
                <w:sz w:val="24"/>
                <w:szCs w:val="24"/>
                <w:lang w:val="en-US" w:eastAsia="zh-CN"/>
              </w:rPr>
            </w:pPr>
            <w:r>
              <w:rPr>
                <w:rFonts w:hint="eastAsia"/>
                <w:b/>
                <w:bCs/>
                <w:color w:val="auto"/>
                <w:sz w:val="24"/>
                <w:szCs w:val="24"/>
                <w:lang w:val="en-US" w:eastAsia="zh-CN"/>
              </w:rPr>
              <w:t>表2-7  主要产污环节及排污特征</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84"/>
              <w:gridCol w:w="825"/>
              <w:gridCol w:w="2022"/>
              <w:gridCol w:w="1577"/>
              <w:gridCol w:w="539"/>
              <w:gridCol w:w="2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sz w:val="21"/>
                      <w:szCs w:val="21"/>
                      <w:vertAlign w:val="baseline"/>
                      <w:lang w:val="en-US" w:eastAsia="zh-CN"/>
                    </w:rPr>
                  </w:pPr>
                  <w:r>
                    <w:rPr>
                      <w:rFonts w:hint="eastAsia"/>
                      <w:b/>
                      <w:bCs/>
                      <w:sz w:val="21"/>
                      <w:szCs w:val="21"/>
                      <w:vertAlign w:val="baseline"/>
                      <w:lang w:val="en-US" w:eastAsia="zh-CN"/>
                    </w:rPr>
                    <w:t>类型</w:t>
                  </w: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sz w:val="21"/>
                      <w:szCs w:val="21"/>
                      <w:vertAlign w:val="baseline"/>
                      <w:lang w:val="en-US" w:eastAsia="zh-CN"/>
                    </w:rPr>
                  </w:pPr>
                  <w:r>
                    <w:rPr>
                      <w:rFonts w:hint="eastAsia"/>
                      <w:b/>
                      <w:bCs/>
                      <w:sz w:val="21"/>
                      <w:szCs w:val="21"/>
                      <w:vertAlign w:val="baseline"/>
                      <w:lang w:val="en-US" w:eastAsia="zh-CN"/>
                    </w:rPr>
                    <w:t>编号</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sz w:val="21"/>
                      <w:szCs w:val="21"/>
                      <w:vertAlign w:val="baseline"/>
                      <w:lang w:val="en-US" w:eastAsia="zh-CN"/>
                    </w:rPr>
                  </w:pPr>
                  <w:r>
                    <w:rPr>
                      <w:rFonts w:hint="eastAsia"/>
                      <w:b/>
                      <w:bCs/>
                      <w:sz w:val="21"/>
                      <w:szCs w:val="21"/>
                      <w:vertAlign w:val="baseline"/>
                      <w:lang w:val="en-US" w:eastAsia="zh-CN"/>
                    </w:rPr>
                    <w:t>产污环节</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主要污染因子</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sz w:val="21"/>
                      <w:szCs w:val="21"/>
                      <w:vertAlign w:val="baseline"/>
                      <w:lang w:val="en-US" w:eastAsia="zh-CN"/>
                    </w:rPr>
                  </w:pPr>
                  <w:r>
                    <w:rPr>
                      <w:rFonts w:hint="eastAsia"/>
                      <w:b/>
                      <w:bCs/>
                      <w:sz w:val="21"/>
                      <w:szCs w:val="21"/>
                      <w:vertAlign w:val="baseline"/>
                      <w:lang w:val="en-US" w:eastAsia="zh-CN"/>
                    </w:rPr>
                    <w:t>特征</w:t>
                  </w:r>
                </w:p>
              </w:tc>
              <w:tc>
                <w:tcPr>
                  <w:tcW w:w="29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处理措施及排放去向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废气</w:t>
                  </w: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G1-1</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纸板分切</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微量粉尘</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ascii="Times New Roman" w:eastAsia="宋体"/>
                      <w:sz w:val="21"/>
                      <w:szCs w:val="21"/>
                      <w:vertAlign w:val="baseline"/>
                      <w:lang w:val="en-US" w:eastAsia="zh-CN"/>
                    </w:rPr>
                    <w:t>连续</w:t>
                  </w:r>
                </w:p>
              </w:tc>
              <w:tc>
                <w:tcPr>
                  <w:tcW w:w="29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ascii="Times New Roman" w:eastAsia="宋体"/>
                      <w:sz w:val="21"/>
                      <w:szCs w:val="21"/>
                      <w:vertAlign w:val="baseline"/>
                      <w:lang w:val="en-US" w:eastAsia="zh-CN"/>
                    </w:rPr>
                    <w:t>车间通风，无组织排放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sz w:val="21"/>
                      <w:szCs w:val="21"/>
                      <w:vertAlign w:val="baseline"/>
                      <w:lang w:val="en-US" w:eastAsia="zh-CN"/>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G1-2</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ascii="Times New Roman" w:eastAsia="宋体"/>
                      <w:sz w:val="21"/>
                      <w:szCs w:val="21"/>
                      <w:vertAlign w:val="baseline"/>
                      <w:lang w:val="en-US" w:eastAsia="zh-CN"/>
                    </w:rPr>
                    <w:t>纸板</w:t>
                  </w:r>
                  <w:r>
                    <w:rPr>
                      <w:rFonts w:hint="eastAsia"/>
                      <w:sz w:val="21"/>
                      <w:szCs w:val="21"/>
                      <w:vertAlign w:val="baseline"/>
                      <w:lang w:val="en-US" w:eastAsia="zh-CN"/>
                    </w:rPr>
                    <w:t>开槽</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eastAsia="宋体"/>
                      <w:sz w:val="21"/>
                      <w:szCs w:val="21"/>
                      <w:vertAlign w:val="baseline"/>
                      <w:lang w:val="en-US" w:eastAsia="zh-CN"/>
                    </w:rPr>
                    <w:t>微量粉尘</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ascii="Times New Roman" w:eastAsia="宋体"/>
                      <w:sz w:val="21"/>
                      <w:szCs w:val="21"/>
                      <w:vertAlign w:val="baseline"/>
                      <w:lang w:val="en-US" w:eastAsia="zh-CN"/>
                    </w:rPr>
                    <w:t>连续</w:t>
                  </w:r>
                </w:p>
              </w:tc>
              <w:tc>
                <w:tcPr>
                  <w:tcW w:w="29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ascii="Times New Roman" w:eastAsia="宋体"/>
                      <w:sz w:val="21"/>
                      <w:szCs w:val="21"/>
                      <w:vertAlign w:val="baseline"/>
                      <w:lang w:val="en-US" w:eastAsia="zh-CN"/>
                    </w:rPr>
                    <w:t>车间通风，无组织排放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sz w:val="21"/>
                      <w:szCs w:val="21"/>
                      <w:vertAlign w:val="baseline"/>
                      <w:lang w:val="en-US" w:eastAsia="zh-CN"/>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G1-3</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印刷</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非甲烷总烃</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连续</w:t>
                  </w:r>
                </w:p>
              </w:tc>
              <w:tc>
                <w:tcPr>
                  <w:tcW w:w="295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二级活性炭吸附装置+25m高排气筒排放（1#）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G1-4</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糊箱胶黏</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非甲烷总烃</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连续</w:t>
                  </w:r>
                </w:p>
              </w:tc>
              <w:tc>
                <w:tcPr>
                  <w:tcW w:w="29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G2-1</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板材下料</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粉尘</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连续</w:t>
                  </w:r>
                </w:p>
              </w:tc>
              <w:tc>
                <w:tcPr>
                  <w:tcW w:w="295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布袋除尘器+25m高排气筒排放（2#）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G2-2</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板材加工、配件加工</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粉尘</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连续</w:t>
                  </w:r>
                </w:p>
              </w:tc>
              <w:tc>
                <w:tcPr>
                  <w:tcW w:w="29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G3-1</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塑料分切</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ascii="Times New Roman" w:eastAsia="宋体"/>
                      <w:sz w:val="21"/>
                      <w:szCs w:val="21"/>
                      <w:vertAlign w:val="baseline"/>
                      <w:lang w:val="en-US" w:eastAsia="zh-CN"/>
                    </w:rPr>
                    <w:t>微量粉尘</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连续</w:t>
                  </w:r>
                </w:p>
              </w:tc>
              <w:tc>
                <w:tcPr>
                  <w:tcW w:w="29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ascii="Times New Roman" w:eastAsia="宋体"/>
                      <w:sz w:val="21"/>
                      <w:szCs w:val="21"/>
                      <w:vertAlign w:val="baseline"/>
                      <w:lang w:val="en-US" w:eastAsia="zh-CN"/>
                    </w:rPr>
                    <w:t>车间通风，无组织排放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G3-2</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成型（粘合）</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非甲烷总烃</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连续</w:t>
                  </w:r>
                </w:p>
              </w:tc>
              <w:tc>
                <w:tcPr>
                  <w:tcW w:w="29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二级活性炭吸附装置+25m高排气筒排放（1#）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废水</w:t>
                  </w: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办公生活</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COD、SS、NH</w:t>
                  </w:r>
                  <w:r>
                    <w:rPr>
                      <w:rFonts w:hint="eastAsia"/>
                      <w:sz w:val="21"/>
                      <w:szCs w:val="21"/>
                      <w:vertAlign w:val="subscript"/>
                      <w:lang w:val="en-US" w:eastAsia="zh-CN"/>
                    </w:rPr>
                    <w:t>3</w:t>
                  </w:r>
                  <w:r>
                    <w:rPr>
                      <w:rFonts w:hint="eastAsia"/>
                      <w:sz w:val="21"/>
                      <w:szCs w:val="21"/>
                      <w:vertAlign w:val="baseline"/>
                      <w:lang w:val="en-US" w:eastAsia="zh-CN"/>
                    </w:rPr>
                    <w:t>-N、TP、TN</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间歇</w:t>
                  </w:r>
                </w:p>
              </w:tc>
              <w:tc>
                <w:tcPr>
                  <w:tcW w:w="29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化粪池预处理后接管至海安市惠泽净水有限公司集中处理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固废</w:t>
                  </w: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S1-1</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纸制品分切</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ascii="Times New Roman" w:eastAsia="宋体"/>
                      <w:sz w:val="21"/>
                      <w:szCs w:val="21"/>
                      <w:vertAlign w:val="baseline"/>
                      <w:lang w:val="en-US" w:eastAsia="zh-CN"/>
                    </w:rPr>
                    <w:t>废纸</w:t>
                  </w:r>
                  <w:r>
                    <w:rPr>
                      <w:rFonts w:hint="eastAsia"/>
                      <w:sz w:val="21"/>
                      <w:szCs w:val="21"/>
                      <w:vertAlign w:val="baseline"/>
                      <w:lang w:val="en-US" w:eastAsia="zh-CN"/>
                    </w:rPr>
                    <w:t>边角料</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间歇</w:t>
                  </w:r>
                </w:p>
              </w:tc>
              <w:tc>
                <w:tcPr>
                  <w:tcW w:w="295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收集后分类暂存于一般固废堆场，定期外售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S1-2</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开槽</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废纸边角料</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间歇</w:t>
                  </w:r>
                </w:p>
              </w:tc>
              <w:tc>
                <w:tcPr>
                  <w:tcW w:w="29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S1-3</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包装</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废纸边角料</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间歇</w:t>
                  </w:r>
                </w:p>
              </w:tc>
              <w:tc>
                <w:tcPr>
                  <w:tcW w:w="29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S2-1</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板材加工、配件加工</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木料边角料</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间歇</w:t>
                  </w:r>
                </w:p>
              </w:tc>
              <w:tc>
                <w:tcPr>
                  <w:tcW w:w="29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S3-1</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中空板、EPE泡沫材料分切</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塑料边角料</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间歇</w:t>
                  </w:r>
                </w:p>
              </w:tc>
              <w:tc>
                <w:tcPr>
                  <w:tcW w:w="295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分类暂存于一般固废堆场，定期外售处置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S4</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原辅料使用</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一般废包装材料</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间歇</w:t>
                  </w:r>
                </w:p>
              </w:tc>
              <w:tc>
                <w:tcPr>
                  <w:tcW w:w="29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S5</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ascii="Times New Roman" w:eastAsia="宋体"/>
                      <w:sz w:val="21"/>
                      <w:szCs w:val="21"/>
                      <w:vertAlign w:val="baseline"/>
                      <w:lang w:val="en-US" w:eastAsia="zh-CN"/>
                    </w:rPr>
                    <w:t>废气处理</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收集尘</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间歇</w:t>
                  </w:r>
                </w:p>
              </w:tc>
              <w:tc>
                <w:tcPr>
                  <w:tcW w:w="29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S6</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ascii="Times New Roman" w:eastAsia="宋体"/>
                      <w:sz w:val="21"/>
                      <w:szCs w:val="21"/>
                      <w:vertAlign w:val="baseline"/>
                      <w:lang w:val="en-US" w:eastAsia="zh-CN"/>
                    </w:rPr>
                    <w:t>废气处理</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废布袋</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间歇</w:t>
                  </w:r>
                </w:p>
              </w:tc>
              <w:tc>
                <w:tcPr>
                  <w:tcW w:w="29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S7</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物料使用</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废包装桶</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间歇</w:t>
                  </w:r>
                </w:p>
              </w:tc>
              <w:tc>
                <w:tcPr>
                  <w:tcW w:w="295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r>
                    <w:rPr>
                      <w:rFonts w:hint="eastAsia"/>
                      <w:sz w:val="21"/>
                      <w:szCs w:val="21"/>
                      <w:vertAlign w:val="baseline"/>
                      <w:lang w:val="en-US" w:eastAsia="zh-CN"/>
                    </w:rPr>
                    <w:t>分类暂存于危废贮存点，委托有资质单位处理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S8</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设备保养</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废润滑油</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间歇</w:t>
                  </w:r>
                </w:p>
              </w:tc>
              <w:tc>
                <w:tcPr>
                  <w:tcW w:w="29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S9</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设备保养</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废润滑油桶</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间歇</w:t>
                  </w:r>
                </w:p>
              </w:tc>
              <w:tc>
                <w:tcPr>
                  <w:tcW w:w="29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S10</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废气处理</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废活性炭</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间歇</w:t>
                  </w:r>
                </w:p>
              </w:tc>
              <w:tc>
                <w:tcPr>
                  <w:tcW w:w="29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S11</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空压机</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含油废液</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间歇</w:t>
                  </w:r>
                </w:p>
              </w:tc>
              <w:tc>
                <w:tcPr>
                  <w:tcW w:w="29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ascii="Times New Roman" w:eastAsia="宋体"/>
                      <w:sz w:val="21"/>
                      <w:szCs w:val="21"/>
                      <w:vertAlign w:val="baseline"/>
                      <w:lang w:val="en-US" w:eastAsia="zh-CN"/>
                    </w:rPr>
                    <w:t>S12</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印刷设备清洗</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清洗废液</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间歇</w:t>
                  </w:r>
                </w:p>
              </w:tc>
              <w:tc>
                <w:tcPr>
                  <w:tcW w:w="29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S13</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员工生产</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废劳保用品</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间歇</w:t>
                  </w:r>
                </w:p>
              </w:tc>
              <w:tc>
                <w:tcPr>
                  <w:tcW w:w="29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S14</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办公生活</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生活垃圾</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间歇</w:t>
                  </w:r>
                </w:p>
              </w:tc>
              <w:tc>
                <w:tcPr>
                  <w:tcW w:w="29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环卫清运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噪声</w:t>
                  </w: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N</w:t>
                  </w:r>
                </w:p>
              </w:tc>
              <w:tc>
                <w:tcPr>
                  <w:tcW w:w="2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各类生产设备、空压机、风机</w:t>
                  </w:r>
                </w:p>
              </w:tc>
              <w:tc>
                <w:tcPr>
                  <w:tcW w:w="1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color w:val="000000"/>
                      <w:sz w:val="21"/>
                      <w:szCs w:val="21"/>
                      <w:lang w:val="en-US" w:eastAsia="zh-CN"/>
                    </w:rPr>
                    <w:t>噪声</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r>
                    <w:rPr>
                      <w:color w:val="000000"/>
                      <w:sz w:val="21"/>
                      <w:szCs w:val="21"/>
                    </w:rPr>
                    <w:t>间歇</w:t>
                  </w:r>
                </w:p>
              </w:tc>
              <w:tc>
                <w:tcPr>
                  <w:tcW w:w="29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vertAlign w:val="baseline"/>
                    </w:rPr>
                  </w:pPr>
                  <w:r>
                    <w:rPr>
                      <w:color w:val="000000"/>
                      <w:sz w:val="21"/>
                      <w:szCs w:val="21"/>
                    </w:rPr>
                    <w:t>隔声、减振</w:t>
                  </w:r>
                </w:p>
              </w:tc>
            </w:tr>
          </w:tbl>
          <w:p>
            <w:pPr>
              <w:pStyle w:val="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178" w:type="pct"/>
            <w:tcBorders>
              <w:tl2br w:val="nil"/>
              <w:tr2bl w:val="nil"/>
            </w:tcBorders>
            <w:vAlign w:val="center"/>
          </w:tcPr>
          <w:p>
            <w:pPr>
              <w:pStyle w:val="16"/>
              <w:adjustRightInd w:val="0"/>
              <w:snapToGrid w:val="0"/>
              <w:spacing w:before="0" w:beforeAutospacing="0" w:after="0" w:afterAutospacing="0"/>
              <w:jc w:val="center"/>
              <w:rPr>
                <w:rFonts w:ascii="Times New Roman" w:hAnsi="Times New Roman"/>
                <w:szCs w:val="24"/>
              </w:rPr>
            </w:pPr>
            <w:r>
              <w:rPr>
                <w:rFonts w:ascii="Times New Roman" w:hAnsi="Times New Roman"/>
                <w:bCs/>
                <w:kern w:val="2"/>
                <w:sz w:val="21"/>
                <w:szCs w:val="21"/>
              </w:rPr>
              <w:t>与项目有关的原有环境污染问题</w:t>
            </w:r>
          </w:p>
        </w:tc>
        <w:tc>
          <w:tcPr>
            <w:tcW w:w="4821" w:type="pct"/>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eastAsia="宋体"/>
                <w:bCs/>
                <w:sz w:val="24"/>
                <w:lang w:val="en-US" w:eastAsia="zh-CN"/>
              </w:rPr>
            </w:pPr>
            <w:r>
              <w:rPr>
                <w:rFonts w:hint="eastAsia"/>
                <w:bCs/>
                <w:sz w:val="24"/>
                <w:lang w:val="en-US" w:eastAsia="zh-CN"/>
              </w:rPr>
              <w:t>本项目为新建项目，购买南通昊陵实业发展有限公司新建的标准厂房进行生产。根据现场勘查，无遗留污染情况及环境问题。</w:t>
            </w:r>
          </w:p>
        </w:tc>
      </w:tr>
    </w:tbl>
    <w:p>
      <w:pPr>
        <w:rPr>
          <w:rFonts w:hint="eastAsia" w:ascii="黑体" w:hAnsi="黑体" w:eastAsia="黑体"/>
          <w:snapToGrid w:val="0"/>
          <w:sz w:val="30"/>
          <w:szCs w:val="30"/>
        </w:rPr>
      </w:pPr>
      <w:r>
        <w:rPr>
          <w:rFonts w:hint="eastAsia" w:ascii="黑体" w:hAnsi="黑体" w:eastAsia="黑体"/>
          <w:snapToGrid w:val="0"/>
          <w:sz w:val="30"/>
          <w:szCs w:val="30"/>
        </w:rPr>
        <w:br w:type="page"/>
      </w:r>
    </w:p>
    <w:p>
      <w:pPr>
        <w:pStyle w:val="16"/>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jc w:val="center"/>
        <w:textAlignment w:val="auto"/>
        <w:outlineLvl w:val="0"/>
        <w:rPr>
          <w:rFonts w:hint="eastAsia"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46"/>
        <w:gridCol w:w="86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6" w:hRule="atLeast"/>
          <w:jc w:val="center"/>
        </w:trPr>
        <w:tc>
          <w:tcPr>
            <w:tcW w:w="2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4"/>
              </w:rPr>
            </w:pPr>
            <w:r>
              <w:rPr>
                <w:rFonts w:eastAsia="宋体"/>
                <w:kern w:val="0"/>
                <w:sz w:val="24"/>
              </w:rPr>
              <w:t>区域环境质量现状</w:t>
            </w:r>
          </w:p>
        </w:tc>
        <w:tc>
          <w:tcPr>
            <w:tcW w:w="47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b/>
                <w:bCs/>
                <w:sz w:val="24"/>
                <w:szCs w:val="24"/>
              </w:rPr>
            </w:pPr>
            <w:r>
              <w:rPr>
                <w:rFonts w:hint="eastAsia"/>
                <w:b/>
                <w:bCs/>
                <w:sz w:val="24"/>
                <w:szCs w:val="24"/>
              </w:rPr>
              <w:t>1、大气环境质量现状</w:t>
            </w:r>
          </w:p>
          <w:p>
            <w:pPr>
              <w:widowControl w:val="0"/>
              <w:spacing w:line="500" w:lineRule="exact"/>
              <w:ind w:firstLine="480" w:firstLineChars="200"/>
              <w:jc w:val="left"/>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（1）环境质量达标区判定</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szCs w:val="24"/>
              </w:rPr>
            </w:pPr>
            <w:r>
              <w:rPr>
                <w:sz w:val="24"/>
                <w:szCs w:val="24"/>
              </w:rPr>
              <w:t>本次评价选取202</w:t>
            </w:r>
            <w:r>
              <w:rPr>
                <w:rFonts w:hint="eastAsia"/>
                <w:sz w:val="24"/>
                <w:szCs w:val="24"/>
                <w:lang w:val="en-US" w:eastAsia="zh-CN"/>
              </w:rPr>
              <w:t>2</w:t>
            </w:r>
            <w:r>
              <w:rPr>
                <w:sz w:val="24"/>
                <w:szCs w:val="24"/>
              </w:rPr>
              <w:t>年作为评价基准年，根据《南通市生态环境状况公报》（202</w:t>
            </w:r>
            <w:r>
              <w:rPr>
                <w:rFonts w:hint="eastAsia"/>
                <w:sz w:val="24"/>
                <w:szCs w:val="24"/>
                <w:lang w:val="en-US" w:eastAsia="zh-CN"/>
              </w:rPr>
              <w:t>2</w:t>
            </w:r>
            <w:r>
              <w:rPr>
                <w:sz w:val="24"/>
                <w:szCs w:val="24"/>
              </w:rPr>
              <w:t>年），</w:t>
            </w:r>
            <w:r>
              <w:rPr>
                <w:rFonts w:hint="eastAsia"/>
                <w:sz w:val="24"/>
                <w:szCs w:val="24"/>
                <w:lang w:val="en-US" w:eastAsia="zh-CN"/>
              </w:rPr>
              <w:t>2022年</w:t>
            </w:r>
            <w:r>
              <w:rPr>
                <w:sz w:val="24"/>
                <w:szCs w:val="24"/>
              </w:rPr>
              <w:t>海安市空气污染物指标监测结果见表3-1。</w:t>
            </w:r>
          </w:p>
          <w:p>
            <w:pPr>
              <w:keepNext w:val="0"/>
              <w:keepLines w:val="0"/>
              <w:pageBreakBefore w:val="0"/>
              <w:widowControl w:val="0"/>
              <w:numPr>
                <w:ilvl w:val="0"/>
                <w:numId w:val="3"/>
              </w:numPr>
              <w:tabs>
                <w:tab w:val="clear" w:pos="420"/>
              </w:tabs>
              <w:kinsoku/>
              <w:wordWrap/>
              <w:overflowPunct/>
              <w:topLinePunct w:val="0"/>
              <w:autoSpaceDE/>
              <w:autoSpaceDN/>
              <w:bidi w:val="0"/>
              <w:adjustRightInd w:val="0"/>
              <w:snapToGrid w:val="0"/>
              <w:spacing w:line="500" w:lineRule="exact"/>
              <w:ind w:left="0" w:leftChars="0" w:hanging="5" w:firstLineChars="0"/>
              <w:jc w:val="center"/>
              <w:textAlignment w:val="auto"/>
              <w:rPr>
                <w:b/>
                <w:bCs/>
                <w:sz w:val="24"/>
                <w:szCs w:val="24"/>
              </w:rPr>
            </w:pPr>
            <w:r>
              <w:rPr>
                <w:b/>
                <w:bCs/>
                <w:sz w:val="24"/>
                <w:szCs w:val="24"/>
              </w:rPr>
              <w:t>202</w:t>
            </w:r>
            <w:r>
              <w:rPr>
                <w:rFonts w:hint="eastAsia"/>
                <w:b/>
                <w:bCs/>
                <w:sz w:val="24"/>
                <w:szCs w:val="24"/>
                <w:lang w:val="en-US" w:eastAsia="zh-CN"/>
              </w:rPr>
              <w:t>2</w:t>
            </w:r>
            <w:r>
              <w:rPr>
                <w:b/>
                <w:bCs/>
                <w:sz w:val="24"/>
                <w:szCs w:val="24"/>
              </w:rPr>
              <w:t>年海安市主要空气污染物指标监测结果</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78"/>
              <w:gridCol w:w="1982"/>
              <w:gridCol w:w="1027"/>
              <w:gridCol w:w="1039"/>
              <w:gridCol w:w="1146"/>
              <w:gridCol w:w="1347"/>
              <w:gridCol w:w="10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b/>
                      <w:bCs/>
                      <w:kern w:val="0"/>
                      <w:sz w:val="21"/>
                      <w:szCs w:val="21"/>
                    </w:rPr>
                    <w:t>污染物</w:t>
                  </w:r>
                </w:p>
              </w:tc>
              <w:tc>
                <w:tcPr>
                  <w:tcW w:w="2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b/>
                      <w:bCs/>
                      <w:kern w:val="0"/>
                      <w:sz w:val="21"/>
                      <w:szCs w:val="21"/>
                    </w:rPr>
                    <w:t>年评价指标</w:t>
                  </w:r>
                </w:p>
              </w:tc>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b/>
                      <w:bCs/>
                      <w:kern w:val="0"/>
                      <w:sz w:val="21"/>
                      <w:szCs w:val="21"/>
                    </w:rPr>
                    <w:t>单位</w:t>
                  </w:r>
                </w:p>
              </w:tc>
              <w:tc>
                <w:tcPr>
                  <w:tcW w:w="11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kern w:val="0"/>
                      <w:sz w:val="21"/>
                      <w:szCs w:val="21"/>
                      <w:vertAlign w:val="baseline"/>
                      <w:lang w:eastAsia="zh-CN"/>
                    </w:rPr>
                  </w:pPr>
                  <w:r>
                    <w:rPr>
                      <w:rFonts w:hint="eastAsia"/>
                      <w:b/>
                      <w:bCs/>
                      <w:kern w:val="0"/>
                      <w:sz w:val="21"/>
                      <w:szCs w:val="21"/>
                    </w:rPr>
                    <w:t>现状浓度</w:t>
                  </w: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b/>
                      <w:bCs/>
                      <w:kern w:val="0"/>
                      <w:sz w:val="21"/>
                      <w:szCs w:val="21"/>
                    </w:rPr>
                    <w:t>标准值</w:t>
                  </w:r>
                </w:p>
              </w:tc>
              <w:tc>
                <w:tcPr>
                  <w:tcW w:w="14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kern w:val="0"/>
                      <w:sz w:val="21"/>
                      <w:szCs w:val="21"/>
                      <w:lang w:val="en-US" w:eastAsia="zh-CN"/>
                    </w:rPr>
                  </w:pPr>
                  <w:r>
                    <w:rPr>
                      <w:rFonts w:hint="eastAsia"/>
                      <w:b/>
                      <w:bCs/>
                      <w:kern w:val="0"/>
                      <w:sz w:val="21"/>
                      <w:szCs w:val="21"/>
                      <w:lang w:val="en-US" w:eastAsia="zh-CN"/>
                    </w:rPr>
                    <w:t>占标率%</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b/>
                      <w:bCs/>
                      <w:kern w:val="0"/>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SO</w:t>
                  </w:r>
                  <w:r>
                    <w:rPr>
                      <w:rFonts w:hint="eastAsia"/>
                      <w:kern w:val="0"/>
                      <w:sz w:val="21"/>
                      <w:szCs w:val="21"/>
                      <w:vertAlign w:val="subscript"/>
                    </w:rPr>
                    <w:t>2</w:t>
                  </w:r>
                </w:p>
              </w:tc>
              <w:tc>
                <w:tcPr>
                  <w:tcW w:w="21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年平均质量浓度</w:t>
                  </w:r>
                </w:p>
              </w:tc>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sz w:val="21"/>
                      <w:szCs w:val="21"/>
                    </w:rPr>
                    <w:t>µg/m</w:t>
                  </w:r>
                  <w:r>
                    <w:rPr>
                      <w:sz w:val="21"/>
                      <w:szCs w:val="21"/>
                      <w:vertAlign w:val="superscript"/>
                    </w:rPr>
                    <w:t>3</w:t>
                  </w:r>
                </w:p>
              </w:tc>
              <w:tc>
                <w:tcPr>
                  <w:tcW w:w="11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kern w:val="0"/>
                      <w:sz w:val="21"/>
                      <w:szCs w:val="21"/>
                      <w:vertAlign w:val="baseline"/>
                      <w:lang w:eastAsia="zh-CN"/>
                    </w:rPr>
                  </w:pPr>
                  <w:r>
                    <w:rPr>
                      <w:rFonts w:hint="eastAsia"/>
                      <w:kern w:val="0"/>
                      <w:sz w:val="21"/>
                      <w:szCs w:val="21"/>
                      <w:lang w:val="en-US" w:eastAsia="zh-CN"/>
                    </w:rPr>
                    <w:t>8</w:t>
                  </w: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60</w:t>
                  </w:r>
                </w:p>
              </w:tc>
              <w:tc>
                <w:tcPr>
                  <w:tcW w:w="14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lang w:val="en-US" w:eastAsia="zh-CN"/>
                    </w:rPr>
                  </w:pPr>
                  <w:r>
                    <w:rPr>
                      <w:rFonts w:hint="eastAsia"/>
                      <w:kern w:val="0"/>
                      <w:sz w:val="21"/>
                      <w:szCs w:val="21"/>
                      <w:lang w:val="en-US" w:eastAsia="zh-CN"/>
                    </w:rPr>
                    <w:t>13.3</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NO</w:t>
                  </w:r>
                  <w:r>
                    <w:rPr>
                      <w:rFonts w:hint="eastAsia"/>
                      <w:kern w:val="0"/>
                      <w:sz w:val="21"/>
                      <w:szCs w:val="21"/>
                      <w:vertAlign w:val="subscript"/>
                    </w:rPr>
                    <w:t>2</w:t>
                  </w:r>
                </w:p>
              </w:tc>
              <w:tc>
                <w:tcPr>
                  <w:tcW w:w="21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kern w:val="0"/>
                      <w:sz w:val="21"/>
                      <w:szCs w:val="21"/>
                      <w:vertAlign w:val="baseline"/>
                    </w:rPr>
                  </w:pPr>
                </w:p>
              </w:tc>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sz w:val="21"/>
                      <w:szCs w:val="21"/>
                    </w:rPr>
                    <w:t>µg/m</w:t>
                  </w:r>
                  <w:r>
                    <w:rPr>
                      <w:sz w:val="21"/>
                      <w:szCs w:val="21"/>
                      <w:vertAlign w:val="superscript"/>
                    </w:rPr>
                    <w:t>3</w:t>
                  </w:r>
                </w:p>
              </w:tc>
              <w:tc>
                <w:tcPr>
                  <w:tcW w:w="1109" w:type="dxa"/>
                  <w:tcBorders>
                    <w:tl2br w:val="nil"/>
                    <w:tr2bl w:val="nil"/>
                  </w:tcBorders>
                  <w:vAlign w:val="center"/>
                </w:tcPr>
                <w:p>
                  <w:pPr>
                    <w:keepNext w:val="0"/>
                    <w:keepLines w:val="0"/>
                    <w:pageBreakBefore w:val="0"/>
                    <w:widowControl w:val="0"/>
                    <w:tabs>
                      <w:tab w:val="center" w:pos="585"/>
                    </w:tabs>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lang w:val="en-US" w:eastAsia="zh-CN"/>
                    </w:rPr>
                    <w:t>19</w:t>
                  </w: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40</w:t>
                  </w:r>
                </w:p>
              </w:tc>
              <w:tc>
                <w:tcPr>
                  <w:tcW w:w="14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lang w:val="en-US" w:eastAsia="zh-CN"/>
                    </w:rPr>
                  </w:pPr>
                  <w:r>
                    <w:rPr>
                      <w:rFonts w:hint="eastAsia"/>
                      <w:kern w:val="0"/>
                      <w:sz w:val="21"/>
                      <w:szCs w:val="21"/>
                      <w:lang w:val="en-US" w:eastAsia="zh-CN"/>
                    </w:rPr>
                    <w:t>47.5</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PM</w:t>
                  </w:r>
                  <w:r>
                    <w:rPr>
                      <w:rFonts w:hint="eastAsia"/>
                      <w:kern w:val="0"/>
                      <w:sz w:val="21"/>
                      <w:szCs w:val="21"/>
                      <w:vertAlign w:val="subscript"/>
                    </w:rPr>
                    <w:t>10</w:t>
                  </w:r>
                </w:p>
              </w:tc>
              <w:tc>
                <w:tcPr>
                  <w:tcW w:w="21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kern w:val="0"/>
                      <w:sz w:val="21"/>
                      <w:szCs w:val="21"/>
                      <w:vertAlign w:val="baseline"/>
                    </w:rPr>
                  </w:pPr>
                </w:p>
              </w:tc>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sz w:val="21"/>
                      <w:szCs w:val="21"/>
                    </w:rPr>
                    <w:t>µg/m</w:t>
                  </w:r>
                  <w:r>
                    <w:rPr>
                      <w:sz w:val="21"/>
                      <w:szCs w:val="21"/>
                      <w:vertAlign w:val="superscript"/>
                    </w:rPr>
                    <w:t>3</w:t>
                  </w:r>
                </w:p>
              </w:tc>
              <w:tc>
                <w:tcPr>
                  <w:tcW w:w="11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lang w:val="en-US" w:eastAsia="zh-CN"/>
                    </w:rPr>
                    <w:t>51</w:t>
                  </w: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70</w:t>
                  </w:r>
                </w:p>
              </w:tc>
              <w:tc>
                <w:tcPr>
                  <w:tcW w:w="14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lang w:val="en-US" w:eastAsia="zh-CN"/>
                    </w:rPr>
                  </w:pPr>
                  <w:r>
                    <w:rPr>
                      <w:rFonts w:hint="eastAsia"/>
                      <w:kern w:val="0"/>
                      <w:sz w:val="21"/>
                      <w:szCs w:val="21"/>
                      <w:lang w:val="en-US" w:eastAsia="zh-CN"/>
                    </w:rPr>
                    <w:t>72.8</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PM</w:t>
                  </w:r>
                  <w:r>
                    <w:rPr>
                      <w:rFonts w:hint="eastAsia"/>
                      <w:kern w:val="0"/>
                      <w:sz w:val="21"/>
                      <w:szCs w:val="21"/>
                      <w:vertAlign w:val="subscript"/>
                    </w:rPr>
                    <w:t>2.5</w:t>
                  </w:r>
                </w:p>
              </w:tc>
              <w:tc>
                <w:tcPr>
                  <w:tcW w:w="21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kern w:val="0"/>
                      <w:sz w:val="21"/>
                      <w:szCs w:val="21"/>
                      <w:vertAlign w:val="baseline"/>
                    </w:rPr>
                  </w:pPr>
                </w:p>
              </w:tc>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sz w:val="21"/>
                      <w:szCs w:val="21"/>
                    </w:rPr>
                    <w:t>µg/m</w:t>
                  </w:r>
                  <w:r>
                    <w:rPr>
                      <w:sz w:val="21"/>
                      <w:szCs w:val="21"/>
                      <w:vertAlign w:val="superscript"/>
                    </w:rPr>
                    <w:t>3</w:t>
                  </w:r>
                </w:p>
              </w:tc>
              <w:tc>
                <w:tcPr>
                  <w:tcW w:w="11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lang w:val="en-US" w:eastAsia="zh-CN"/>
                    </w:rPr>
                    <w:t>31</w:t>
                  </w: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35</w:t>
                  </w:r>
                </w:p>
              </w:tc>
              <w:tc>
                <w:tcPr>
                  <w:tcW w:w="14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lang w:val="en-US" w:eastAsia="zh-CN"/>
                    </w:rPr>
                  </w:pPr>
                  <w:r>
                    <w:rPr>
                      <w:rFonts w:hint="eastAsia"/>
                      <w:kern w:val="0"/>
                      <w:sz w:val="21"/>
                      <w:szCs w:val="21"/>
                      <w:lang w:val="en-US" w:eastAsia="zh-CN"/>
                    </w:rPr>
                    <w:t>88.6</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CO</w:t>
                  </w:r>
                </w:p>
              </w:tc>
              <w:tc>
                <w:tcPr>
                  <w:tcW w:w="2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第95百分位数</w:t>
                  </w:r>
                </w:p>
              </w:tc>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sz w:val="21"/>
                      <w:szCs w:val="21"/>
                    </w:rPr>
                    <w:t>m</w:t>
                  </w:r>
                  <w:r>
                    <w:rPr>
                      <w:sz w:val="21"/>
                      <w:szCs w:val="21"/>
                    </w:rPr>
                    <w:t>g/m</w:t>
                  </w:r>
                  <w:r>
                    <w:rPr>
                      <w:sz w:val="21"/>
                      <w:szCs w:val="21"/>
                      <w:vertAlign w:val="superscript"/>
                    </w:rPr>
                    <w:t>3</w:t>
                  </w:r>
                </w:p>
              </w:tc>
              <w:tc>
                <w:tcPr>
                  <w:tcW w:w="11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lang w:val="en-US" w:eastAsia="zh-CN"/>
                    </w:rPr>
                    <w:t>1</w:t>
                  </w: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rPr>
                    <w:t>4</w:t>
                  </w:r>
                </w:p>
              </w:tc>
              <w:tc>
                <w:tcPr>
                  <w:tcW w:w="14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lang w:val="en-US" w:eastAsia="zh-CN"/>
                    </w:rPr>
                  </w:pPr>
                  <w:r>
                    <w:rPr>
                      <w:rFonts w:hint="eastAsia"/>
                      <w:kern w:val="0"/>
                      <w:sz w:val="21"/>
                      <w:szCs w:val="21"/>
                      <w:lang w:val="en-US" w:eastAsia="zh-CN"/>
                    </w:rPr>
                    <w:t>25</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O</w:t>
                  </w:r>
                  <w:r>
                    <w:rPr>
                      <w:rFonts w:hint="eastAsia"/>
                      <w:kern w:val="0"/>
                      <w:sz w:val="21"/>
                      <w:szCs w:val="21"/>
                      <w:vertAlign w:val="subscript"/>
                    </w:rPr>
                    <w:t>3</w:t>
                  </w:r>
                </w:p>
              </w:tc>
              <w:tc>
                <w:tcPr>
                  <w:tcW w:w="2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日最大8小时滑动平均值第90百分位数</w:t>
                  </w:r>
                </w:p>
              </w:tc>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sz w:val="21"/>
                      <w:szCs w:val="21"/>
                    </w:rPr>
                    <w:t>µg/m</w:t>
                  </w:r>
                  <w:r>
                    <w:rPr>
                      <w:sz w:val="21"/>
                      <w:szCs w:val="21"/>
                      <w:vertAlign w:val="superscript"/>
                    </w:rPr>
                    <w:t>3</w:t>
                  </w:r>
                </w:p>
              </w:tc>
              <w:tc>
                <w:tcPr>
                  <w:tcW w:w="11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lang w:val="en-US" w:eastAsia="zh-CN"/>
                    </w:rPr>
                    <w:t>174</w:t>
                  </w: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r>
                    <w:rPr>
                      <w:rFonts w:hint="eastAsia"/>
                      <w:kern w:val="0"/>
                      <w:sz w:val="21"/>
                      <w:szCs w:val="21"/>
                    </w:rPr>
                    <w:t>160</w:t>
                  </w:r>
                </w:p>
              </w:tc>
              <w:tc>
                <w:tcPr>
                  <w:tcW w:w="14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lang w:val="en-US" w:eastAsia="zh-CN"/>
                    </w:rPr>
                  </w:pPr>
                  <w:r>
                    <w:rPr>
                      <w:rFonts w:hint="eastAsia"/>
                      <w:kern w:val="0"/>
                      <w:sz w:val="21"/>
                      <w:szCs w:val="21"/>
                      <w:lang w:val="en-US" w:eastAsia="zh-CN"/>
                    </w:rPr>
                    <w:t>108.8</w:t>
                  </w:r>
                </w:p>
              </w:tc>
              <w:tc>
                <w:tcPr>
                  <w:tcW w:w="11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超标</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kern w:val="0"/>
                <w:sz w:val="24"/>
                <w:szCs w:val="24"/>
              </w:rPr>
            </w:pPr>
            <w:r>
              <w:rPr>
                <w:kern w:val="0"/>
                <w:sz w:val="24"/>
                <w:szCs w:val="24"/>
              </w:rPr>
              <w:t>由表3-1可知，202</w:t>
            </w:r>
            <w:r>
              <w:rPr>
                <w:rFonts w:hint="eastAsia"/>
                <w:kern w:val="0"/>
                <w:sz w:val="24"/>
                <w:szCs w:val="24"/>
                <w:lang w:val="en-US" w:eastAsia="zh-CN"/>
              </w:rPr>
              <w:t>2</w:t>
            </w:r>
            <w:r>
              <w:rPr>
                <w:kern w:val="0"/>
                <w:sz w:val="24"/>
                <w:szCs w:val="24"/>
              </w:rPr>
              <w:t>年海安区域SO</w:t>
            </w:r>
            <w:r>
              <w:rPr>
                <w:kern w:val="0"/>
                <w:sz w:val="24"/>
                <w:szCs w:val="24"/>
                <w:vertAlign w:val="subscript"/>
              </w:rPr>
              <w:t>2</w:t>
            </w:r>
            <w:r>
              <w:rPr>
                <w:kern w:val="0"/>
                <w:sz w:val="24"/>
                <w:szCs w:val="24"/>
              </w:rPr>
              <w:t>、NO</w:t>
            </w:r>
            <w:r>
              <w:rPr>
                <w:kern w:val="0"/>
                <w:sz w:val="24"/>
                <w:szCs w:val="24"/>
                <w:vertAlign w:val="subscript"/>
              </w:rPr>
              <w:t>2</w:t>
            </w:r>
            <w:r>
              <w:rPr>
                <w:kern w:val="0"/>
                <w:sz w:val="24"/>
                <w:szCs w:val="24"/>
              </w:rPr>
              <w:t>、PM</w:t>
            </w:r>
            <w:r>
              <w:rPr>
                <w:kern w:val="0"/>
                <w:sz w:val="24"/>
                <w:szCs w:val="24"/>
                <w:vertAlign w:val="subscript"/>
              </w:rPr>
              <w:t>10</w:t>
            </w:r>
            <w:r>
              <w:rPr>
                <w:kern w:val="0"/>
                <w:sz w:val="24"/>
                <w:szCs w:val="24"/>
              </w:rPr>
              <w:t>、PM</w:t>
            </w:r>
            <w:r>
              <w:rPr>
                <w:kern w:val="0"/>
                <w:sz w:val="24"/>
                <w:szCs w:val="24"/>
                <w:vertAlign w:val="subscript"/>
              </w:rPr>
              <w:t>2.5</w:t>
            </w:r>
            <w:r>
              <w:rPr>
                <w:kern w:val="0"/>
                <w:sz w:val="24"/>
                <w:szCs w:val="24"/>
              </w:rPr>
              <w:t>、CO、相关指标符合《环境空气质量标准》（GB3095-2012）</w:t>
            </w:r>
            <w:r>
              <w:rPr>
                <w:rFonts w:hint="eastAsia"/>
                <w:kern w:val="0"/>
                <w:sz w:val="24"/>
                <w:szCs w:val="24"/>
                <w:lang w:val="en-US" w:eastAsia="zh-CN"/>
              </w:rPr>
              <w:t>中</w:t>
            </w:r>
            <w:r>
              <w:rPr>
                <w:kern w:val="0"/>
                <w:sz w:val="24"/>
                <w:szCs w:val="24"/>
              </w:rPr>
              <w:t>二级标准</w:t>
            </w:r>
            <w:r>
              <w:rPr>
                <w:rFonts w:hint="eastAsia"/>
                <w:kern w:val="0"/>
                <w:sz w:val="24"/>
                <w:szCs w:val="24"/>
              </w:rPr>
              <w:t>，</w:t>
            </w:r>
            <w:r>
              <w:rPr>
                <w:rFonts w:hint="eastAsia"/>
                <w:kern w:val="0"/>
                <w:sz w:val="24"/>
                <w:szCs w:val="24"/>
                <w:lang w:val="en-US" w:eastAsia="zh-CN"/>
              </w:rPr>
              <w:t>O</w:t>
            </w:r>
            <w:r>
              <w:rPr>
                <w:rFonts w:hint="eastAsia"/>
                <w:kern w:val="0"/>
                <w:sz w:val="24"/>
                <w:szCs w:val="24"/>
                <w:vertAlign w:val="subscript"/>
                <w:lang w:val="en-US" w:eastAsia="zh-CN"/>
              </w:rPr>
              <w:t>3</w:t>
            </w:r>
            <w:r>
              <w:rPr>
                <w:rFonts w:hint="eastAsia"/>
                <w:kern w:val="0"/>
                <w:sz w:val="24"/>
                <w:szCs w:val="24"/>
                <w:vertAlign w:val="baseline"/>
                <w:lang w:val="en-US" w:eastAsia="zh-CN"/>
              </w:rPr>
              <w:t>超过</w:t>
            </w:r>
            <w:r>
              <w:rPr>
                <w:kern w:val="0"/>
                <w:sz w:val="24"/>
                <w:szCs w:val="24"/>
              </w:rPr>
              <w:t>《环境空气质量标准》（GB3095-2012）</w:t>
            </w:r>
            <w:r>
              <w:rPr>
                <w:rFonts w:hint="eastAsia"/>
                <w:kern w:val="0"/>
                <w:sz w:val="24"/>
                <w:szCs w:val="24"/>
                <w:lang w:val="en-US" w:eastAsia="zh-CN"/>
              </w:rPr>
              <w:t>中</w:t>
            </w:r>
            <w:r>
              <w:rPr>
                <w:kern w:val="0"/>
                <w:sz w:val="24"/>
                <w:szCs w:val="24"/>
              </w:rPr>
              <w:t>二级标准</w:t>
            </w:r>
            <w:r>
              <w:rPr>
                <w:rFonts w:hint="eastAsia"/>
                <w:kern w:val="0"/>
                <w:sz w:val="24"/>
                <w:szCs w:val="24"/>
                <w:lang w:eastAsia="zh-CN"/>
              </w:rPr>
              <w:t>，</w:t>
            </w:r>
            <w:r>
              <w:rPr>
                <w:rFonts w:hint="eastAsia"/>
                <w:kern w:val="0"/>
                <w:sz w:val="24"/>
                <w:szCs w:val="24"/>
              </w:rPr>
              <w:t>因此</w:t>
            </w:r>
            <w:r>
              <w:rPr>
                <w:rFonts w:hint="eastAsia"/>
                <w:kern w:val="0"/>
                <w:sz w:val="24"/>
                <w:szCs w:val="24"/>
                <w:lang w:val="en-US" w:eastAsia="zh-CN"/>
              </w:rPr>
              <w:t>该</w:t>
            </w:r>
            <w:r>
              <w:rPr>
                <w:rFonts w:hint="eastAsia"/>
                <w:kern w:val="0"/>
                <w:sz w:val="24"/>
                <w:szCs w:val="24"/>
              </w:rPr>
              <w:t>区域属于</w:t>
            </w:r>
            <w:r>
              <w:rPr>
                <w:rFonts w:hint="eastAsia"/>
                <w:kern w:val="0"/>
                <w:sz w:val="24"/>
                <w:szCs w:val="24"/>
                <w:lang w:val="en-US" w:eastAsia="zh-CN"/>
              </w:rPr>
              <w:t>大气环境质量不</w:t>
            </w:r>
            <w:r>
              <w:rPr>
                <w:rFonts w:hint="eastAsia"/>
                <w:kern w:val="0"/>
                <w:sz w:val="24"/>
                <w:szCs w:val="24"/>
              </w:rPr>
              <w:t>达标区</w:t>
            </w:r>
            <w:r>
              <w:rPr>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eastAsiaTheme="majorEastAsia"/>
                <w:b w:val="0"/>
                <w:bCs w:val="0"/>
                <w:vertAlign w:val="baseline"/>
                <w:lang w:val="en-US" w:eastAsia="zh-CN"/>
              </w:rPr>
            </w:pPr>
            <w:r>
              <w:rPr>
                <w:rFonts w:hint="eastAsia"/>
                <w:b w:val="0"/>
                <w:bCs w:val="0"/>
                <w:kern w:val="0"/>
                <w:sz w:val="24"/>
                <w:szCs w:val="24"/>
                <w:lang w:val="en-US" w:eastAsia="zh-CN"/>
              </w:rPr>
              <w:t>为推动VOC</w:t>
            </w:r>
            <w:r>
              <w:rPr>
                <w:rFonts w:hint="eastAsia"/>
                <w:b w:val="0"/>
                <w:bCs w:val="0"/>
                <w:kern w:val="0"/>
                <w:sz w:val="24"/>
                <w:szCs w:val="24"/>
                <w:vertAlign w:val="subscript"/>
                <w:lang w:val="en-US" w:eastAsia="zh-CN"/>
              </w:rPr>
              <w:t>S</w:t>
            </w:r>
            <w:r>
              <w:rPr>
                <w:rFonts w:hint="eastAsia"/>
                <w:b w:val="0"/>
                <w:bCs w:val="0"/>
                <w:kern w:val="0"/>
                <w:sz w:val="24"/>
                <w:szCs w:val="24"/>
                <w:lang w:val="en-US" w:eastAsia="zh-CN"/>
              </w:rPr>
              <w:t>和NO</w:t>
            </w:r>
            <w:r>
              <w:rPr>
                <w:rFonts w:hint="eastAsia"/>
                <w:b w:val="0"/>
                <w:bCs w:val="0"/>
                <w:kern w:val="0"/>
                <w:sz w:val="24"/>
                <w:szCs w:val="24"/>
                <w:vertAlign w:val="subscript"/>
                <w:lang w:val="en-US" w:eastAsia="zh-CN"/>
              </w:rPr>
              <w:t>X</w:t>
            </w:r>
            <w:r>
              <w:rPr>
                <w:rFonts w:hint="eastAsia"/>
                <w:b w:val="0"/>
                <w:bCs w:val="0"/>
                <w:kern w:val="0"/>
                <w:sz w:val="24"/>
                <w:szCs w:val="24"/>
                <w:vertAlign w:val="baseline"/>
                <w:lang w:val="en-US" w:eastAsia="zh-CN"/>
              </w:rPr>
              <w:t>协同减排，有效遏制臭氧污染，南通市已制定</w:t>
            </w:r>
            <w:r>
              <w:rPr>
                <w:rFonts w:hint="eastAsia" w:ascii="宋体" w:hAnsi="宋体" w:eastAsia="宋体" w:cs="宋体"/>
                <w:b w:val="0"/>
                <w:bCs w:val="0"/>
                <w:kern w:val="0"/>
                <w:sz w:val="24"/>
                <w:szCs w:val="24"/>
                <w:vertAlign w:val="baseline"/>
                <w:lang w:val="en-US" w:eastAsia="zh-CN"/>
              </w:rPr>
              <w:t>《</w:t>
            </w:r>
            <w:r>
              <w:rPr>
                <w:rFonts w:hint="default" w:ascii="Times New Roman" w:hAnsi="Times New Roman" w:eastAsia="宋体" w:cs="Times New Roman"/>
                <w:b w:val="0"/>
                <w:bCs w:val="0"/>
                <w:kern w:val="0"/>
                <w:sz w:val="24"/>
                <w:szCs w:val="24"/>
                <w:vertAlign w:val="baseline"/>
                <w:lang w:val="en-US" w:eastAsia="zh-CN"/>
              </w:rPr>
              <w:t>2022-2023</w:t>
            </w:r>
            <w:r>
              <w:rPr>
                <w:rFonts w:hint="eastAsia" w:ascii="宋体" w:hAnsi="宋体" w:eastAsia="宋体" w:cs="宋体"/>
                <w:b w:val="0"/>
                <w:bCs w:val="0"/>
                <w:kern w:val="0"/>
                <w:sz w:val="24"/>
                <w:szCs w:val="24"/>
                <w:vertAlign w:val="baseline"/>
                <w:lang w:val="en-US" w:eastAsia="zh-CN"/>
              </w:rPr>
              <w:t>年臭氧污染综合治理实施方案》（通污防攻坚指办〔</w:t>
            </w:r>
            <w:r>
              <w:rPr>
                <w:rFonts w:hint="default" w:ascii="Times New Roman" w:hAnsi="Times New Roman" w:eastAsia="微软雅黑" w:cs="Times New Roman"/>
                <w:b w:val="0"/>
                <w:bCs w:val="0"/>
                <w:kern w:val="0"/>
                <w:sz w:val="24"/>
                <w:szCs w:val="24"/>
                <w:vertAlign w:val="baseline"/>
                <w:lang w:val="en-US" w:eastAsia="zh-CN"/>
              </w:rPr>
              <w:t>2022</w:t>
            </w:r>
            <w:r>
              <w:rPr>
                <w:rFonts w:hint="eastAsia" w:ascii="宋体" w:hAnsi="宋体" w:eastAsia="宋体" w:cs="宋体"/>
                <w:b w:val="0"/>
                <w:bCs w:val="0"/>
                <w:kern w:val="0"/>
                <w:sz w:val="24"/>
                <w:szCs w:val="24"/>
                <w:vertAlign w:val="baseline"/>
                <w:lang w:val="en-US" w:eastAsia="zh-CN"/>
              </w:rPr>
              <w:t>〕</w:t>
            </w:r>
            <w:r>
              <w:rPr>
                <w:rFonts w:hint="eastAsia" w:ascii="Times New Roman" w:hAnsi="Times New Roman" w:eastAsia="微软雅黑" w:cs="Times New Roman"/>
                <w:b w:val="0"/>
                <w:bCs w:val="0"/>
                <w:kern w:val="0"/>
                <w:sz w:val="24"/>
                <w:szCs w:val="24"/>
                <w:vertAlign w:val="baseline"/>
                <w:lang w:val="en-US" w:eastAsia="zh-CN"/>
              </w:rPr>
              <w:t>98</w:t>
            </w:r>
            <w:r>
              <w:rPr>
                <w:rFonts w:hint="eastAsia" w:ascii="宋体" w:hAnsi="宋体" w:eastAsia="宋体" w:cs="宋体"/>
                <w:b w:val="0"/>
                <w:bCs w:val="0"/>
                <w:kern w:val="0"/>
                <w:sz w:val="24"/>
                <w:szCs w:val="24"/>
                <w:vertAlign w:val="baseline"/>
                <w:lang w:val="en-US" w:eastAsia="zh-CN"/>
              </w:rPr>
              <w:t>号），加快推进清洁原料源头替代，大力实施重点工艺环节综合治理，深入推动重点行业超低排放改造及深度治理，</w:t>
            </w:r>
            <w:r>
              <w:rPr>
                <w:rFonts w:hint="default" w:ascii="Times New Roman" w:hAnsi="Times New Roman" w:eastAsia="宋体" w:cs="Times New Roman"/>
                <w:b w:val="0"/>
                <w:bCs w:val="0"/>
                <w:kern w:val="0"/>
                <w:sz w:val="24"/>
                <w:szCs w:val="24"/>
                <w:vertAlign w:val="baseline"/>
                <w:lang w:val="en-US" w:eastAsia="zh-CN"/>
              </w:rPr>
              <w:t>2023</w:t>
            </w:r>
            <w:r>
              <w:rPr>
                <w:rFonts w:hint="eastAsia" w:ascii="宋体" w:hAnsi="宋体" w:eastAsia="宋体" w:cs="宋体"/>
                <w:b w:val="0"/>
                <w:bCs w:val="0"/>
                <w:kern w:val="0"/>
                <w:sz w:val="24"/>
                <w:szCs w:val="24"/>
                <w:vertAlign w:val="baseline"/>
                <w:lang w:val="en-US" w:eastAsia="zh-CN"/>
              </w:rPr>
              <w:t>年</w:t>
            </w:r>
            <w:r>
              <w:rPr>
                <w:rFonts w:hint="eastAsia" w:ascii="Times New Roman" w:hAnsi="Times New Roman" w:eastAsia="宋体" w:cs="Times New Roman"/>
                <w:b w:val="0"/>
                <w:bCs w:val="0"/>
                <w:kern w:val="0"/>
                <w:sz w:val="24"/>
                <w:szCs w:val="24"/>
                <w:vertAlign w:val="baseline"/>
                <w:lang w:val="en-US" w:eastAsia="zh-CN"/>
              </w:rPr>
              <w:t>6</w:t>
            </w:r>
            <w:r>
              <w:rPr>
                <w:rFonts w:hint="eastAsia" w:ascii="宋体" w:hAnsi="宋体" w:eastAsia="宋体" w:cs="宋体"/>
                <w:b w:val="0"/>
                <w:bCs w:val="0"/>
                <w:kern w:val="0"/>
                <w:sz w:val="24"/>
                <w:szCs w:val="24"/>
                <w:vertAlign w:val="baseline"/>
                <w:lang w:val="en-US" w:eastAsia="zh-CN"/>
              </w:rPr>
              <w:t>月底前基本完成</w:t>
            </w:r>
            <w:r>
              <w:rPr>
                <w:rFonts w:hint="eastAsia" w:ascii="Times New Roman" w:hAnsi="Times New Roman" w:eastAsia="宋体" w:cs="Times New Roman"/>
                <w:b w:val="0"/>
                <w:bCs w:val="0"/>
                <w:kern w:val="0"/>
                <w:sz w:val="24"/>
                <w:szCs w:val="24"/>
                <w:vertAlign w:val="baseline"/>
                <w:lang w:val="en-US" w:eastAsia="zh-CN"/>
              </w:rPr>
              <w:t>2000</w:t>
            </w:r>
            <w:r>
              <w:rPr>
                <w:rFonts w:hint="eastAsia" w:ascii="宋体" w:hAnsi="宋体" w:eastAsia="宋体" w:cs="宋体"/>
                <w:b w:val="0"/>
                <w:bCs w:val="0"/>
                <w:kern w:val="0"/>
                <w:sz w:val="24"/>
                <w:szCs w:val="24"/>
                <w:vertAlign w:val="baseline"/>
                <w:lang w:val="en-US" w:eastAsia="zh-CN"/>
              </w:rPr>
              <w:t>个</w:t>
            </w:r>
            <w:r>
              <w:rPr>
                <w:rFonts w:hint="eastAsia" w:ascii="Times New Roman" w:hAnsi="Times New Roman" w:eastAsia="宋体" w:cs="Times New Roman"/>
                <w:b w:val="0"/>
                <w:bCs w:val="0"/>
                <w:kern w:val="0"/>
                <w:sz w:val="24"/>
                <w:szCs w:val="24"/>
                <w:vertAlign w:val="baseline"/>
                <w:lang w:val="en-US" w:eastAsia="zh-CN"/>
              </w:rPr>
              <w:t>VOC</w:t>
            </w:r>
            <w:r>
              <w:rPr>
                <w:rFonts w:hint="eastAsia" w:ascii="Times New Roman" w:hAnsi="Times New Roman" w:eastAsia="宋体" w:cs="Times New Roman"/>
                <w:b w:val="0"/>
                <w:bCs w:val="0"/>
                <w:kern w:val="0"/>
                <w:sz w:val="24"/>
                <w:szCs w:val="24"/>
                <w:vertAlign w:val="subscript"/>
                <w:lang w:val="en-US" w:eastAsia="zh-CN"/>
              </w:rPr>
              <w:t>S</w:t>
            </w:r>
            <w:r>
              <w:rPr>
                <w:rFonts w:hint="eastAsia" w:ascii="宋体" w:hAnsi="宋体" w:eastAsia="宋体" w:cs="宋体"/>
                <w:b w:val="0"/>
                <w:bCs w:val="0"/>
                <w:kern w:val="0"/>
                <w:sz w:val="24"/>
                <w:szCs w:val="24"/>
                <w:vertAlign w:val="baseline"/>
                <w:lang w:val="en-US" w:eastAsia="zh-CN"/>
              </w:rPr>
              <w:t>和</w:t>
            </w:r>
            <w:r>
              <w:rPr>
                <w:rFonts w:hint="eastAsia" w:ascii="Times New Roman" w:hAnsi="Times New Roman" w:eastAsia="宋体" w:cs="Times New Roman"/>
                <w:b w:val="0"/>
                <w:bCs w:val="0"/>
                <w:kern w:val="0"/>
                <w:sz w:val="24"/>
                <w:szCs w:val="24"/>
                <w:vertAlign w:val="baseline"/>
                <w:lang w:val="en-US" w:eastAsia="zh-CN"/>
              </w:rPr>
              <w:t>NO</w:t>
            </w:r>
            <w:r>
              <w:rPr>
                <w:rFonts w:hint="eastAsia" w:ascii="Times New Roman" w:hAnsi="Times New Roman" w:eastAsia="宋体" w:cs="Times New Roman"/>
                <w:b w:val="0"/>
                <w:bCs w:val="0"/>
                <w:kern w:val="0"/>
                <w:sz w:val="24"/>
                <w:szCs w:val="24"/>
                <w:vertAlign w:val="subscript"/>
                <w:lang w:val="en-US" w:eastAsia="zh-CN"/>
              </w:rPr>
              <w:t>X</w:t>
            </w:r>
            <w:r>
              <w:rPr>
                <w:rFonts w:hint="eastAsia" w:ascii="宋体" w:hAnsi="宋体" w:eastAsia="宋体" w:cs="宋体"/>
                <w:b w:val="0"/>
                <w:bCs w:val="0"/>
                <w:kern w:val="0"/>
                <w:sz w:val="24"/>
                <w:szCs w:val="24"/>
                <w:vertAlign w:val="baseline"/>
                <w:lang w:val="en-US" w:eastAsia="zh-CN"/>
              </w:rPr>
              <w:t>排放量，全市环境空气质量保持同比改善。</w:t>
            </w:r>
          </w:p>
          <w:p>
            <w:pPr>
              <w:widowControl w:val="0"/>
              <w:spacing w:line="500" w:lineRule="exact"/>
              <w:ind w:firstLine="480" w:firstLineChars="200"/>
              <w:jc w:val="left"/>
              <w:rPr>
                <w:rFonts w:ascii="Times New Roman" w:hAnsi="Times New Roman" w:eastAsia="宋体" w:cs="Times New Roman"/>
                <w:color w:val="auto"/>
                <w:kern w:val="0"/>
                <w:sz w:val="24"/>
                <w:szCs w:val="20"/>
                <w:lang w:val="en-US" w:eastAsia="zh-CN" w:bidi="ar-SA"/>
              </w:rPr>
            </w:pPr>
            <w:r>
              <w:rPr>
                <w:rFonts w:ascii="Times New Roman" w:hAnsi="Times New Roman" w:eastAsia="宋体" w:cs="Times New Roman"/>
                <w:color w:val="auto"/>
                <w:kern w:val="0"/>
                <w:sz w:val="24"/>
                <w:szCs w:val="20"/>
                <w:lang w:val="en-US" w:eastAsia="zh-CN" w:bidi="ar-SA"/>
              </w:rPr>
              <w:t>（2）特征污染物环境质量现状</w:t>
            </w:r>
          </w:p>
          <w:p>
            <w:pPr>
              <w:snapToGrid w:val="0"/>
              <w:spacing w:line="500" w:lineRule="exact"/>
              <w:ind w:firstLine="480" w:firstLineChars="200"/>
              <w:rPr>
                <w:rFonts w:ascii="Times New Roman" w:hAnsi="Times New Roman" w:eastAsia="宋体"/>
                <w:color w:val="auto"/>
                <w:sz w:val="24"/>
              </w:rPr>
            </w:pPr>
            <w:r>
              <w:rPr>
                <w:rFonts w:ascii="Times New Roman" w:hAnsi="Times New Roman" w:eastAsia="宋体"/>
                <w:color w:val="auto"/>
                <w:sz w:val="24"/>
              </w:rPr>
              <w:t>为了解工程所在地区的环境质量现状，</w:t>
            </w:r>
            <w:r>
              <w:rPr>
                <w:rFonts w:hint="eastAsia"/>
                <w:color w:val="auto"/>
                <w:sz w:val="24"/>
                <w:lang w:val="en-US" w:eastAsia="zh-CN"/>
              </w:rPr>
              <w:t>本次对项目所在地附近下风向于坝村的</w:t>
            </w:r>
            <w:r>
              <w:rPr>
                <w:rFonts w:hint="default" w:ascii="Times New Roman" w:hAnsi="Times New Roman" w:eastAsia="宋体" w:cs="Times New Roman"/>
                <w:color w:val="auto"/>
                <w:sz w:val="24"/>
                <w:szCs w:val="24"/>
              </w:rPr>
              <w:t xml:space="preserve">TSP </w:t>
            </w:r>
            <w:r>
              <w:rPr>
                <w:rFonts w:hint="eastAsia" w:cs="Times New Roman"/>
                <w:color w:val="auto"/>
                <w:sz w:val="24"/>
                <w:szCs w:val="24"/>
                <w:lang w:val="en-US" w:eastAsia="zh-CN"/>
              </w:rPr>
              <w:t>进行了三天的现状监测，采样日期为2024年1月23、28-29日，检测报告编号：(2024)DHJC(环评)字第(002)号，</w:t>
            </w:r>
            <w:r>
              <w:rPr>
                <w:rFonts w:ascii="Times New Roman" w:hAnsi="Times New Roman" w:eastAsia="宋体"/>
                <w:color w:val="auto"/>
                <w:sz w:val="24"/>
              </w:rPr>
              <w:t>具体监测数据见表3-</w:t>
            </w:r>
            <w:r>
              <w:rPr>
                <w:rFonts w:hint="eastAsia" w:ascii="Times New Roman" w:hAnsi="Times New Roman" w:eastAsia="宋体"/>
                <w:color w:val="auto"/>
                <w:sz w:val="24"/>
              </w:rPr>
              <w:t>2</w:t>
            </w:r>
            <w:r>
              <w:rPr>
                <w:rFonts w:ascii="Times New Roman" w:hAnsi="Times New Roman" w:eastAsia="宋体"/>
                <w:color w:val="auto"/>
                <w:sz w:val="24"/>
              </w:rPr>
              <w:t>。</w:t>
            </w:r>
          </w:p>
          <w:p>
            <w:pPr>
              <w:keepNext w:val="0"/>
              <w:keepLines w:val="0"/>
              <w:pageBreakBefore w:val="0"/>
              <w:widowControl w:val="0"/>
              <w:numPr>
                <w:ilvl w:val="0"/>
                <w:numId w:val="3"/>
              </w:numPr>
              <w:tabs>
                <w:tab w:val="clear" w:pos="420"/>
              </w:tabs>
              <w:kinsoku/>
              <w:wordWrap/>
              <w:overflowPunct/>
              <w:topLinePunct w:val="0"/>
              <w:autoSpaceDE/>
              <w:autoSpaceDN/>
              <w:bidi w:val="0"/>
              <w:adjustRightInd w:val="0"/>
              <w:snapToGrid w:val="0"/>
              <w:spacing w:line="500" w:lineRule="exact"/>
              <w:ind w:left="0" w:leftChars="0" w:hanging="5" w:firstLineChars="0"/>
              <w:jc w:val="center"/>
              <w:textAlignment w:val="auto"/>
              <w:rPr>
                <w:rFonts w:ascii="Times New Roman" w:hAnsi="Times New Roman" w:eastAsia="宋体"/>
                <w:b/>
                <w:bCs/>
                <w:color w:val="auto"/>
                <w:sz w:val="24"/>
              </w:rPr>
            </w:pPr>
            <w:r>
              <w:rPr>
                <w:rFonts w:ascii="Times New Roman" w:hAnsi="Times New Roman" w:eastAsia="宋体"/>
                <w:b/>
                <w:bCs/>
                <w:color w:val="auto"/>
                <w:sz w:val="24"/>
              </w:rPr>
              <w:t>环境空气质量现状</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041"/>
              <w:gridCol w:w="1391"/>
              <w:gridCol w:w="1029"/>
              <w:gridCol w:w="699"/>
              <w:gridCol w:w="965"/>
              <w:gridCol w:w="1011"/>
              <w:gridCol w:w="876"/>
              <w:gridCol w:w="825"/>
              <w:gridCol w:w="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41" w:type="dxa"/>
                  <w:vMerge w:val="restart"/>
                  <w:noWrap w:val="0"/>
                  <w:vAlign w:val="center"/>
                </w:tcPr>
                <w:p>
                  <w:pPr>
                    <w:snapToGrid w:val="0"/>
                    <w:jc w:val="center"/>
                    <w:rPr>
                      <w:rFonts w:ascii="Times New Roman" w:hAnsi="Times New Roman" w:eastAsia="宋体"/>
                      <w:b/>
                      <w:bCs/>
                      <w:color w:val="auto"/>
                      <w:sz w:val="21"/>
                      <w:szCs w:val="21"/>
                    </w:rPr>
                  </w:pPr>
                  <w:r>
                    <w:rPr>
                      <w:rFonts w:ascii="Times New Roman" w:hAnsi="Times New Roman" w:eastAsia="宋体"/>
                      <w:b/>
                      <w:bCs/>
                      <w:color w:val="auto"/>
                      <w:sz w:val="21"/>
                      <w:szCs w:val="21"/>
                    </w:rPr>
                    <w:t>点位名称</w:t>
                  </w:r>
                </w:p>
              </w:tc>
              <w:tc>
                <w:tcPr>
                  <w:tcW w:w="2420" w:type="dxa"/>
                  <w:gridSpan w:val="2"/>
                  <w:noWrap w:val="0"/>
                  <w:vAlign w:val="center"/>
                </w:tcPr>
                <w:p>
                  <w:pPr>
                    <w:snapToGrid w:val="0"/>
                    <w:jc w:val="center"/>
                    <w:rPr>
                      <w:rFonts w:ascii="Times New Roman" w:hAnsi="Times New Roman" w:eastAsia="宋体"/>
                      <w:b/>
                      <w:bCs/>
                      <w:color w:val="auto"/>
                      <w:sz w:val="21"/>
                      <w:szCs w:val="21"/>
                    </w:rPr>
                  </w:pPr>
                  <w:r>
                    <w:rPr>
                      <w:rFonts w:ascii="Times New Roman" w:hAnsi="Times New Roman" w:eastAsia="宋体"/>
                      <w:b/>
                      <w:bCs/>
                      <w:color w:val="auto"/>
                      <w:sz w:val="21"/>
                      <w:szCs w:val="21"/>
                    </w:rPr>
                    <w:t>监测点坐标/°</w:t>
                  </w:r>
                </w:p>
              </w:tc>
              <w:tc>
                <w:tcPr>
                  <w:tcW w:w="699" w:type="dxa"/>
                  <w:vMerge w:val="restart"/>
                  <w:noWrap w:val="0"/>
                  <w:vAlign w:val="center"/>
                </w:tcPr>
                <w:p>
                  <w:pPr>
                    <w:snapToGrid w:val="0"/>
                    <w:jc w:val="center"/>
                    <w:rPr>
                      <w:rFonts w:ascii="Times New Roman" w:hAnsi="Times New Roman" w:eastAsia="宋体"/>
                      <w:b/>
                      <w:bCs/>
                      <w:color w:val="auto"/>
                      <w:sz w:val="21"/>
                      <w:szCs w:val="21"/>
                    </w:rPr>
                  </w:pPr>
                  <w:r>
                    <w:rPr>
                      <w:rFonts w:ascii="Times New Roman" w:hAnsi="Times New Roman" w:eastAsia="宋体"/>
                      <w:b/>
                      <w:bCs/>
                      <w:color w:val="auto"/>
                      <w:sz w:val="21"/>
                      <w:szCs w:val="21"/>
                    </w:rPr>
                    <w:t>污染物</w:t>
                  </w:r>
                </w:p>
              </w:tc>
              <w:tc>
                <w:tcPr>
                  <w:tcW w:w="965" w:type="dxa"/>
                  <w:vMerge w:val="restart"/>
                  <w:noWrap w:val="0"/>
                  <w:vAlign w:val="center"/>
                </w:tcPr>
                <w:p>
                  <w:pPr>
                    <w:snapToGrid w:val="0"/>
                    <w:jc w:val="center"/>
                    <w:rPr>
                      <w:rFonts w:ascii="Times New Roman" w:hAnsi="Times New Roman" w:eastAsia="宋体"/>
                      <w:b/>
                      <w:bCs/>
                      <w:color w:val="auto"/>
                      <w:sz w:val="21"/>
                      <w:szCs w:val="21"/>
                    </w:rPr>
                  </w:pPr>
                  <w:r>
                    <w:rPr>
                      <w:rFonts w:ascii="Times New Roman" w:hAnsi="Times New Roman" w:eastAsia="宋体"/>
                      <w:b/>
                      <w:bCs/>
                      <w:color w:val="auto"/>
                      <w:sz w:val="21"/>
                      <w:szCs w:val="21"/>
                    </w:rPr>
                    <w:t>评价标准/（µg/m</w:t>
                  </w:r>
                  <w:r>
                    <w:rPr>
                      <w:rFonts w:ascii="Times New Roman" w:hAnsi="Times New Roman" w:eastAsia="宋体"/>
                      <w:b/>
                      <w:bCs/>
                      <w:color w:val="auto"/>
                      <w:sz w:val="21"/>
                      <w:szCs w:val="21"/>
                      <w:vertAlign w:val="superscript"/>
                    </w:rPr>
                    <w:t>3</w:t>
                  </w:r>
                  <w:r>
                    <w:rPr>
                      <w:rFonts w:ascii="Times New Roman" w:hAnsi="Times New Roman" w:eastAsia="宋体"/>
                      <w:b/>
                      <w:bCs/>
                      <w:color w:val="auto"/>
                      <w:sz w:val="21"/>
                      <w:szCs w:val="21"/>
                    </w:rPr>
                    <w:t>）</w:t>
                  </w:r>
                </w:p>
              </w:tc>
              <w:tc>
                <w:tcPr>
                  <w:tcW w:w="1011" w:type="dxa"/>
                  <w:vMerge w:val="restart"/>
                  <w:noWrap w:val="0"/>
                  <w:vAlign w:val="center"/>
                </w:tcPr>
                <w:p>
                  <w:pPr>
                    <w:snapToGrid w:val="0"/>
                    <w:jc w:val="center"/>
                    <w:rPr>
                      <w:rFonts w:ascii="Times New Roman" w:hAnsi="Times New Roman" w:eastAsia="宋体"/>
                      <w:b/>
                      <w:bCs/>
                      <w:color w:val="auto"/>
                      <w:sz w:val="21"/>
                      <w:szCs w:val="21"/>
                    </w:rPr>
                  </w:pPr>
                  <w:r>
                    <w:rPr>
                      <w:rFonts w:ascii="Times New Roman" w:hAnsi="Times New Roman" w:eastAsia="宋体"/>
                      <w:b/>
                      <w:bCs/>
                      <w:color w:val="auto"/>
                      <w:sz w:val="21"/>
                      <w:szCs w:val="21"/>
                    </w:rPr>
                    <w:t>现状浓度/（µg/m</w:t>
                  </w:r>
                  <w:r>
                    <w:rPr>
                      <w:rFonts w:ascii="Times New Roman" w:hAnsi="Times New Roman" w:eastAsia="宋体"/>
                      <w:b/>
                      <w:bCs/>
                      <w:color w:val="auto"/>
                      <w:sz w:val="21"/>
                      <w:szCs w:val="21"/>
                      <w:vertAlign w:val="superscript"/>
                    </w:rPr>
                    <w:t>3</w:t>
                  </w:r>
                  <w:r>
                    <w:rPr>
                      <w:rFonts w:ascii="Times New Roman" w:hAnsi="Times New Roman" w:eastAsia="宋体"/>
                      <w:b/>
                      <w:bCs/>
                      <w:color w:val="auto"/>
                      <w:sz w:val="21"/>
                      <w:szCs w:val="21"/>
                    </w:rPr>
                    <w:t>）</w:t>
                  </w:r>
                </w:p>
              </w:tc>
              <w:tc>
                <w:tcPr>
                  <w:tcW w:w="876" w:type="dxa"/>
                  <w:vMerge w:val="restart"/>
                  <w:noWrap w:val="0"/>
                  <w:vAlign w:val="center"/>
                </w:tcPr>
                <w:p>
                  <w:pPr>
                    <w:snapToGrid w:val="0"/>
                    <w:jc w:val="center"/>
                    <w:rPr>
                      <w:rFonts w:ascii="Times New Roman" w:hAnsi="Times New Roman" w:eastAsia="宋体"/>
                      <w:b/>
                      <w:bCs/>
                      <w:color w:val="auto"/>
                      <w:sz w:val="21"/>
                      <w:szCs w:val="21"/>
                    </w:rPr>
                  </w:pPr>
                  <w:r>
                    <w:rPr>
                      <w:rFonts w:ascii="Times New Roman" w:hAnsi="Times New Roman" w:eastAsia="宋体"/>
                      <w:b/>
                      <w:bCs/>
                      <w:color w:val="auto"/>
                      <w:sz w:val="21"/>
                      <w:szCs w:val="21"/>
                    </w:rPr>
                    <w:t>最大占标率/%</w:t>
                  </w:r>
                </w:p>
              </w:tc>
              <w:tc>
                <w:tcPr>
                  <w:tcW w:w="825" w:type="dxa"/>
                  <w:vMerge w:val="restart"/>
                  <w:noWrap w:val="0"/>
                  <w:vAlign w:val="center"/>
                </w:tcPr>
                <w:p>
                  <w:pPr>
                    <w:snapToGrid w:val="0"/>
                    <w:jc w:val="center"/>
                    <w:rPr>
                      <w:rFonts w:ascii="Times New Roman" w:hAnsi="Times New Roman" w:eastAsia="宋体"/>
                      <w:b/>
                      <w:bCs/>
                      <w:color w:val="auto"/>
                      <w:sz w:val="21"/>
                      <w:szCs w:val="21"/>
                    </w:rPr>
                  </w:pPr>
                  <w:r>
                    <w:rPr>
                      <w:rFonts w:ascii="Times New Roman" w:hAnsi="Times New Roman" w:eastAsia="宋体"/>
                      <w:b/>
                      <w:bCs/>
                      <w:color w:val="auto"/>
                      <w:sz w:val="21"/>
                      <w:szCs w:val="21"/>
                    </w:rPr>
                    <w:t>超标频率/%</w:t>
                  </w:r>
                </w:p>
              </w:tc>
              <w:tc>
                <w:tcPr>
                  <w:tcW w:w="667" w:type="dxa"/>
                  <w:vMerge w:val="restart"/>
                  <w:noWrap w:val="0"/>
                  <w:vAlign w:val="center"/>
                </w:tcPr>
                <w:p>
                  <w:pPr>
                    <w:snapToGrid w:val="0"/>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达</w:t>
                  </w:r>
                  <w:r>
                    <w:rPr>
                      <w:rFonts w:ascii="Times New Roman" w:hAnsi="Times New Roman" w:eastAsia="宋体"/>
                      <w:b/>
                      <w:bCs/>
                      <w:color w:val="auto"/>
                      <w:sz w:val="21"/>
                      <w:szCs w:val="21"/>
                    </w:rPr>
                    <w:t>标</w:t>
                  </w:r>
                </w:p>
                <w:p>
                  <w:pPr>
                    <w:snapToGrid w:val="0"/>
                    <w:jc w:val="center"/>
                    <w:rPr>
                      <w:rFonts w:ascii="Times New Roman" w:hAnsi="Times New Roman" w:eastAsia="宋体"/>
                      <w:b/>
                      <w:bCs/>
                      <w:color w:val="auto"/>
                      <w:sz w:val="21"/>
                      <w:szCs w:val="21"/>
                    </w:rPr>
                  </w:pPr>
                  <w:r>
                    <w:rPr>
                      <w:rFonts w:ascii="Times New Roman" w:hAnsi="Times New Roman" w:eastAsia="宋体"/>
                      <w:b/>
                      <w:bCs/>
                      <w:color w:val="auto"/>
                      <w:sz w:val="21"/>
                      <w:szCs w:val="21"/>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41" w:type="dxa"/>
                  <w:vMerge w:val="continue"/>
                  <w:noWrap w:val="0"/>
                  <w:vAlign w:val="center"/>
                </w:tcPr>
                <w:p>
                  <w:pPr>
                    <w:snapToGrid w:val="0"/>
                    <w:jc w:val="center"/>
                    <w:rPr>
                      <w:rFonts w:ascii="Times New Roman" w:hAnsi="Times New Roman" w:eastAsia="宋体"/>
                      <w:color w:val="auto"/>
                      <w:sz w:val="21"/>
                      <w:szCs w:val="21"/>
                    </w:rPr>
                  </w:pPr>
                </w:p>
              </w:tc>
              <w:tc>
                <w:tcPr>
                  <w:tcW w:w="1391" w:type="dxa"/>
                  <w:noWrap w:val="0"/>
                  <w:vAlign w:val="center"/>
                </w:tcPr>
                <w:p>
                  <w:pPr>
                    <w:snapToGrid w:val="0"/>
                    <w:jc w:val="center"/>
                    <w:rPr>
                      <w:rFonts w:ascii="Times New Roman" w:hAnsi="Times New Roman" w:eastAsia="宋体"/>
                      <w:b/>
                      <w:bCs/>
                      <w:color w:val="auto"/>
                      <w:sz w:val="21"/>
                      <w:szCs w:val="21"/>
                    </w:rPr>
                  </w:pPr>
                  <w:r>
                    <w:rPr>
                      <w:rFonts w:ascii="Times New Roman" w:hAnsi="Times New Roman" w:eastAsia="宋体"/>
                      <w:b/>
                      <w:bCs/>
                      <w:color w:val="auto"/>
                      <w:sz w:val="21"/>
                      <w:szCs w:val="21"/>
                    </w:rPr>
                    <w:t>经度</w:t>
                  </w:r>
                </w:p>
              </w:tc>
              <w:tc>
                <w:tcPr>
                  <w:tcW w:w="1029" w:type="dxa"/>
                  <w:noWrap w:val="0"/>
                  <w:vAlign w:val="center"/>
                </w:tcPr>
                <w:p>
                  <w:pPr>
                    <w:snapToGrid w:val="0"/>
                    <w:jc w:val="center"/>
                    <w:rPr>
                      <w:rFonts w:ascii="Times New Roman" w:hAnsi="Times New Roman" w:eastAsia="宋体"/>
                      <w:b/>
                      <w:bCs/>
                      <w:color w:val="auto"/>
                      <w:sz w:val="21"/>
                      <w:szCs w:val="21"/>
                    </w:rPr>
                  </w:pPr>
                  <w:r>
                    <w:rPr>
                      <w:rFonts w:ascii="Times New Roman" w:hAnsi="Times New Roman" w:eastAsia="宋体"/>
                      <w:b/>
                      <w:bCs/>
                      <w:color w:val="auto"/>
                      <w:sz w:val="21"/>
                      <w:szCs w:val="21"/>
                    </w:rPr>
                    <w:t>纬度</w:t>
                  </w:r>
                </w:p>
              </w:tc>
              <w:tc>
                <w:tcPr>
                  <w:tcW w:w="699" w:type="dxa"/>
                  <w:vMerge w:val="continue"/>
                  <w:noWrap w:val="0"/>
                  <w:vAlign w:val="center"/>
                </w:tcPr>
                <w:p>
                  <w:pPr>
                    <w:snapToGrid w:val="0"/>
                    <w:jc w:val="center"/>
                    <w:rPr>
                      <w:rFonts w:ascii="Times New Roman" w:hAnsi="Times New Roman" w:eastAsia="宋体"/>
                      <w:color w:val="auto"/>
                      <w:sz w:val="21"/>
                      <w:szCs w:val="21"/>
                    </w:rPr>
                  </w:pPr>
                </w:p>
              </w:tc>
              <w:tc>
                <w:tcPr>
                  <w:tcW w:w="965" w:type="dxa"/>
                  <w:vMerge w:val="continue"/>
                  <w:noWrap w:val="0"/>
                  <w:vAlign w:val="center"/>
                </w:tcPr>
                <w:p>
                  <w:pPr>
                    <w:snapToGrid w:val="0"/>
                    <w:jc w:val="center"/>
                    <w:rPr>
                      <w:rFonts w:ascii="Times New Roman" w:hAnsi="Times New Roman" w:eastAsia="宋体"/>
                      <w:color w:val="auto"/>
                      <w:sz w:val="21"/>
                      <w:szCs w:val="21"/>
                    </w:rPr>
                  </w:pPr>
                </w:p>
              </w:tc>
              <w:tc>
                <w:tcPr>
                  <w:tcW w:w="1011" w:type="dxa"/>
                  <w:vMerge w:val="continue"/>
                  <w:noWrap w:val="0"/>
                  <w:vAlign w:val="center"/>
                </w:tcPr>
                <w:p>
                  <w:pPr>
                    <w:snapToGrid w:val="0"/>
                    <w:jc w:val="center"/>
                    <w:rPr>
                      <w:rFonts w:ascii="Times New Roman" w:hAnsi="Times New Roman" w:eastAsia="宋体"/>
                      <w:color w:val="auto"/>
                      <w:sz w:val="21"/>
                      <w:szCs w:val="21"/>
                    </w:rPr>
                  </w:pPr>
                </w:p>
              </w:tc>
              <w:tc>
                <w:tcPr>
                  <w:tcW w:w="876" w:type="dxa"/>
                  <w:vMerge w:val="continue"/>
                  <w:noWrap w:val="0"/>
                  <w:vAlign w:val="center"/>
                </w:tcPr>
                <w:p>
                  <w:pPr>
                    <w:snapToGrid w:val="0"/>
                    <w:jc w:val="center"/>
                    <w:rPr>
                      <w:rFonts w:ascii="Times New Roman" w:hAnsi="Times New Roman" w:eastAsia="宋体"/>
                      <w:color w:val="auto"/>
                      <w:sz w:val="21"/>
                      <w:szCs w:val="21"/>
                    </w:rPr>
                  </w:pPr>
                </w:p>
              </w:tc>
              <w:tc>
                <w:tcPr>
                  <w:tcW w:w="825" w:type="dxa"/>
                  <w:vMerge w:val="continue"/>
                  <w:noWrap w:val="0"/>
                  <w:vAlign w:val="center"/>
                </w:tcPr>
                <w:p>
                  <w:pPr>
                    <w:snapToGrid w:val="0"/>
                    <w:jc w:val="center"/>
                    <w:rPr>
                      <w:rFonts w:ascii="Times New Roman" w:hAnsi="Times New Roman" w:eastAsia="宋体"/>
                      <w:color w:val="auto"/>
                      <w:sz w:val="21"/>
                      <w:szCs w:val="21"/>
                    </w:rPr>
                  </w:pPr>
                </w:p>
              </w:tc>
              <w:tc>
                <w:tcPr>
                  <w:tcW w:w="667" w:type="dxa"/>
                  <w:vMerge w:val="continue"/>
                  <w:noWrap w:val="0"/>
                  <w:vAlign w:val="center"/>
                </w:tcPr>
                <w:p>
                  <w:pPr>
                    <w:snapToGrid w:val="0"/>
                    <w:jc w:val="center"/>
                    <w:rPr>
                      <w:rFonts w:ascii="Times New Roman" w:hAnsi="Times New Roman"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41" w:type="dxa"/>
                  <w:noWrap w:val="0"/>
                  <w:vAlign w:val="center"/>
                </w:tcPr>
                <w:p>
                  <w:pPr>
                    <w:snapToGrid w:val="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于坝村G1</w:t>
                  </w:r>
                </w:p>
              </w:tc>
              <w:tc>
                <w:tcPr>
                  <w:tcW w:w="1391" w:type="dxa"/>
                  <w:noWrap w:val="0"/>
                  <w:vAlign w:val="center"/>
                </w:tcPr>
                <w:p>
                  <w:pPr>
                    <w:snapToGrid w:val="0"/>
                    <w:jc w:val="center"/>
                    <w:rPr>
                      <w:rFonts w:hint="eastAsia" w:eastAsia="宋体"/>
                      <w:color w:val="auto"/>
                      <w:sz w:val="21"/>
                      <w:szCs w:val="21"/>
                    </w:rPr>
                  </w:pPr>
                  <w:r>
                    <w:rPr>
                      <w:rFonts w:hint="eastAsia" w:eastAsia="宋体"/>
                      <w:color w:val="auto"/>
                      <w:sz w:val="21"/>
                      <w:szCs w:val="21"/>
                    </w:rPr>
                    <w:t>120.53230</w:t>
                  </w:r>
                  <w:r>
                    <w:rPr>
                      <w:rFonts w:hint="eastAsia" w:eastAsia="宋体"/>
                      <w:color w:val="auto"/>
                      <w:sz w:val="21"/>
                      <w:szCs w:val="21"/>
                      <w:lang w:val="en-US" w:eastAsia="zh-CN"/>
                    </w:rPr>
                    <w:t>2</w:t>
                  </w:r>
                </w:p>
              </w:tc>
              <w:tc>
                <w:tcPr>
                  <w:tcW w:w="1029" w:type="dxa"/>
                  <w:noWrap w:val="0"/>
                  <w:vAlign w:val="center"/>
                </w:tcPr>
                <w:p>
                  <w:pPr>
                    <w:snapToGrid w:val="0"/>
                    <w:jc w:val="center"/>
                    <w:rPr>
                      <w:rFonts w:hint="eastAsia" w:eastAsia="宋体"/>
                      <w:color w:val="auto"/>
                      <w:sz w:val="21"/>
                      <w:szCs w:val="21"/>
                    </w:rPr>
                  </w:pPr>
                  <w:r>
                    <w:rPr>
                      <w:rFonts w:hint="eastAsia" w:eastAsia="宋体"/>
                      <w:color w:val="auto"/>
                      <w:sz w:val="21"/>
                      <w:szCs w:val="21"/>
                    </w:rPr>
                    <w:t>32.552575</w:t>
                  </w:r>
                </w:p>
              </w:tc>
              <w:tc>
                <w:tcPr>
                  <w:tcW w:w="699" w:type="dxa"/>
                  <w:noWrap w:val="0"/>
                  <w:vAlign w:val="center"/>
                </w:tcPr>
                <w:p>
                  <w:pPr>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TSP</w:t>
                  </w:r>
                </w:p>
              </w:tc>
              <w:tc>
                <w:tcPr>
                  <w:tcW w:w="965" w:type="dxa"/>
                  <w:noWrap w:val="0"/>
                  <w:vAlign w:val="center"/>
                </w:tcPr>
                <w:p>
                  <w:pPr>
                    <w:pStyle w:val="49"/>
                    <w:spacing w:line="320" w:lineRule="exact"/>
                    <w:ind w:firstLine="0" w:firstLineChars="0"/>
                    <w:jc w:val="center"/>
                    <w:rPr>
                      <w:rFonts w:hint="default" w:eastAsia="宋体" w:cs="Times New Roman"/>
                      <w:color w:val="auto"/>
                      <w:sz w:val="21"/>
                      <w:szCs w:val="21"/>
                      <w:lang w:val="en-US" w:eastAsia="zh-CN"/>
                    </w:rPr>
                  </w:pPr>
                  <w:r>
                    <w:rPr>
                      <w:rFonts w:hint="eastAsia" w:cs="Times New Roman"/>
                      <w:color w:val="auto"/>
                      <w:sz w:val="21"/>
                      <w:szCs w:val="21"/>
                      <w:lang w:val="en-US" w:eastAsia="zh-CN"/>
                    </w:rPr>
                    <w:t>日均值300</w:t>
                  </w:r>
                </w:p>
              </w:tc>
              <w:tc>
                <w:tcPr>
                  <w:tcW w:w="1011" w:type="dxa"/>
                  <w:noWrap w:val="0"/>
                  <w:vAlign w:val="center"/>
                </w:tcPr>
                <w:p>
                  <w:pPr>
                    <w:pStyle w:val="49"/>
                    <w:spacing w:line="320" w:lineRule="exact"/>
                    <w:ind w:firstLine="0" w:firstLineChars="0"/>
                    <w:jc w:val="center"/>
                    <w:rPr>
                      <w:rFonts w:hint="default" w:eastAsia="宋体" w:cs="Times New Roman"/>
                      <w:color w:val="auto"/>
                      <w:sz w:val="21"/>
                      <w:szCs w:val="21"/>
                      <w:lang w:val="en-US" w:eastAsia="zh-CN"/>
                    </w:rPr>
                  </w:pPr>
                  <w:r>
                    <w:rPr>
                      <w:rFonts w:hint="eastAsia" w:cs="Times New Roman"/>
                      <w:color w:val="auto"/>
                      <w:sz w:val="21"/>
                      <w:szCs w:val="21"/>
                      <w:lang w:val="en-US" w:eastAsia="zh-CN"/>
                    </w:rPr>
                    <w:t>95~115</w:t>
                  </w:r>
                </w:p>
              </w:tc>
              <w:tc>
                <w:tcPr>
                  <w:tcW w:w="876" w:type="dxa"/>
                  <w:noWrap w:val="0"/>
                  <w:vAlign w:val="center"/>
                </w:tcPr>
                <w:p>
                  <w:pPr>
                    <w:pStyle w:val="49"/>
                    <w:spacing w:line="320" w:lineRule="exact"/>
                    <w:ind w:firstLine="0" w:firstLineChars="0"/>
                    <w:jc w:val="center"/>
                    <w:rPr>
                      <w:rFonts w:hint="default" w:eastAsia="宋体" w:cs="Times New Roman"/>
                      <w:color w:val="auto"/>
                      <w:sz w:val="21"/>
                      <w:szCs w:val="21"/>
                      <w:lang w:val="en-US" w:eastAsia="zh-CN"/>
                    </w:rPr>
                  </w:pPr>
                  <w:r>
                    <w:rPr>
                      <w:rFonts w:hint="eastAsia" w:cs="Times New Roman"/>
                      <w:color w:val="auto"/>
                      <w:sz w:val="21"/>
                      <w:szCs w:val="21"/>
                      <w:lang w:val="en-US" w:eastAsia="zh-CN"/>
                    </w:rPr>
                    <w:t>38.3</w:t>
                  </w:r>
                </w:p>
              </w:tc>
              <w:tc>
                <w:tcPr>
                  <w:tcW w:w="825" w:type="dxa"/>
                  <w:noWrap w:val="0"/>
                  <w:vAlign w:val="center"/>
                </w:tcPr>
                <w:p>
                  <w:pPr>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w:t>
                  </w:r>
                </w:p>
              </w:tc>
              <w:tc>
                <w:tcPr>
                  <w:tcW w:w="667" w:type="dxa"/>
                  <w:noWrap w:val="0"/>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达标</w:t>
                  </w:r>
                </w:p>
              </w:tc>
            </w:tr>
          </w:tbl>
          <w:p>
            <w:pPr>
              <w:snapToGrid w:val="0"/>
              <w:spacing w:line="500" w:lineRule="exact"/>
              <w:ind w:firstLine="480" w:firstLineChars="200"/>
              <w:rPr>
                <w:rFonts w:ascii="Times New Roman" w:hAnsi="Times New Roman" w:eastAsia="宋体"/>
                <w:color w:val="auto"/>
                <w:sz w:val="24"/>
              </w:rPr>
            </w:pPr>
            <w:r>
              <w:rPr>
                <w:rFonts w:ascii="Times New Roman" w:hAnsi="Times New Roman" w:eastAsia="宋体"/>
                <w:color w:val="auto"/>
                <w:sz w:val="24"/>
              </w:rPr>
              <w:t>结果表明监测点中</w:t>
            </w:r>
            <w:r>
              <w:rPr>
                <w:rFonts w:hint="eastAsia" w:ascii="Times New Roman" w:hAnsi="Times New Roman" w:eastAsia="宋体"/>
                <w:color w:val="auto"/>
                <w:sz w:val="24"/>
                <w:lang w:val="en-US" w:eastAsia="zh-CN"/>
              </w:rPr>
              <w:t>TSP满足</w:t>
            </w:r>
            <w:r>
              <w:rPr>
                <w:rFonts w:eastAsia="宋体"/>
                <w:color w:val="auto"/>
                <w:sz w:val="24"/>
              </w:rPr>
              <w:t>《环境空气质量标准》（GB3095-2012）二级标准</w:t>
            </w:r>
            <w:r>
              <w:rPr>
                <w:rFonts w:hint="eastAsia" w:eastAsia="宋体"/>
                <w:color w:val="auto"/>
                <w:sz w:val="24"/>
                <w:lang w:eastAsia="zh-CN"/>
              </w:rPr>
              <w:t>，</w:t>
            </w:r>
            <w:r>
              <w:rPr>
                <w:rFonts w:ascii="Times New Roman" w:hAnsi="Times New Roman" w:eastAsia="宋体"/>
                <w:color w:val="auto"/>
                <w:sz w:val="24"/>
              </w:rPr>
              <w:t>因此项目所在区域空气质量良好。</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b/>
                <w:bCs/>
                <w:kern w:val="0"/>
                <w:sz w:val="24"/>
                <w:szCs w:val="24"/>
              </w:rPr>
            </w:pPr>
            <w:r>
              <w:rPr>
                <w:rFonts w:hint="eastAsia"/>
                <w:b/>
                <w:bCs/>
                <w:kern w:val="0"/>
                <w:sz w:val="24"/>
                <w:szCs w:val="24"/>
              </w:rPr>
              <w:t>2、水环境质量现状</w:t>
            </w:r>
          </w:p>
          <w:p>
            <w:pPr>
              <w:pStyle w:val="27"/>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default" w:ascii="Times New Roman" w:hAnsi="Times New Roman" w:cs="Times New Roman"/>
                <w:b/>
                <w:color w:val="000000"/>
              </w:rPr>
            </w:pPr>
            <w:r>
              <w:rPr>
                <w:rFonts w:hint="default" w:ascii="Times New Roman" w:hAnsi="Times New Roman" w:cs="Times New Roman"/>
                <w:color w:val="000000"/>
              </w:rPr>
              <w:t>本次评价引用</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海安经济技术开发区总体规划（2013-2030年）环境影响跟踪评价报告书</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中地表水监测数</w:t>
            </w:r>
            <w:r>
              <w:rPr>
                <w:rFonts w:hint="eastAsia" w:ascii="Times New Roman" w:hAnsi="Times New Roman" w:cs="Times New Roman"/>
                <w:color w:val="000000"/>
                <w:highlight w:val="none"/>
                <w:lang w:val="en-US" w:eastAsia="zh-CN"/>
              </w:rPr>
              <w:t>据，</w:t>
            </w:r>
            <w:r>
              <w:rPr>
                <w:rFonts w:hint="default" w:ascii="Times New Roman" w:hAnsi="Times New Roman" w:cs="Times New Roman"/>
                <w:color w:val="000000"/>
                <w:highlight w:val="none"/>
              </w:rPr>
              <w:t>监测时间为</w:t>
            </w:r>
            <w:r>
              <w:rPr>
                <w:rFonts w:hint="default" w:ascii="Times New Roman" w:hAnsi="Times New Roman" w:cs="Times New Roman"/>
                <w:color w:val="000000"/>
                <w:highlight w:val="none"/>
                <w:lang w:val="en-US" w:eastAsia="zh-CN"/>
              </w:rPr>
              <w:t>2022</w:t>
            </w:r>
            <w:r>
              <w:rPr>
                <w:rFonts w:hint="default" w:ascii="Times New Roman" w:hAnsi="Times New Roman" w:cs="Times New Roman"/>
                <w:color w:val="000000"/>
                <w:highlight w:val="none"/>
              </w:rPr>
              <w:t>年</w:t>
            </w:r>
            <w:r>
              <w:rPr>
                <w:rFonts w:hint="eastAsia" w:ascii="Times New Roman" w:hAnsi="Times New Roman" w:cs="Times New Roman"/>
                <w:color w:val="000000"/>
                <w:highlight w:val="none"/>
                <w:lang w:val="en-US" w:eastAsia="zh-CN"/>
              </w:rPr>
              <w:t>11</w:t>
            </w:r>
            <w:r>
              <w:rPr>
                <w:rFonts w:hint="default" w:ascii="Times New Roman" w:hAnsi="Times New Roman" w:cs="Times New Roman"/>
                <w:color w:val="000000"/>
                <w:highlight w:val="none"/>
              </w:rPr>
              <w:t>月</w:t>
            </w:r>
            <w:r>
              <w:rPr>
                <w:rFonts w:hint="eastAsia" w:ascii="Times New Roman" w:hAnsi="Times New Roman" w:cs="Times New Roman"/>
                <w:color w:val="000000"/>
                <w:highlight w:val="none"/>
                <w:lang w:val="en-US" w:eastAsia="zh-CN"/>
              </w:rPr>
              <w:t>21</w:t>
            </w:r>
            <w:r>
              <w:rPr>
                <w:rFonts w:hint="default" w:ascii="Times New Roman" w:hAnsi="Times New Roman" w:cs="Times New Roman"/>
                <w:color w:val="000000"/>
                <w:highlight w:val="none"/>
              </w:rPr>
              <w:t>日</w:t>
            </w:r>
            <w:r>
              <w:rPr>
                <w:rFonts w:hint="eastAsia" w:ascii="Times New Roman" w:hAnsi="Times New Roman" w:cs="Times New Roman"/>
                <w:color w:val="000000"/>
                <w:highlight w:val="none"/>
                <w:lang w:val="en-US" w:eastAsia="zh-CN"/>
              </w:rPr>
              <w:t>-23</w:t>
            </w:r>
            <w:r>
              <w:rPr>
                <w:rFonts w:hint="default" w:ascii="Times New Roman" w:hAnsi="Times New Roman" w:cs="Times New Roman"/>
                <w:color w:val="000000"/>
                <w:highlight w:val="none"/>
              </w:rPr>
              <w:t>日。监测时间在三年内，数据有效，可引用</w:t>
            </w:r>
            <w:r>
              <w:rPr>
                <w:rFonts w:hint="eastAsia" w:ascii="Times New Roman" w:hAnsi="Times New Roman" w:cs="Times New Roman"/>
                <w:color w:val="000000"/>
                <w:highlight w:val="none"/>
                <w:lang w:eastAsia="zh-CN"/>
              </w:rPr>
              <w:t>。</w:t>
            </w:r>
            <w:r>
              <w:rPr>
                <w:rFonts w:hint="default" w:ascii="Times New Roman" w:hAnsi="Times New Roman" w:eastAsia="宋体" w:cs="Times New Roman"/>
                <w:color w:val="000000"/>
                <w:highlight w:val="none"/>
              </w:rPr>
              <w:t>监测期间水环境质量监测结果</w:t>
            </w:r>
            <w:r>
              <w:rPr>
                <w:rFonts w:hint="default" w:ascii="Times New Roman" w:hAnsi="Times New Roman" w:eastAsia="宋体" w:cs="Times New Roman"/>
                <w:color w:val="000000"/>
                <w:highlight w:val="none"/>
                <w:lang w:val="en-US" w:eastAsia="zh-CN"/>
              </w:rPr>
              <w:t>见下表</w:t>
            </w:r>
            <w:r>
              <w:rPr>
                <w:rFonts w:hint="default" w:ascii="Times New Roman" w:hAnsi="Times New Roman" w:eastAsia="宋体" w:cs="Times New Roman"/>
                <w:color w:val="000000"/>
                <w:highlight w:val="none"/>
              </w:rPr>
              <w:t>。</w:t>
            </w:r>
          </w:p>
          <w:p>
            <w:pPr>
              <w:keepNext w:val="0"/>
              <w:keepLines w:val="0"/>
              <w:pageBreakBefore w:val="0"/>
              <w:widowControl w:val="0"/>
              <w:numPr>
                <w:ilvl w:val="0"/>
                <w:numId w:val="3"/>
              </w:numPr>
              <w:tabs>
                <w:tab w:val="clear" w:pos="420"/>
              </w:tabs>
              <w:kinsoku/>
              <w:wordWrap/>
              <w:overflowPunct/>
              <w:topLinePunct w:val="0"/>
              <w:autoSpaceDE/>
              <w:autoSpaceDN/>
              <w:bidi w:val="0"/>
              <w:adjustRightInd w:val="0"/>
              <w:snapToGrid w:val="0"/>
              <w:spacing w:line="500" w:lineRule="exact"/>
              <w:ind w:left="0" w:leftChars="0" w:hanging="5" w:firstLineChars="0"/>
              <w:jc w:val="center"/>
              <w:textAlignment w:val="auto"/>
              <w:rPr>
                <w:rFonts w:hint="default"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lang w:val="en-US" w:eastAsia="zh-CN"/>
              </w:rPr>
              <w:t>地表水监测结果及评价表</w:t>
            </w:r>
            <w:r>
              <w:rPr>
                <w:rFonts w:hint="default" w:ascii="Times New Roman" w:hAnsi="Times New Roman" w:eastAsia="宋体" w:cs="Times New Roman"/>
                <w:b/>
                <w:color w:val="000000"/>
                <w:kern w:val="0"/>
                <w:sz w:val="24"/>
                <w:szCs w:val="24"/>
              </w:rPr>
              <w:t xml:space="preserve">  单位：mg/L（pH无量纲）</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639"/>
              <w:gridCol w:w="1307"/>
              <w:gridCol w:w="722"/>
              <w:gridCol w:w="722"/>
              <w:gridCol w:w="722"/>
              <w:gridCol w:w="715"/>
              <w:gridCol w:w="729"/>
              <w:gridCol w:w="722"/>
              <w:gridCol w:w="722"/>
              <w:gridCol w:w="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水域</w:t>
                  </w:r>
                </w:p>
                <w:p>
                  <w:pPr>
                    <w:adjustRightInd w:val="0"/>
                    <w:snapToGrid w:val="0"/>
                    <w:jc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名称</w:t>
                  </w:r>
                </w:p>
              </w:tc>
              <w:tc>
                <w:tcPr>
                  <w:tcW w:w="376"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b/>
                      <w:bCs/>
                      <w:color w:val="000000"/>
                      <w:kern w:val="0"/>
                      <w:szCs w:val="21"/>
                      <w:highlight w:val="none"/>
                    </w:rPr>
                  </w:pPr>
                  <w:r>
                    <w:rPr>
                      <w:rFonts w:hint="default" w:ascii="Times New Roman" w:hAnsi="Times New Roman" w:eastAsia="宋体" w:cs="Times New Roman"/>
                      <w:b/>
                      <w:bCs/>
                      <w:color w:val="000000"/>
                      <w:kern w:val="0"/>
                      <w:szCs w:val="21"/>
                      <w:highlight w:val="none"/>
                    </w:rPr>
                    <w:t>监测</w:t>
                  </w:r>
                </w:p>
                <w:p>
                  <w:pPr>
                    <w:adjustRightInd w:val="0"/>
                    <w:snapToGrid w:val="0"/>
                    <w:jc w:val="center"/>
                    <w:rPr>
                      <w:rFonts w:hint="default" w:ascii="Times New Roman" w:hAnsi="Times New Roman" w:eastAsia="宋体" w:cs="Times New Roman"/>
                      <w:b/>
                      <w:bCs/>
                      <w:color w:val="000000"/>
                      <w:kern w:val="0"/>
                      <w:szCs w:val="21"/>
                      <w:highlight w:val="none"/>
                    </w:rPr>
                  </w:pPr>
                  <w:r>
                    <w:rPr>
                      <w:rFonts w:hint="default" w:ascii="Times New Roman" w:hAnsi="Times New Roman" w:eastAsia="宋体" w:cs="Times New Roman"/>
                      <w:b/>
                      <w:bCs/>
                      <w:color w:val="000000"/>
                      <w:kern w:val="0"/>
                      <w:szCs w:val="21"/>
                      <w:highlight w:val="none"/>
                    </w:rPr>
                    <w:t>断面</w:t>
                  </w:r>
                </w:p>
              </w:tc>
              <w:tc>
                <w:tcPr>
                  <w:tcW w:w="767"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b/>
                      <w:bCs/>
                      <w:color w:val="000000"/>
                      <w:kern w:val="0"/>
                      <w:szCs w:val="21"/>
                      <w:highlight w:val="none"/>
                    </w:rPr>
                  </w:pPr>
                  <w:r>
                    <w:rPr>
                      <w:rFonts w:hint="default" w:ascii="Times New Roman" w:hAnsi="Times New Roman" w:eastAsia="宋体" w:cs="Times New Roman"/>
                      <w:b/>
                      <w:bCs/>
                      <w:color w:val="000000"/>
                      <w:kern w:val="0"/>
                      <w:szCs w:val="21"/>
                      <w:highlight w:val="none"/>
                    </w:rPr>
                    <w:t>项目</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b/>
                      <w:bCs/>
                      <w:color w:val="000000"/>
                      <w:kern w:val="0"/>
                      <w:sz w:val="21"/>
                      <w:szCs w:val="21"/>
                      <w:highlight w:val="none"/>
                      <w:lang w:val="en-US" w:eastAsia="zh-CN" w:bidi="ar-SA"/>
                    </w:rPr>
                  </w:pPr>
                  <w:r>
                    <w:rPr>
                      <w:rFonts w:hint="default" w:ascii="Times New Roman" w:hAnsi="Times New Roman" w:eastAsia="宋体" w:cs="Times New Roman"/>
                      <w:b/>
                      <w:bCs/>
                      <w:color w:val="000000"/>
                      <w:kern w:val="0"/>
                      <w:szCs w:val="21"/>
                      <w:highlight w:val="none"/>
                    </w:rPr>
                    <w:t>pH</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b/>
                      <w:bCs/>
                      <w:color w:val="000000"/>
                      <w:kern w:val="0"/>
                      <w:sz w:val="21"/>
                      <w:szCs w:val="21"/>
                      <w:highlight w:val="none"/>
                      <w:lang w:val="en-US" w:eastAsia="zh-CN" w:bidi="ar-SA"/>
                    </w:rPr>
                  </w:pPr>
                  <w:r>
                    <w:rPr>
                      <w:rFonts w:hint="default" w:ascii="Times New Roman" w:hAnsi="Times New Roman" w:eastAsia="宋体" w:cs="Times New Roman"/>
                      <w:b/>
                      <w:bCs/>
                      <w:color w:val="000000"/>
                      <w:kern w:val="0"/>
                      <w:szCs w:val="21"/>
                      <w:highlight w:val="none"/>
                    </w:rPr>
                    <w:t>COD</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b/>
                      <w:bCs/>
                      <w:color w:val="000000"/>
                      <w:kern w:val="0"/>
                      <w:sz w:val="21"/>
                      <w:szCs w:val="21"/>
                      <w:highlight w:val="none"/>
                      <w:lang w:val="en-US" w:eastAsia="zh-CN" w:bidi="ar-SA"/>
                    </w:rPr>
                  </w:pPr>
                  <w:r>
                    <w:rPr>
                      <w:rFonts w:hint="default" w:ascii="Times New Roman" w:hAnsi="Times New Roman" w:eastAsia="宋体" w:cs="Times New Roman"/>
                      <w:b/>
                      <w:bCs/>
                      <w:color w:val="000000"/>
                      <w:kern w:val="0"/>
                      <w:szCs w:val="21"/>
                      <w:highlight w:val="none"/>
                    </w:rPr>
                    <w:t>SS</w:t>
                  </w:r>
                </w:p>
              </w:tc>
              <w:tc>
                <w:tcPr>
                  <w:tcW w:w="420"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b/>
                      <w:bCs/>
                      <w:color w:val="000000"/>
                      <w:kern w:val="0"/>
                      <w:sz w:val="21"/>
                      <w:szCs w:val="21"/>
                      <w:highlight w:val="none"/>
                      <w:lang w:val="en-US" w:eastAsia="zh-CN" w:bidi="ar-SA"/>
                    </w:rPr>
                  </w:pPr>
                  <w:r>
                    <w:rPr>
                      <w:rFonts w:hint="default" w:ascii="Times New Roman" w:hAnsi="Times New Roman" w:eastAsia="宋体" w:cs="Times New Roman"/>
                      <w:b/>
                      <w:bCs/>
                      <w:color w:val="000000"/>
                      <w:kern w:val="0"/>
                      <w:szCs w:val="21"/>
                      <w:highlight w:val="none"/>
                    </w:rPr>
                    <w:t>氨氮</w:t>
                  </w:r>
                </w:p>
              </w:tc>
              <w:tc>
                <w:tcPr>
                  <w:tcW w:w="428"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b/>
                      <w:bCs/>
                      <w:color w:val="000000"/>
                      <w:kern w:val="0"/>
                      <w:sz w:val="21"/>
                      <w:szCs w:val="21"/>
                      <w:highlight w:val="none"/>
                      <w:lang w:val="en-US" w:eastAsia="zh-CN" w:bidi="ar-SA"/>
                    </w:rPr>
                  </w:pPr>
                  <w:r>
                    <w:rPr>
                      <w:rFonts w:hint="default" w:ascii="Times New Roman" w:hAnsi="Times New Roman" w:eastAsia="宋体" w:cs="Times New Roman"/>
                      <w:b/>
                      <w:bCs/>
                      <w:color w:val="000000"/>
                      <w:kern w:val="0"/>
                      <w:szCs w:val="21"/>
                      <w:highlight w:val="none"/>
                    </w:rPr>
                    <w:t>总氮</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b/>
                      <w:bCs/>
                      <w:color w:val="000000"/>
                      <w:kern w:val="0"/>
                      <w:sz w:val="21"/>
                      <w:szCs w:val="21"/>
                      <w:lang w:val="en-US" w:eastAsia="zh-CN" w:bidi="ar-SA"/>
                    </w:rPr>
                  </w:pPr>
                  <w:r>
                    <w:rPr>
                      <w:rFonts w:hint="default" w:ascii="Times New Roman" w:hAnsi="Times New Roman" w:eastAsia="宋体" w:cs="Times New Roman"/>
                      <w:b/>
                      <w:bCs/>
                      <w:color w:val="000000"/>
                      <w:kern w:val="0"/>
                      <w:szCs w:val="21"/>
                    </w:rPr>
                    <w:t>总磷</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Cs w:val="21"/>
                      <w:lang w:val="en-US" w:eastAsia="zh-CN"/>
                    </w:rPr>
                    <w:t>石油类</w:t>
                  </w:r>
                </w:p>
              </w:tc>
              <w:tc>
                <w:tcPr>
                  <w:tcW w:w="430"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Cs w:val="21"/>
                      <w:lang w:val="en-US" w:eastAsia="zh-CN"/>
                    </w:rPr>
                    <w:t>挥发酚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Merge w:val="restart"/>
                  <w:tcBorders>
                    <w:tl2br w:val="nil"/>
                    <w:tr2bl w:val="nil"/>
                  </w:tcBorders>
                  <w:noWrap w:val="0"/>
                  <w:tcMar>
                    <w:left w:w="0" w:type="dxa"/>
                    <w:right w:w="0" w:type="dxa"/>
                  </w:tcMar>
                  <w:vAlign w:val="center"/>
                </w:tcPr>
                <w:p>
                  <w:pPr>
                    <w:adjustRightInd w:val="0"/>
                    <w:snapToGrid w:val="0"/>
                    <w:jc w:val="center"/>
                    <w:rPr>
                      <w:rFonts w:hint="default"/>
                      <w:color w:val="000000"/>
                    </w:rPr>
                  </w:pPr>
                  <w:r>
                    <w:rPr>
                      <w:rFonts w:hint="default" w:ascii="Times New Roman" w:hAnsi="Times New Roman" w:eastAsia="宋体" w:cs="Times New Roman"/>
                      <w:color w:val="000000"/>
                      <w:kern w:val="0"/>
                      <w:szCs w:val="21"/>
                    </w:rPr>
                    <w:t>洋蛮河</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lang w:val="en-US" w:eastAsia="zh-CN"/>
                    </w:rPr>
                    <w:t>纳污河流</w:t>
                  </w:r>
                  <w:r>
                    <w:rPr>
                      <w:rFonts w:hint="eastAsia" w:ascii="Times New Roman" w:hAnsi="Times New Roman" w:eastAsia="宋体" w:cs="Times New Roman"/>
                      <w:color w:val="000000"/>
                      <w:kern w:val="0"/>
                      <w:szCs w:val="21"/>
                      <w:lang w:eastAsia="zh-CN"/>
                    </w:rPr>
                    <w:t>）</w:t>
                  </w:r>
                </w:p>
              </w:tc>
              <w:tc>
                <w:tcPr>
                  <w:tcW w:w="376" w:type="pct"/>
                  <w:vMerge w:val="restart"/>
                  <w:tcBorders>
                    <w:tl2br w:val="nil"/>
                    <w:tr2bl w:val="nil"/>
                  </w:tcBorders>
                  <w:noWrap w:val="0"/>
                  <w:tcMar>
                    <w:left w:w="0" w:type="dxa"/>
                    <w:right w:w="0" w:type="dxa"/>
                  </w:tcMar>
                  <w:vAlign w:val="center"/>
                </w:tcPr>
                <w:p>
                  <w:pPr>
                    <w:adjustRightInd w:val="0"/>
                    <w:snapToGrid w:val="0"/>
                    <w:jc w:val="center"/>
                    <w:rPr>
                      <w:rFonts w:hint="eastAsia" w:ascii="Times New Roman" w:hAnsi="Times New Roman" w:eastAsia="宋体" w:cs="Times New Roman"/>
                      <w:color w:val="000000"/>
                      <w:kern w:val="0"/>
                      <w:szCs w:val="21"/>
                      <w:highlight w:val="none"/>
                      <w:lang w:val="en-US" w:eastAsia="zh-CN"/>
                    </w:rPr>
                  </w:pPr>
                  <w:r>
                    <w:rPr>
                      <w:rFonts w:hint="default" w:ascii="Times New Roman" w:hAnsi="Times New Roman" w:eastAsia="宋体" w:cs="Times New Roman"/>
                      <w:color w:val="000000"/>
                      <w:kern w:val="0"/>
                      <w:szCs w:val="21"/>
                      <w:highlight w:val="none"/>
                    </w:rPr>
                    <w:t>W1</w:t>
                  </w:r>
                  <w:r>
                    <w:rPr>
                      <w:rFonts w:hint="eastAsia" w:ascii="Times New Roman" w:hAnsi="Times New Roman" w:eastAsia="宋体" w:cs="Times New Roman"/>
                      <w:color w:val="000000"/>
                      <w:kern w:val="0"/>
                      <w:szCs w:val="21"/>
                      <w:highlight w:val="none"/>
                      <w:lang w:val="en-US" w:eastAsia="zh-CN"/>
                    </w:rPr>
                    <w:t>0</w:t>
                  </w:r>
                </w:p>
              </w:tc>
              <w:tc>
                <w:tcPr>
                  <w:tcW w:w="767"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最大值</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7</w:t>
                  </w:r>
                  <w:r>
                    <w:rPr>
                      <w:rFonts w:hint="default" w:ascii="Times New Roman" w:hAnsi="Times New Roman" w:eastAsia="宋体" w:cs="Times New Roman"/>
                      <w:color w:val="000000"/>
                      <w:kern w:val="0"/>
                      <w:sz w:val="21"/>
                      <w:szCs w:val="21"/>
                      <w:highlight w:val="none"/>
                      <w:lang w:val="en-US" w:eastAsia="zh-CN" w:bidi="ar-SA"/>
                    </w:rPr>
                    <w:t>.3</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15</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9</w:t>
                  </w:r>
                </w:p>
              </w:tc>
              <w:tc>
                <w:tcPr>
                  <w:tcW w:w="420"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0.934</w:t>
                  </w:r>
                </w:p>
              </w:tc>
              <w:tc>
                <w:tcPr>
                  <w:tcW w:w="428"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6.08</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0.18</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0.02</w:t>
                  </w:r>
                </w:p>
              </w:tc>
              <w:tc>
                <w:tcPr>
                  <w:tcW w:w="430"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0.0016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rPr>
                  </w:pPr>
                </w:p>
              </w:tc>
              <w:tc>
                <w:tcPr>
                  <w:tcW w:w="376"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p>
              </w:tc>
              <w:tc>
                <w:tcPr>
                  <w:tcW w:w="767"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最小值</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7</w:t>
                  </w:r>
                  <w:r>
                    <w:rPr>
                      <w:rFonts w:hint="default" w:ascii="Times New Roman" w:hAnsi="Times New Roman" w:eastAsia="宋体" w:cs="Times New Roman"/>
                      <w:color w:val="000000"/>
                      <w:kern w:val="0"/>
                      <w:sz w:val="21"/>
                      <w:szCs w:val="21"/>
                      <w:highlight w:val="none"/>
                      <w:lang w:val="en-US" w:eastAsia="zh-CN" w:bidi="ar-SA"/>
                    </w:rPr>
                    <w:t>.1</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13</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7</w:t>
                  </w:r>
                </w:p>
              </w:tc>
              <w:tc>
                <w:tcPr>
                  <w:tcW w:w="420"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0.91</w:t>
                  </w:r>
                </w:p>
              </w:tc>
              <w:tc>
                <w:tcPr>
                  <w:tcW w:w="428"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5.9</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0.17</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0.01</w:t>
                  </w:r>
                </w:p>
              </w:tc>
              <w:tc>
                <w:tcPr>
                  <w:tcW w:w="430"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0.0013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rPr>
                  </w:pPr>
                </w:p>
              </w:tc>
              <w:tc>
                <w:tcPr>
                  <w:tcW w:w="376"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p>
              </w:tc>
              <w:tc>
                <w:tcPr>
                  <w:tcW w:w="767"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lang w:val="en-US" w:eastAsia="zh-CN"/>
                    </w:rPr>
                    <w:t>最大污染指数</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0</w:t>
                  </w:r>
                  <w:r>
                    <w:rPr>
                      <w:rFonts w:hint="default" w:ascii="Times New Roman" w:hAnsi="Times New Roman" w:eastAsia="宋体" w:cs="Times New Roman"/>
                      <w:color w:val="000000"/>
                      <w:kern w:val="0"/>
                      <w:sz w:val="21"/>
                      <w:szCs w:val="21"/>
                      <w:highlight w:val="none"/>
                      <w:lang w:val="en-US" w:eastAsia="zh-CN" w:bidi="ar-SA"/>
                    </w:rPr>
                    <w:t>.15</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0</w:t>
                  </w:r>
                  <w:r>
                    <w:rPr>
                      <w:rFonts w:hint="default" w:ascii="Times New Roman" w:hAnsi="Times New Roman" w:eastAsia="宋体" w:cs="Times New Roman"/>
                      <w:color w:val="000000"/>
                      <w:kern w:val="0"/>
                      <w:sz w:val="21"/>
                      <w:szCs w:val="21"/>
                      <w:highlight w:val="none"/>
                      <w:lang w:val="en-US" w:eastAsia="zh-CN" w:bidi="ar-SA"/>
                    </w:rPr>
                    <w:t>.75</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0</w:t>
                  </w:r>
                  <w:r>
                    <w:rPr>
                      <w:rFonts w:hint="default" w:ascii="Times New Roman" w:hAnsi="Times New Roman" w:eastAsia="宋体" w:cs="Times New Roman"/>
                      <w:color w:val="000000"/>
                      <w:kern w:val="0"/>
                      <w:sz w:val="21"/>
                      <w:szCs w:val="21"/>
                      <w:highlight w:val="none"/>
                      <w:lang w:val="en-US" w:eastAsia="zh-CN" w:bidi="ar-SA"/>
                    </w:rPr>
                    <w:t>.3</w:t>
                  </w:r>
                </w:p>
              </w:tc>
              <w:tc>
                <w:tcPr>
                  <w:tcW w:w="420"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0</w:t>
                  </w:r>
                  <w:r>
                    <w:rPr>
                      <w:rFonts w:hint="default" w:ascii="Times New Roman" w:hAnsi="Times New Roman" w:eastAsia="宋体" w:cs="Times New Roman"/>
                      <w:color w:val="000000"/>
                      <w:kern w:val="0"/>
                      <w:sz w:val="21"/>
                      <w:szCs w:val="21"/>
                      <w:highlight w:val="none"/>
                      <w:lang w:val="en-US" w:eastAsia="zh-CN" w:bidi="ar-SA"/>
                    </w:rPr>
                    <w:t>.934</w:t>
                  </w:r>
                </w:p>
              </w:tc>
              <w:tc>
                <w:tcPr>
                  <w:tcW w:w="428" w:type="pct"/>
                  <w:tcBorders>
                    <w:tl2br w:val="nil"/>
                    <w:tr2bl w:val="nil"/>
                  </w:tcBorders>
                  <w:noWrap w:val="0"/>
                  <w:tcMar>
                    <w:left w:w="0" w:type="dxa"/>
                    <w:right w:w="0" w:type="dxa"/>
                  </w:tcMar>
                  <w:vAlign w:val="center"/>
                </w:tcPr>
                <w:p>
                  <w:pPr>
                    <w:pStyle w:val="47"/>
                    <w:textAlignment w:val="baseline"/>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w:t>
                  </w:r>
                  <w:r>
                    <w:rPr>
                      <w:rFonts w:hint="default" w:ascii="Times New Roman" w:hAnsi="Times New Roman" w:eastAsia="宋体" w:cs="Times New Roman"/>
                      <w:color w:val="000000"/>
                      <w:kern w:val="0"/>
                      <w:sz w:val="21"/>
                      <w:szCs w:val="21"/>
                      <w:lang w:val="en-US" w:eastAsia="zh-CN" w:bidi="ar-SA"/>
                    </w:rPr>
                    <w:t>.9</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w:t>
                  </w:r>
                  <w:r>
                    <w:rPr>
                      <w:rFonts w:hint="default" w:ascii="Times New Roman" w:hAnsi="Times New Roman" w:eastAsia="宋体" w:cs="Times New Roman"/>
                      <w:color w:val="000000"/>
                      <w:kern w:val="0"/>
                      <w:sz w:val="21"/>
                      <w:szCs w:val="21"/>
                      <w:lang w:val="en-US" w:eastAsia="zh-CN" w:bidi="ar-SA"/>
                    </w:rPr>
                    <w:t>.4</w:t>
                  </w:r>
                </w:p>
              </w:tc>
              <w:tc>
                <w:tcPr>
                  <w:tcW w:w="430"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w:t>
                  </w:r>
                  <w:r>
                    <w:rPr>
                      <w:rFonts w:hint="default" w:ascii="Times New Roman" w:hAnsi="Times New Roman" w:eastAsia="宋体" w:cs="Times New Roman"/>
                      <w:color w:val="000000"/>
                      <w:kern w:val="0"/>
                      <w:sz w:val="21"/>
                      <w:szCs w:val="21"/>
                      <w:lang w:val="en-US" w:eastAsia="zh-CN" w:bidi="ar-SA"/>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rPr>
                  </w:pPr>
                </w:p>
              </w:tc>
              <w:tc>
                <w:tcPr>
                  <w:tcW w:w="376"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p>
              </w:tc>
              <w:tc>
                <w:tcPr>
                  <w:tcW w:w="767"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超标率%</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0"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8"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w:t>
                  </w:r>
                </w:p>
              </w:tc>
              <w:tc>
                <w:tcPr>
                  <w:tcW w:w="430"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rPr>
                  </w:pPr>
                </w:p>
              </w:tc>
              <w:tc>
                <w:tcPr>
                  <w:tcW w:w="376"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p>
              </w:tc>
              <w:tc>
                <w:tcPr>
                  <w:tcW w:w="767"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最大超标倍数</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0"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8"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w:t>
                  </w:r>
                </w:p>
              </w:tc>
              <w:tc>
                <w:tcPr>
                  <w:tcW w:w="430"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rPr>
                  </w:pPr>
                </w:p>
              </w:tc>
              <w:tc>
                <w:tcPr>
                  <w:tcW w:w="376" w:type="pct"/>
                  <w:vMerge w:val="restar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lang w:val="en-US" w:eastAsia="zh-CN"/>
                    </w:rPr>
                  </w:pPr>
                  <w:r>
                    <w:rPr>
                      <w:rFonts w:hint="default" w:ascii="Times New Roman" w:hAnsi="Times New Roman" w:eastAsia="宋体" w:cs="Times New Roman"/>
                      <w:color w:val="000000"/>
                      <w:kern w:val="0"/>
                      <w:szCs w:val="21"/>
                      <w:highlight w:val="none"/>
                    </w:rPr>
                    <w:t>W</w:t>
                  </w:r>
                  <w:r>
                    <w:rPr>
                      <w:rFonts w:hint="eastAsia" w:ascii="Times New Roman" w:hAnsi="Times New Roman" w:eastAsia="宋体" w:cs="Times New Roman"/>
                      <w:color w:val="000000"/>
                      <w:kern w:val="0"/>
                      <w:szCs w:val="21"/>
                      <w:highlight w:val="none"/>
                      <w:lang w:val="en-US" w:eastAsia="zh-CN"/>
                    </w:rPr>
                    <w:t>11</w:t>
                  </w:r>
                </w:p>
              </w:tc>
              <w:tc>
                <w:tcPr>
                  <w:tcW w:w="767"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最大值</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7</w:t>
                  </w:r>
                  <w:r>
                    <w:rPr>
                      <w:rFonts w:hint="default" w:ascii="Times New Roman" w:hAnsi="Times New Roman" w:eastAsia="宋体" w:cs="Times New Roman"/>
                      <w:color w:val="000000"/>
                      <w:kern w:val="0"/>
                      <w:sz w:val="21"/>
                      <w:szCs w:val="21"/>
                      <w:highlight w:val="none"/>
                      <w:lang w:val="en-US" w:eastAsia="zh-CN" w:bidi="ar-SA"/>
                    </w:rPr>
                    <w:t>.3</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19</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0.19</w:t>
                  </w:r>
                </w:p>
              </w:tc>
              <w:tc>
                <w:tcPr>
                  <w:tcW w:w="420"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0.963</w:t>
                  </w:r>
                </w:p>
              </w:tc>
              <w:tc>
                <w:tcPr>
                  <w:tcW w:w="428"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6.07</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0.19</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0.02</w:t>
                  </w:r>
                </w:p>
              </w:tc>
              <w:tc>
                <w:tcPr>
                  <w:tcW w:w="430"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0.0018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rPr>
                  </w:pPr>
                </w:p>
              </w:tc>
              <w:tc>
                <w:tcPr>
                  <w:tcW w:w="376"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p>
              </w:tc>
              <w:tc>
                <w:tcPr>
                  <w:tcW w:w="767"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最小值</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7</w:t>
                  </w:r>
                  <w:r>
                    <w:rPr>
                      <w:rFonts w:hint="default" w:ascii="Times New Roman" w:hAnsi="Times New Roman" w:eastAsia="宋体" w:cs="Times New Roman"/>
                      <w:color w:val="000000"/>
                      <w:kern w:val="0"/>
                      <w:sz w:val="21"/>
                      <w:szCs w:val="21"/>
                      <w:highlight w:val="none"/>
                      <w:lang w:val="en-US" w:eastAsia="zh-CN" w:bidi="ar-SA"/>
                    </w:rPr>
                    <w:t>.1</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14</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0.17</w:t>
                  </w:r>
                </w:p>
              </w:tc>
              <w:tc>
                <w:tcPr>
                  <w:tcW w:w="420"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0.936</w:t>
                  </w:r>
                </w:p>
              </w:tc>
              <w:tc>
                <w:tcPr>
                  <w:tcW w:w="428"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5.81</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0.17</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0.01</w:t>
                  </w:r>
                </w:p>
              </w:tc>
              <w:tc>
                <w:tcPr>
                  <w:tcW w:w="430"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0.0012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rPr>
                  </w:pPr>
                </w:p>
              </w:tc>
              <w:tc>
                <w:tcPr>
                  <w:tcW w:w="376"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p>
              </w:tc>
              <w:tc>
                <w:tcPr>
                  <w:tcW w:w="767"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最大污染指数</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0</w:t>
                  </w:r>
                  <w:r>
                    <w:rPr>
                      <w:rFonts w:hint="default" w:ascii="Times New Roman" w:hAnsi="Times New Roman" w:eastAsia="宋体" w:cs="Times New Roman"/>
                      <w:color w:val="000000"/>
                      <w:kern w:val="0"/>
                      <w:sz w:val="21"/>
                      <w:szCs w:val="21"/>
                      <w:highlight w:val="none"/>
                      <w:lang w:val="en-US" w:eastAsia="zh-CN" w:bidi="ar-SA"/>
                    </w:rPr>
                    <w:t>.15</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0</w:t>
                  </w:r>
                  <w:r>
                    <w:rPr>
                      <w:rFonts w:hint="default" w:ascii="Times New Roman" w:hAnsi="Times New Roman" w:eastAsia="宋体" w:cs="Times New Roman"/>
                      <w:color w:val="000000"/>
                      <w:kern w:val="0"/>
                      <w:sz w:val="21"/>
                      <w:szCs w:val="21"/>
                      <w:highlight w:val="none"/>
                      <w:lang w:val="en-US" w:eastAsia="zh-CN" w:bidi="ar-SA"/>
                    </w:rPr>
                    <w:t>.95</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0</w:t>
                  </w:r>
                  <w:r>
                    <w:rPr>
                      <w:rFonts w:hint="default" w:ascii="Times New Roman" w:hAnsi="Times New Roman" w:eastAsia="宋体" w:cs="Times New Roman"/>
                      <w:color w:val="000000"/>
                      <w:kern w:val="0"/>
                      <w:sz w:val="21"/>
                      <w:szCs w:val="21"/>
                      <w:highlight w:val="none"/>
                      <w:lang w:val="en-US" w:eastAsia="zh-CN" w:bidi="ar-SA"/>
                    </w:rPr>
                    <w:t>.95</w:t>
                  </w:r>
                </w:p>
              </w:tc>
              <w:tc>
                <w:tcPr>
                  <w:tcW w:w="420"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0</w:t>
                  </w:r>
                  <w:r>
                    <w:rPr>
                      <w:rFonts w:hint="default" w:ascii="Times New Roman" w:hAnsi="Times New Roman" w:eastAsia="宋体" w:cs="Times New Roman"/>
                      <w:color w:val="000000"/>
                      <w:kern w:val="0"/>
                      <w:sz w:val="21"/>
                      <w:szCs w:val="21"/>
                      <w:highlight w:val="none"/>
                      <w:lang w:val="en-US" w:eastAsia="zh-CN" w:bidi="ar-SA"/>
                    </w:rPr>
                    <w:t>.963</w:t>
                  </w:r>
                </w:p>
              </w:tc>
              <w:tc>
                <w:tcPr>
                  <w:tcW w:w="428" w:type="pct"/>
                  <w:tcBorders>
                    <w:tl2br w:val="nil"/>
                    <w:tr2bl w:val="nil"/>
                  </w:tcBorders>
                  <w:noWrap w:val="0"/>
                  <w:tcMar>
                    <w:left w:w="0" w:type="dxa"/>
                    <w:right w:w="0" w:type="dxa"/>
                  </w:tcMar>
                  <w:vAlign w:val="center"/>
                </w:tcPr>
                <w:p>
                  <w:pPr>
                    <w:pStyle w:val="47"/>
                    <w:textAlignment w:val="baseline"/>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w:t>
                  </w:r>
                  <w:r>
                    <w:rPr>
                      <w:rFonts w:hint="default" w:ascii="Times New Roman" w:hAnsi="Times New Roman" w:eastAsia="宋体" w:cs="Times New Roman"/>
                      <w:color w:val="000000"/>
                      <w:kern w:val="0"/>
                      <w:sz w:val="21"/>
                      <w:szCs w:val="21"/>
                      <w:lang w:val="en-US" w:eastAsia="zh-CN" w:bidi="ar-SA"/>
                    </w:rPr>
                    <w:t>.95</w:t>
                  </w:r>
                </w:p>
              </w:tc>
              <w:tc>
                <w:tcPr>
                  <w:tcW w:w="424"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w:t>
                  </w:r>
                  <w:r>
                    <w:rPr>
                      <w:rFonts w:hint="default" w:ascii="Times New Roman" w:hAnsi="Times New Roman" w:eastAsia="宋体" w:cs="Times New Roman"/>
                      <w:color w:val="000000"/>
                      <w:kern w:val="0"/>
                      <w:sz w:val="21"/>
                      <w:szCs w:val="21"/>
                      <w:lang w:val="en-US" w:eastAsia="zh-CN" w:bidi="ar-SA"/>
                    </w:rPr>
                    <w:t>.4</w:t>
                  </w:r>
                </w:p>
              </w:tc>
              <w:tc>
                <w:tcPr>
                  <w:tcW w:w="430" w:type="pct"/>
                  <w:tcBorders>
                    <w:tl2br w:val="nil"/>
                    <w:tr2bl w:val="nil"/>
                  </w:tcBorders>
                  <w:noWrap w:val="0"/>
                  <w:tcMar>
                    <w:left w:w="0" w:type="dxa"/>
                    <w:right w:w="0" w:type="dxa"/>
                  </w:tcMar>
                  <w:vAlign w:val="center"/>
                </w:tcPr>
                <w:p>
                  <w:pPr>
                    <w:pStyle w:val="47"/>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w:t>
                  </w:r>
                  <w:r>
                    <w:rPr>
                      <w:rFonts w:hint="default" w:ascii="Times New Roman" w:hAnsi="Times New Roman" w:eastAsia="宋体" w:cs="Times New Roman"/>
                      <w:color w:val="000000"/>
                      <w:kern w:val="0"/>
                      <w:sz w:val="21"/>
                      <w:szCs w:val="21"/>
                      <w:lang w:val="en-US" w:eastAsia="zh-CN" w:bidi="ar-SA"/>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rPr>
                  </w:pPr>
                </w:p>
              </w:tc>
              <w:tc>
                <w:tcPr>
                  <w:tcW w:w="376"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p>
              </w:tc>
              <w:tc>
                <w:tcPr>
                  <w:tcW w:w="767"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超标率%</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0"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8"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w:t>
                  </w:r>
                </w:p>
              </w:tc>
              <w:tc>
                <w:tcPr>
                  <w:tcW w:w="430"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4"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rPr>
                  </w:pPr>
                </w:p>
              </w:tc>
              <w:tc>
                <w:tcPr>
                  <w:tcW w:w="376" w:type="pct"/>
                  <w:vMerge w:val="continue"/>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p>
              </w:tc>
              <w:tc>
                <w:tcPr>
                  <w:tcW w:w="767"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最大超标倍数</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0"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8"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w:t>
                  </w:r>
                </w:p>
              </w:tc>
              <w:tc>
                <w:tcPr>
                  <w:tcW w:w="430"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8" w:type="pct"/>
                  <w:gridSpan w:val="3"/>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Cs w:val="21"/>
                      <w:highlight w:val="none"/>
                      <w:lang w:val="en-US" w:eastAsia="zh-CN"/>
                    </w:rPr>
                  </w:pPr>
                  <w:r>
                    <w:rPr>
                      <w:rFonts w:hint="default" w:ascii="Times New Roman" w:hAnsi="Times New Roman" w:eastAsia="宋体" w:cs="Times New Roman"/>
                      <w:color w:val="000000"/>
                      <w:sz w:val="24"/>
                      <w:highlight w:val="none"/>
                    </w:rPr>
                    <w:t>Ⅲ</w:t>
                  </w:r>
                  <w:r>
                    <w:rPr>
                      <w:rFonts w:hint="eastAsia" w:ascii="Times New Roman" w:hAnsi="Times New Roman" w:eastAsia="宋体" w:cs="Times New Roman"/>
                      <w:color w:val="000000"/>
                      <w:kern w:val="0"/>
                      <w:szCs w:val="21"/>
                      <w:highlight w:val="none"/>
                      <w:lang w:val="en-US" w:eastAsia="zh-CN"/>
                    </w:rPr>
                    <w:t>类标准</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6-9</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rPr>
                    <w:t>≤</w:t>
                  </w:r>
                  <w:r>
                    <w:rPr>
                      <w:rFonts w:hint="eastAsia" w:ascii="Times New Roman" w:hAnsi="Times New Roman" w:eastAsia="宋体" w:cs="Times New Roman"/>
                      <w:color w:val="000000"/>
                      <w:kern w:val="0"/>
                      <w:sz w:val="21"/>
                      <w:szCs w:val="21"/>
                      <w:highlight w:val="none"/>
                      <w:lang w:val="en-US" w:eastAsia="zh-CN" w:bidi="ar-SA"/>
                    </w:rPr>
                    <w:t>20</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rPr>
                    <w:t>≤</w:t>
                  </w:r>
                  <w:r>
                    <w:rPr>
                      <w:rFonts w:hint="eastAsia" w:ascii="Times New Roman" w:hAnsi="Times New Roman" w:eastAsia="宋体" w:cs="Times New Roman"/>
                      <w:color w:val="000000"/>
                      <w:kern w:val="0"/>
                      <w:sz w:val="21"/>
                      <w:szCs w:val="21"/>
                      <w:highlight w:val="none"/>
                      <w:lang w:val="en-US" w:eastAsia="zh-CN" w:bidi="ar-SA"/>
                    </w:rPr>
                    <w:t>30</w:t>
                  </w:r>
                </w:p>
              </w:tc>
              <w:tc>
                <w:tcPr>
                  <w:tcW w:w="420"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rPr>
                    <w:t>≤</w:t>
                  </w:r>
                  <w:r>
                    <w:rPr>
                      <w:rFonts w:hint="eastAsia" w:ascii="Times New Roman" w:hAnsi="Times New Roman" w:eastAsia="宋体" w:cs="Times New Roman"/>
                      <w:color w:val="000000"/>
                      <w:kern w:val="0"/>
                      <w:sz w:val="21"/>
                      <w:szCs w:val="21"/>
                      <w:highlight w:val="none"/>
                      <w:lang w:val="en-US" w:eastAsia="zh-CN" w:bidi="ar-SA"/>
                    </w:rPr>
                    <w:t>1.0</w:t>
                  </w:r>
                </w:p>
              </w:tc>
              <w:tc>
                <w:tcPr>
                  <w:tcW w:w="428" w:type="pct"/>
                  <w:tcBorders>
                    <w:tl2br w:val="nil"/>
                    <w:tr2bl w:val="nil"/>
                  </w:tcBorders>
                  <w:noWrap w:val="0"/>
                  <w:tcMar>
                    <w:left w:w="0" w:type="dxa"/>
                    <w:right w:w="0" w:type="dxa"/>
                  </w:tcMar>
                  <w:vAlign w:val="center"/>
                </w:tcPr>
                <w:p>
                  <w:pPr>
                    <w:adjustRightInd w:val="0"/>
                    <w:snapToGrid w:val="0"/>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rPr>
                    <w:t>-</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rPr>
                    <w:t>≤</w:t>
                  </w:r>
                  <w:r>
                    <w:rPr>
                      <w:rFonts w:hint="eastAsia" w:ascii="Times New Roman" w:hAnsi="Times New Roman" w:eastAsia="宋体" w:cs="Times New Roman"/>
                      <w:color w:val="000000"/>
                      <w:kern w:val="0"/>
                      <w:sz w:val="21"/>
                      <w:szCs w:val="21"/>
                      <w:lang w:val="en-US" w:eastAsia="zh-CN" w:bidi="ar-SA"/>
                    </w:rPr>
                    <w:t>0.2</w:t>
                  </w:r>
                </w:p>
              </w:tc>
              <w:tc>
                <w:tcPr>
                  <w:tcW w:w="424"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rPr>
                    <w:t>≤</w:t>
                  </w:r>
                  <w:r>
                    <w:rPr>
                      <w:rFonts w:hint="eastAsia" w:ascii="Times New Roman" w:hAnsi="Times New Roman" w:eastAsia="宋体" w:cs="Times New Roman"/>
                      <w:color w:val="000000"/>
                      <w:kern w:val="0"/>
                      <w:sz w:val="21"/>
                      <w:szCs w:val="21"/>
                      <w:lang w:val="en-US" w:eastAsia="zh-CN" w:bidi="ar-SA"/>
                    </w:rPr>
                    <w:t>0.05</w:t>
                  </w:r>
                </w:p>
              </w:tc>
              <w:tc>
                <w:tcPr>
                  <w:tcW w:w="430" w:type="pct"/>
                  <w:tcBorders>
                    <w:tl2br w:val="nil"/>
                    <w:tr2bl w:val="nil"/>
                  </w:tcBorders>
                  <w:noWrap w:val="0"/>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rPr>
                    <w:t>≤</w:t>
                  </w:r>
                  <w:r>
                    <w:rPr>
                      <w:rFonts w:hint="eastAsia" w:ascii="Times New Roman" w:hAnsi="Times New Roman" w:eastAsia="宋体" w:cs="Times New Roman"/>
                      <w:color w:val="000000"/>
                      <w:kern w:val="0"/>
                      <w:sz w:val="21"/>
                      <w:szCs w:val="21"/>
                      <w:lang w:val="en-US" w:eastAsia="zh-CN" w:bidi="ar-SA"/>
                    </w:rPr>
                    <w:t>0.005</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000000"/>
                <w:sz w:val="24"/>
                <w:szCs w:val="24"/>
                <w:lang w:val="en-US" w:eastAsia="zh-CN"/>
              </w:rPr>
            </w:pPr>
            <w:bookmarkStart w:id="5" w:name="_Toc450746357"/>
            <w:bookmarkStart w:id="6" w:name="_Toc196753461"/>
            <w:bookmarkStart w:id="7" w:name="_Toc164491731"/>
            <w:r>
              <w:rPr>
                <w:rFonts w:hint="default" w:ascii="Times New Roman" w:hAnsi="Times New Roman" w:eastAsia="宋体" w:cs="Times New Roman"/>
                <w:color w:val="000000"/>
                <w:sz w:val="24"/>
                <w:szCs w:val="24"/>
              </w:rPr>
              <w:t>由</w:t>
            </w:r>
            <w:r>
              <w:rPr>
                <w:rFonts w:hint="default" w:ascii="Times New Roman" w:hAnsi="Times New Roman" w:eastAsia="宋体" w:cs="Times New Roman"/>
                <w:color w:val="000000"/>
                <w:sz w:val="24"/>
                <w:szCs w:val="24"/>
                <w:lang w:val="en-US" w:eastAsia="zh-CN"/>
              </w:rPr>
              <w:t>上表</w:t>
            </w:r>
            <w:r>
              <w:rPr>
                <w:rFonts w:hint="default" w:ascii="Times New Roman" w:hAnsi="Times New Roman" w:eastAsia="宋体" w:cs="Times New Roman"/>
                <w:color w:val="000000"/>
                <w:sz w:val="24"/>
                <w:szCs w:val="24"/>
              </w:rPr>
              <w:t>可见，监测期间洋蛮河监测断面</w:t>
            </w:r>
            <w:r>
              <w:rPr>
                <w:rFonts w:hint="default" w:ascii="Times New Roman" w:hAnsi="Times New Roman" w:eastAsia="宋体" w:cs="Times New Roman"/>
                <w:color w:val="000000"/>
                <w:sz w:val="24"/>
                <w:szCs w:val="24"/>
                <w:lang w:val="en-US" w:eastAsia="zh-CN"/>
              </w:rPr>
              <w:t>各因子</w:t>
            </w:r>
            <w:r>
              <w:rPr>
                <w:rFonts w:hint="default" w:ascii="Times New Roman" w:hAnsi="Times New Roman" w:eastAsia="宋体" w:cs="Times New Roman"/>
                <w:color w:val="000000"/>
                <w:sz w:val="24"/>
                <w:szCs w:val="24"/>
              </w:rPr>
              <w:t>均满足《地表水环境质量标准》（GB3838-2002）Ⅲ类标准要求</w:t>
            </w:r>
            <w:r>
              <w:rPr>
                <w:rFonts w:hint="default" w:ascii="Times New Roman" w:hAnsi="Times New Roman" w:eastAsia="宋体" w:cs="Times New Roman"/>
                <w:color w:val="000000"/>
                <w:sz w:val="24"/>
                <w:szCs w:val="24"/>
                <w:lang w:eastAsia="zh-CN"/>
              </w:rPr>
              <w:t>。</w:t>
            </w:r>
          </w:p>
          <w:bookmarkEnd w:id="5"/>
          <w:bookmarkEnd w:id="6"/>
          <w:bookmarkEnd w:id="7"/>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420" w:leftChars="0" w:firstLine="0" w:firstLineChars="0"/>
              <w:textAlignment w:val="auto"/>
              <w:rPr>
                <w:rFonts w:hint="eastAsia"/>
                <w:b/>
                <w:bCs/>
                <w:kern w:val="0"/>
                <w:sz w:val="24"/>
                <w:szCs w:val="24"/>
              </w:rPr>
            </w:pPr>
            <w:r>
              <w:rPr>
                <w:rFonts w:hint="eastAsia"/>
                <w:b/>
                <w:bCs/>
                <w:kern w:val="0"/>
                <w:sz w:val="24"/>
                <w:szCs w:val="24"/>
              </w:rPr>
              <w:t>声环境质量现状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sz w:val="24"/>
                <w:szCs w:val="24"/>
                <w:highlight w:val="none"/>
              </w:rPr>
            </w:pPr>
            <w:r>
              <w:rPr>
                <w:rFonts w:hint="eastAsia"/>
                <w:sz w:val="24"/>
                <w:szCs w:val="24"/>
                <w:lang w:val="en-US" w:eastAsia="zh-CN"/>
              </w:rPr>
              <w:t>本</w:t>
            </w:r>
            <w:r>
              <w:rPr>
                <w:rFonts w:hint="eastAsia"/>
                <w:sz w:val="24"/>
                <w:szCs w:val="24"/>
                <w:highlight w:val="none"/>
                <w:lang w:eastAsia="zh-CN"/>
              </w:rPr>
              <w:t>项目</w:t>
            </w:r>
            <w:r>
              <w:rPr>
                <w:rFonts w:hint="default"/>
                <w:sz w:val="24"/>
                <w:szCs w:val="24"/>
                <w:highlight w:val="none"/>
              </w:rPr>
              <w:t>委托</w:t>
            </w:r>
            <w:r>
              <w:rPr>
                <w:rFonts w:hint="default"/>
                <w:sz w:val="24"/>
                <w:szCs w:val="24"/>
                <w:highlight w:val="none"/>
                <w:lang w:val="en-US" w:eastAsia="zh-CN"/>
              </w:rPr>
              <w:t>东晖检测技术（江苏）有限公司</w:t>
            </w:r>
            <w:r>
              <w:rPr>
                <w:rFonts w:hint="default"/>
                <w:sz w:val="24"/>
                <w:szCs w:val="24"/>
                <w:highlight w:val="none"/>
              </w:rPr>
              <w:t>进行声环境质量现状监测，</w:t>
            </w:r>
            <w:r>
              <w:rPr>
                <w:rFonts w:hint="default"/>
                <w:sz w:val="24"/>
                <w:szCs w:val="24"/>
                <w:highlight w:val="none"/>
                <w:lang w:val="en-US" w:eastAsia="zh-CN"/>
              </w:rPr>
              <w:t>东晖检测技术（江苏）有限公司</w:t>
            </w:r>
            <w:r>
              <w:rPr>
                <w:rFonts w:hint="default"/>
                <w:sz w:val="24"/>
                <w:szCs w:val="24"/>
                <w:highlight w:val="none"/>
              </w:rPr>
              <w:t>于20</w:t>
            </w:r>
            <w:r>
              <w:rPr>
                <w:rFonts w:hint="eastAsia"/>
                <w:sz w:val="24"/>
                <w:szCs w:val="24"/>
                <w:highlight w:val="none"/>
                <w:lang w:val="en-US" w:eastAsia="zh-CN"/>
              </w:rPr>
              <w:t>23</w:t>
            </w:r>
            <w:r>
              <w:rPr>
                <w:rFonts w:hint="default"/>
                <w:sz w:val="24"/>
                <w:szCs w:val="24"/>
                <w:highlight w:val="none"/>
              </w:rPr>
              <w:t>年</w:t>
            </w:r>
            <w:r>
              <w:rPr>
                <w:rFonts w:hint="eastAsia"/>
                <w:sz w:val="24"/>
                <w:szCs w:val="24"/>
                <w:highlight w:val="none"/>
                <w:lang w:val="en-US" w:eastAsia="zh-CN"/>
              </w:rPr>
              <w:t>6</w:t>
            </w:r>
            <w:r>
              <w:rPr>
                <w:rFonts w:hint="default"/>
                <w:sz w:val="24"/>
                <w:szCs w:val="24"/>
                <w:highlight w:val="none"/>
              </w:rPr>
              <w:t>月</w:t>
            </w:r>
            <w:r>
              <w:rPr>
                <w:rFonts w:hint="eastAsia"/>
                <w:sz w:val="24"/>
                <w:szCs w:val="24"/>
                <w:highlight w:val="none"/>
                <w:lang w:val="en-US" w:eastAsia="zh-CN"/>
              </w:rPr>
              <w:t>4</w:t>
            </w:r>
            <w:r>
              <w:rPr>
                <w:rFonts w:hint="default"/>
                <w:sz w:val="24"/>
                <w:szCs w:val="24"/>
                <w:highlight w:val="none"/>
              </w:rPr>
              <w:t>日对</w:t>
            </w:r>
            <w:r>
              <w:rPr>
                <w:rFonts w:hint="eastAsia"/>
                <w:sz w:val="24"/>
                <w:szCs w:val="24"/>
                <w:highlight w:val="none"/>
                <w:lang w:eastAsia="zh-CN"/>
              </w:rPr>
              <w:t>项目</w:t>
            </w:r>
            <w:r>
              <w:rPr>
                <w:rFonts w:hint="default"/>
                <w:sz w:val="24"/>
                <w:szCs w:val="24"/>
                <w:highlight w:val="none"/>
              </w:rPr>
              <w:t>所在地环境噪声现状进行监测（报告编号：</w:t>
            </w:r>
            <w:r>
              <w:rPr>
                <w:rFonts w:hint="default"/>
                <w:sz w:val="24"/>
                <w:szCs w:val="24"/>
                <w:highlight w:val="none"/>
                <w:lang w:val="en-US" w:eastAsia="zh-CN"/>
              </w:rPr>
              <w:t>(</w:t>
            </w:r>
            <w:r>
              <w:rPr>
                <w:rFonts w:hint="default"/>
                <w:color w:val="auto"/>
                <w:sz w:val="24"/>
                <w:szCs w:val="24"/>
                <w:highlight w:val="none"/>
                <w:lang w:val="en-US" w:eastAsia="zh-CN"/>
              </w:rPr>
              <w:t>202</w:t>
            </w:r>
            <w:r>
              <w:rPr>
                <w:rFonts w:hint="eastAsia"/>
                <w:color w:val="auto"/>
                <w:sz w:val="24"/>
                <w:szCs w:val="24"/>
                <w:highlight w:val="none"/>
                <w:lang w:val="en-US" w:eastAsia="zh-CN"/>
              </w:rPr>
              <w:t>3</w:t>
            </w:r>
            <w:r>
              <w:rPr>
                <w:rFonts w:hint="default"/>
                <w:color w:val="auto"/>
                <w:sz w:val="24"/>
                <w:szCs w:val="24"/>
                <w:highlight w:val="none"/>
                <w:lang w:val="en-US" w:eastAsia="zh-CN"/>
              </w:rPr>
              <w:t>)DHJC(声)字第(0</w:t>
            </w:r>
            <w:r>
              <w:rPr>
                <w:rFonts w:hint="eastAsia"/>
                <w:color w:val="auto"/>
                <w:sz w:val="24"/>
                <w:szCs w:val="24"/>
                <w:highlight w:val="none"/>
                <w:lang w:val="en-US" w:eastAsia="zh-CN"/>
              </w:rPr>
              <w:t>19</w:t>
            </w:r>
            <w:r>
              <w:rPr>
                <w:rFonts w:hint="default"/>
                <w:color w:val="auto"/>
                <w:sz w:val="24"/>
                <w:szCs w:val="24"/>
                <w:highlight w:val="none"/>
                <w:lang w:val="en-US" w:eastAsia="zh-CN"/>
              </w:rPr>
              <w:t>)号</w:t>
            </w:r>
            <w:r>
              <w:rPr>
                <w:rFonts w:hint="default"/>
                <w:sz w:val="24"/>
                <w:szCs w:val="24"/>
                <w:highlight w:val="none"/>
              </w:rPr>
              <w:t>），具体监测结果见下表。</w:t>
            </w:r>
          </w:p>
          <w:p>
            <w:pPr>
              <w:keepNext w:val="0"/>
              <w:keepLines w:val="0"/>
              <w:pageBreakBefore w:val="0"/>
              <w:widowControl w:val="0"/>
              <w:numPr>
                <w:ilvl w:val="0"/>
                <w:numId w:val="3"/>
              </w:numPr>
              <w:tabs>
                <w:tab w:val="clear" w:pos="420"/>
              </w:tabs>
              <w:kinsoku/>
              <w:wordWrap/>
              <w:overflowPunct/>
              <w:topLinePunct w:val="0"/>
              <w:autoSpaceDE/>
              <w:autoSpaceDN/>
              <w:bidi w:val="0"/>
              <w:adjustRightInd w:val="0"/>
              <w:snapToGrid w:val="0"/>
              <w:spacing w:line="500" w:lineRule="exact"/>
              <w:ind w:left="0" w:leftChars="0" w:hanging="5" w:firstLineChars="0"/>
              <w:jc w:val="center"/>
              <w:textAlignment w:val="auto"/>
              <w:rPr>
                <w:rFonts w:hint="default"/>
                <w:b/>
                <w:bCs/>
                <w:sz w:val="24"/>
                <w:szCs w:val="24"/>
                <w:highlight w:val="none"/>
              </w:rPr>
            </w:pPr>
            <w:r>
              <w:rPr>
                <w:rFonts w:hint="eastAsia"/>
                <w:b/>
                <w:bCs/>
                <w:sz w:val="24"/>
                <w:szCs w:val="24"/>
                <w:highlight w:val="none"/>
                <w:lang w:val="en-US" w:eastAsia="zh-CN"/>
              </w:rPr>
              <w:t>项目</w:t>
            </w:r>
            <w:r>
              <w:rPr>
                <w:rFonts w:hint="default"/>
                <w:b/>
                <w:bCs/>
                <w:sz w:val="24"/>
                <w:szCs w:val="24"/>
                <w:highlight w:val="none"/>
              </w:rPr>
              <w:t>所在地环境噪声监测数据  单位：dB（A）</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430"/>
              <w:gridCol w:w="1530"/>
              <w:gridCol w:w="2790"/>
              <w:gridCol w:w="1410"/>
              <w:gridCol w:w="13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430" w:type="dxa"/>
                  <w:noWrap w:val="0"/>
                  <w:vAlign w:val="center"/>
                </w:tcPr>
                <w:p>
                  <w:pPr>
                    <w:jc w:val="center"/>
                    <w:rPr>
                      <w:rFonts w:hint="default"/>
                      <w:b/>
                      <w:bCs/>
                      <w:sz w:val="21"/>
                      <w:szCs w:val="21"/>
                      <w:highlight w:val="none"/>
                    </w:rPr>
                  </w:pPr>
                  <w:r>
                    <w:rPr>
                      <w:rFonts w:hint="default"/>
                      <w:b/>
                      <w:bCs/>
                      <w:sz w:val="21"/>
                      <w:szCs w:val="21"/>
                      <w:highlight w:val="none"/>
                    </w:rPr>
                    <w:t>监测时段</w:t>
                  </w:r>
                </w:p>
              </w:tc>
              <w:tc>
                <w:tcPr>
                  <w:tcW w:w="1530" w:type="dxa"/>
                  <w:noWrap w:val="0"/>
                  <w:vAlign w:val="center"/>
                </w:tcPr>
                <w:p>
                  <w:pPr>
                    <w:jc w:val="center"/>
                    <w:rPr>
                      <w:rFonts w:hint="default"/>
                      <w:b/>
                      <w:bCs/>
                      <w:sz w:val="21"/>
                      <w:szCs w:val="21"/>
                      <w:highlight w:val="none"/>
                    </w:rPr>
                  </w:pPr>
                  <w:r>
                    <w:rPr>
                      <w:rFonts w:hint="default"/>
                      <w:b/>
                      <w:bCs/>
                      <w:sz w:val="21"/>
                      <w:szCs w:val="21"/>
                      <w:highlight w:val="none"/>
                    </w:rPr>
                    <w:t>点位编号</w:t>
                  </w:r>
                </w:p>
              </w:tc>
              <w:tc>
                <w:tcPr>
                  <w:tcW w:w="2790" w:type="dxa"/>
                  <w:tcBorders>
                    <w:right w:val="single" w:color="auto" w:sz="4" w:space="0"/>
                  </w:tcBorders>
                  <w:noWrap w:val="0"/>
                  <w:vAlign w:val="center"/>
                </w:tcPr>
                <w:p>
                  <w:pPr>
                    <w:jc w:val="center"/>
                    <w:rPr>
                      <w:rFonts w:hint="default"/>
                      <w:b/>
                      <w:bCs/>
                      <w:sz w:val="21"/>
                      <w:szCs w:val="21"/>
                      <w:highlight w:val="none"/>
                      <w:lang w:val="en-US" w:eastAsia="zh-CN"/>
                    </w:rPr>
                  </w:pPr>
                  <w:r>
                    <w:rPr>
                      <w:rFonts w:hint="eastAsia"/>
                      <w:b/>
                      <w:bCs/>
                      <w:sz w:val="21"/>
                      <w:szCs w:val="21"/>
                      <w:highlight w:val="none"/>
                      <w:lang w:val="en-US" w:eastAsia="zh-CN"/>
                    </w:rPr>
                    <w:t>检测点位</w:t>
                  </w:r>
                </w:p>
              </w:tc>
              <w:tc>
                <w:tcPr>
                  <w:tcW w:w="1410" w:type="dxa"/>
                  <w:tcBorders>
                    <w:left w:val="single" w:color="auto" w:sz="4" w:space="0"/>
                  </w:tcBorders>
                  <w:noWrap w:val="0"/>
                  <w:vAlign w:val="center"/>
                </w:tcPr>
                <w:p>
                  <w:pPr>
                    <w:jc w:val="center"/>
                    <w:rPr>
                      <w:rFonts w:hint="default"/>
                      <w:b/>
                      <w:bCs/>
                      <w:sz w:val="21"/>
                      <w:szCs w:val="21"/>
                      <w:highlight w:val="none"/>
                      <w:lang w:val="en-US" w:eastAsia="zh-CN"/>
                    </w:rPr>
                  </w:pPr>
                  <w:r>
                    <w:rPr>
                      <w:rFonts w:hint="eastAsia"/>
                      <w:b/>
                      <w:bCs/>
                      <w:sz w:val="21"/>
                      <w:szCs w:val="21"/>
                      <w:highlight w:val="none"/>
                      <w:lang w:val="en-US" w:eastAsia="zh-CN"/>
                    </w:rPr>
                    <w:t>等效噪声</w:t>
                  </w:r>
                </w:p>
              </w:tc>
              <w:tc>
                <w:tcPr>
                  <w:tcW w:w="1344" w:type="dxa"/>
                  <w:noWrap w:val="0"/>
                  <w:vAlign w:val="center"/>
                </w:tcPr>
                <w:p>
                  <w:pPr>
                    <w:jc w:val="center"/>
                    <w:rPr>
                      <w:rFonts w:hint="default"/>
                      <w:b/>
                      <w:bCs/>
                      <w:sz w:val="21"/>
                      <w:szCs w:val="21"/>
                      <w:highlight w:val="none"/>
                    </w:rPr>
                  </w:pPr>
                  <w:r>
                    <w:rPr>
                      <w:rFonts w:hint="default"/>
                      <w:b/>
                      <w:bCs/>
                      <w:sz w:val="21"/>
                      <w:szCs w:val="21"/>
                      <w:highlight w:val="none"/>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430" w:type="dxa"/>
                  <w:vMerge w:val="restart"/>
                  <w:noWrap w:val="0"/>
                  <w:vAlign w:val="center"/>
                </w:tcPr>
                <w:p>
                  <w:pPr>
                    <w:adjustRightInd w:val="0"/>
                    <w:snapToGrid w:val="0"/>
                    <w:jc w:val="center"/>
                    <w:rPr>
                      <w:rFonts w:hint="eastAsia" w:eastAsia="宋体"/>
                      <w:sz w:val="21"/>
                      <w:szCs w:val="21"/>
                      <w:highlight w:val="none"/>
                      <w:lang w:eastAsia="zh-CN"/>
                    </w:rPr>
                  </w:pPr>
                  <w:r>
                    <w:rPr>
                      <w:rFonts w:hint="default"/>
                      <w:sz w:val="21"/>
                      <w:szCs w:val="21"/>
                      <w:highlight w:val="none"/>
                    </w:rPr>
                    <w:t>昼间</w:t>
                  </w:r>
                </w:p>
              </w:tc>
              <w:tc>
                <w:tcPr>
                  <w:tcW w:w="1530" w:type="dxa"/>
                  <w:noWrap w:val="0"/>
                  <w:vAlign w:val="center"/>
                </w:tcPr>
                <w:p>
                  <w:pPr>
                    <w:adjustRightInd w:val="0"/>
                    <w:snapToGrid w:val="0"/>
                    <w:jc w:val="center"/>
                    <w:rPr>
                      <w:rFonts w:hint="default"/>
                      <w:sz w:val="21"/>
                      <w:szCs w:val="21"/>
                      <w:highlight w:val="none"/>
                    </w:rPr>
                  </w:pPr>
                  <w:r>
                    <w:rPr>
                      <w:rFonts w:hint="default"/>
                      <w:sz w:val="21"/>
                      <w:szCs w:val="21"/>
                      <w:highlight w:val="none"/>
                    </w:rPr>
                    <w:t>N1</w:t>
                  </w:r>
                </w:p>
              </w:tc>
              <w:tc>
                <w:tcPr>
                  <w:tcW w:w="2790" w:type="dxa"/>
                  <w:tcBorders>
                    <w:right w:val="single" w:color="auto" w:sz="4" w:space="0"/>
                  </w:tcBorders>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东边界外1米</w:t>
                  </w:r>
                </w:p>
              </w:tc>
              <w:tc>
                <w:tcPr>
                  <w:tcW w:w="1410" w:type="dxa"/>
                  <w:tcBorders>
                    <w:left w:val="single" w:color="auto" w:sz="4" w:space="0"/>
                  </w:tcBorders>
                  <w:noWrap w:val="0"/>
                  <w:vAlign w:val="center"/>
                </w:tcPr>
                <w:p>
                  <w:pPr>
                    <w:adjustRightInd w:val="0"/>
                    <w:snapToGrid w:val="0"/>
                    <w:jc w:val="center"/>
                    <w:rPr>
                      <w:rFonts w:hint="default" w:ascii="Times New Roman" w:hAnsi="Times New Roman" w:eastAsia="宋体"/>
                      <w:color w:val="auto"/>
                      <w:kern w:val="2"/>
                      <w:sz w:val="21"/>
                      <w:szCs w:val="21"/>
                      <w:highlight w:val="none"/>
                      <w:lang w:val="en-US" w:eastAsia="zh-CN" w:bidi="ar-SA"/>
                    </w:rPr>
                  </w:pPr>
                  <w:r>
                    <w:rPr>
                      <w:rFonts w:hint="eastAsia"/>
                      <w:color w:val="auto"/>
                      <w:sz w:val="21"/>
                      <w:szCs w:val="21"/>
                      <w:highlight w:val="none"/>
                      <w:lang w:val="en-US" w:eastAsia="zh-CN"/>
                    </w:rPr>
                    <w:t>47.6</w:t>
                  </w:r>
                </w:p>
              </w:tc>
              <w:tc>
                <w:tcPr>
                  <w:tcW w:w="1344" w:type="dxa"/>
                  <w:noWrap w:val="0"/>
                  <w:vAlign w:val="center"/>
                </w:tcPr>
                <w:p>
                  <w:pPr>
                    <w:adjustRightInd w:val="0"/>
                    <w:snapToGrid w:val="0"/>
                    <w:jc w:val="center"/>
                    <w:rPr>
                      <w:rFonts w:hint="default" w:eastAsia="宋体"/>
                      <w:sz w:val="21"/>
                      <w:szCs w:val="21"/>
                      <w:highlight w:val="none"/>
                      <w:lang w:val="en-US" w:eastAsia="zh-CN"/>
                    </w:rPr>
                  </w:pPr>
                  <w:r>
                    <w:rPr>
                      <w:rFonts w:hint="eastAsia"/>
                      <w:sz w:val="21"/>
                      <w:szCs w:val="21"/>
                      <w:highlight w:val="none"/>
                      <w:lang w:val="en-US" w:eastAsia="zh-CN"/>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430" w:type="dxa"/>
                  <w:vMerge w:val="continue"/>
                  <w:noWrap w:val="0"/>
                  <w:vAlign w:val="center"/>
                </w:tcPr>
                <w:p>
                  <w:pPr>
                    <w:adjustRightInd w:val="0"/>
                    <w:snapToGrid w:val="0"/>
                    <w:jc w:val="center"/>
                    <w:rPr>
                      <w:rFonts w:hint="default"/>
                      <w:sz w:val="21"/>
                      <w:szCs w:val="21"/>
                      <w:highlight w:val="none"/>
                    </w:rPr>
                  </w:pPr>
                </w:p>
              </w:tc>
              <w:tc>
                <w:tcPr>
                  <w:tcW w:w="1530" w:type="dxa"/>
                  <w:noWrap w:val="0"/>
                  <w:vAlign w:val="center"/>
                </w:tcPr>
                <w:p>
                  <w:pPr>
                    <w:adjustRightInd w:val="0"/>
                    <w:snapToGrid w:val="0"/>
                    <w:jc w:val="center"/>
                    <w:rPr>
                      <w:rFonts w:hint="default"/>
                      <w:sz w:val="21"/>
                      <w:szCs w:val="21"/>
                      <w:highlight w:val="none"/>
                    </w:rPr>
                  </w:pPr>
                  <w:r>
                    <w:rPr>
                      <w:rFonts w:hint="default"/>
                      <w:sz w:val="21"/>
                      <w:szCs w:val="21"/>
                      <w:highlight w:val="none"/>
                    </w:rPr>
                    <w:t>N2</w:t>
                  </w:r>
                </w:p>
              </w:tc>
              <w:tc>
                <w:tcPr>
                  <w:tcW w:w="2790" w:type="dxa"/>
                  <w:tcBorders>
                    <w:right w:val="single" w:color="auto" w:sz="4" w:space="0"/>
                  </w:tcBorders>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南边界外1米</w:t>
                  </w:r>
                </w:p>
              </w:tc>
              <w:tc>
                <w:tcPr>
                  <w:tcW w:w="1410" w:type="dxa"/>
                  <w:tcBorders>
                    <w:left w:val="single" w:color="auto" w:sz="4" w:space="0"/>
                  </w:tcBorders>
                  <w:noWrap w:val="0"/>
                  <w:vAlign w:val="center"/>
                </w:tcPr>
                <w:p>
                  <w:pPr>
                    <w:adjustRightInd w:val="0"/>
                    <w:snapToGrid w:val="0"/>
                    <w:jc w:val="center"/>
                    <w:rPr>
                      <w:rFonts w:hint="default" w:ascii="Times New Roman" w:hAnsi="Times New Roman" w:eastAsia="宋体"/>
                      <w:color w:val="auto"/>
                      <w:kern w:val="2"/>
                      <w:sz w:val="21"/>
                      <w:szCs w:val="21"/>
                      <w:highlight w:val="none"/>
                      <w:lang w:val="en-US" w:eastAsia="zh-CN" w:bidi="ar-SA"/>
                    </w:rPr>
                  </w:pPr>
                  <w:r>
                    <w:rPr>
                      <w:rFonts w:hint="eastAsia"/>
                      <w:color w:val="auto"/>
                      <w:sz w:val="21"/>
                      <w:szCs w:val="21"/>
                      <w:highlight w:val="none"/>
                      <w:lang w:val="en-US" w:eastAsia="zh-CN"/>
                    </w:rPr>
                    <w:t>48.8</w:t>
                  </w:r>
                </w:p>
              </w:tc>
              <w:tc>
                <w:tcPr>
                  <w:tcW w:w="1344" w:type="dxa"/>
                  <w:noWrap w:val="0"/>
                  <w:vAlign w:val="center"/>
                </w:tcPr>
                <w:p>
                  <w:pPr>
                    <w:adjustRightInd w:val="0"/>
                    <w:snapToGrid w:val="0"/>
                    <w:jc w:val="center"/>
                    <w:rPr>
                      <w:rFonts w:hint="default" w:eastAsia="宋体"/>
                      <w:sz w:val="21"/>
                      <w:szCs w:val="21"/>
                      <w:highlight w:val="none"/>
                      <w:lang w:val="en-US" w:eastAsia="zh-CN"/>
                    </w:rPr>
                  </w:pPr>
                  <w:r>
                    <w:rPr>
                      <w:rFonts w:hint="eastAsia"/>
                      <w:sz w:val="21"/>
                      <w:szCs w:val="21"/>
                      <w:lang w:val="en-US" w:eastAsia="zh-CN"/>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430" w:type="dxa"/>
                  <w:vMerge w:val="continue"/>
                  <w:noWrap w:val="0"/>
                  <w:vAlign w:val="center"/>
                </w:tcPr>
                <w:p>
                  <w:pPr>
                    <w:adjustRightInd w:val="0"/>
                    <w:snapToGrid w:val="0"/>
                    <w:jc w:val="center"/>
                    <w:rPr>
                      <w:rFonts w:hint="default"/>
                      <w:sz w:val="21"/>
                      <w:szCs w:val="21"/>
                      <w:highlight w:val="none"/>
                    </w:rPr>
                  </w:pPr>
                </w:p>
              </w:tc>
              <w:tc>
                <w:tcPr>
                  <w:tcW w:w="1530" w:type="dxa"/>
                  <w:noWrap w:val="0"/>
                  <w:vAlign w:val="center"/>
                </w:tcPr>
                <w:p>
                  <w:pPr>
                    <w:adjustRightInd w:val="0"/>
                    <w:snapToGrid w:val="0"/>
                    <w:jc w:val="center"/>
                    <w:rPr>
                      <w:rFonts w:hint="default"/>
                      <w:sz w:val="21"/>
                      <w:szCs w:val="21"/>
                      <w:highlight w:val="none"/>
                    </w:rPr>
                  </w:pPr>
                  <w:r>
                    <w:rPr>
                      <w:rFonts w:hint="default"/>
                      <w:sz w:val="21"/>
                      <w:szCs w:val="21"/>
                      <w:highlight w:val="none"/>
                    </w:rPr>
                    <w:t>N3</w:t>
                  </w:r>
                </w:p>
              </w:tc>
              <w:tc>
                <w:tcPr>
                  <w:tcW w:w="2790" w:type="dxa"/>
                  <w:tcBorders>
                    <w:right w:val="single" w:color="auto" w:sz="4" w:space="0"/>
                  </w:tcBorders>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西边界外1米</w:t>
                  </w:r>
                </w:p>
              </w:tc>
              <w:tc>
                <w:tcPr>
                  <w:tcW w:w="1410" w:type="dxa"/>
                  <w:tcBorders>
                    <w:left w:val="single" w:color="auto" w:sz="4" w:space="0"/>
                  </w:tcBorders>
                  <w:noWrap w:val="0"/>
                  <w:vAlign w:val="center"/>
                </w:tcPr>
                <w:p>
                  <w:pPr>
                    <w:adjustRightInd w:val="0"/>
                    <w:snapToGrid w:val="0"/>
                    <w:jc w:val="center"/>
                    <w:rPr>
                      <w:rFonts w:hint="default" w:ascii="Times New Roman" w:hAnsi="Times New Roman" w:eastAsia="宋体"/>
                      <w:color w:val="auto"/>
                      <w:kern w:val="2"/>
                      <w:sz w:val="21"/>
                      <w:szCs w:val="21"/>
                      <w:highlight w:val="none"/>
                      <w:lang w:val="en-US" w:eastAsia="zh-CN" w:bidi="ar-SA"/>
                    </w:rPr>
                  </w:pPr>
                  <w:r>
                    <w:rPr>
                      <w:rFonts w:hint="eastAsia"/>
                      <w:color w:val="auto"/>
                      <w:sz w:val="21"/>
                      <w:szCs w:val="21"/>
                      <w:highlight w:val="none"/>
                      <w:lang w:val="en-US" w:eastAsia="zh-CN"/>
                    </w:rPr>
                    <w:t>52.4</w:t>
                  </w:r>
                </w:p>
              </w:tc>
              <w:tc>
                <w:tcPr>
                  <w:tcW w:w="1344" w:type="dxa"/>
                  <w:noWrap w:val="0"/>
                  <w:vAlign w:val="center"/>
                </w:tcPr>
                <w:p>
                  <w:pPr>
                    <w:adjustRightInd w:val="0"/>
                    <w:snapToGrid w:val="0"/>
                    <w:jc w:val="center"/>
                    <w:rPr>
                      <w:rFonts w:hint="default" w:eastAsia="宋体"/>
                      <w:sz w:val="21"/>
                      <w:szCs w:val="21"/>
                      <w:highlight w:val="none"/>
                      <w:lang w:val="en-US" w:eastAsia="zh-CN"/>
                    </w:rPr>
                  </w:pPr>
                  <w:r>
                    <w:rPr>
                      <w:rFonts w:hint="eastAsia"/>
                      <w:sz w:val="21"/>
                      <w:szCs w:val="21"/>
                      <w:lang w:val="en-US" w:eastAsia="zh-CN"/>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430" w:type="dxa"/>
                  <w:vMerge w:val="continue"/>
                  <w:noWrap w:val="0"/>
                  <w:vAlign w:val="center"/>
                </w:tcPr>
                <w:p>
                  <w:pPr>
                    <w:adjustRightInd w:val="0"/>
                    <w:snapToGrid w:val="0"/>
                    <w:jc w:val="center"/>
                    <w:rPr>
                      <w:rFonts w:hint="default"/>
                      <w:sz w:val="21"/>
                      <w:szCs w:val="21"/>
                      <w:highlight w:val="none"/>
                    </w:rPr>
                  </w:pPr>
                </w:p>
              </w:tc>
              <w:tc>
                <w:tcPr>
                  <w:tcW w:w="1530" w:type="dxa"/>
                  <w:noWrap w:val="0"/>
                  <w:vAlign w:val="center"/>
                </w:tcPr>
                <w:p>
                  <w:pPr>
                    <w:adjustRightInd w:val="0"/>
                    <w:snapToGrid w:val="0"/>
                    <w:jc w:val="center"/>
                    <w:rPr>
                      <w:rFonts w:hint="default" w:ascii="Times New Roman" w:hAnsi="Times New Roman" w:eastAsia="宋体"/>
                      <w:kern w:val="2"/>
                      <w:sz w:val="21"/>
                      <w:szCs w:val="21"/>
                      <w:lang w:val="en-US" w:eastAsia="zh-CN" w:bidi="ar-SA"/>
                    </w:rPr>
                  </w:pPr>
                  <w:r>
                    <w:rPr>
                      <w:rFonts w:hint="default"/>
                      <w:sz w:val="21"/>
                      <w:szCs w:val="21"/>
                    </w:rPr>
                    <w:t>N4</w:t>
                  </w:r>
                </w:p>
              </w:tc>
              <w:tc>
                <w:tcPr>
                  <w:tcW w:w="2790" w:type="dxa"/>
                  <w:tcBorders>
                    <w:right w:val="single" w:color="auto" w:sz="4" w:space="0"/>
                  </w:tcBorders>
                  <w:noWrap w:val="0"/>
                  <w:vAlign w:val="center"/>
                </w:tcPr>
                <w:p>
                  <w:pPr>
                    <w:adjustRightInd w:val="0"/>
                    <w:snapToGrid w:val="0"/>
                    <w:jc w:val="center"/>
                    <w:rPr>
                      <w:rFonts w:hint="default" w:ascii="Times New Roman" w:hAnsi="Times New Roman" w:eastAsia="宋体"/>
                      <w:kern w:val="2"/>
                      <w:sz w:val="21"/>
                      <w:szCs w:val="21"/>
                      <w:lang w:val="en-US" w:eastAsia="zh-CN" w:bidi="ar-SA"/>
                    </w:rPr>
                  </w:pPr>
                  <w:r>
                    <w:rPr>
                      <w:rFonts w:hint="eastAsia"/>
                      <w:kern w:val="2"/>
                      <w:sz w:val="21"/>
                      <w:szCs w:val="21"/>
                      <w:lang w:val="en-US" w:eastAsia="zh-CN" w:bidi="ar-SA"/>
                    </w:rPr>
                    <w:t>北边界外1米</w:t>
                  </w:r>
                </w:p>
              </w:tc>
              <w:tc>
                <w:tcPr>
                  <w:tcW w:w="1410" w:type="dxa"/>
                  <w:tcBorders>
                    <w:left w:val="single" w:color="auto" w:sz="4" w:space="0"/>
                  </w:tcBorders>
                  <w:noWrap w:val="0"/>
                  <w:vAlign w:val="center"/>
                </w:tcPr>
                <w:p>
                  <w:pPr>
                    <w:adjustRightInd w:val="0"/>
                    <w:snapToGrid w:val="0"/>
                    <w:jc w:val="center"/>
                    <w:rPr>
                      <w:rFonts w:hint="default" w:ascii="Times New Roman" w:hAnsi="Times New Roman" w:eastAsia="宋体"/>
                      <w:color w:val="auto"/>
                      <w:kern w:val="2"/>
                      <w:sz w:val="21"/>
                      <w:szCs w:val="21"/>
                      <w:lang w:val="en-US" w:eastAsia="zh-CN" w:bidi="ar-SA"/>
                    </w:rPr>
                  </w:pPr>
                  <w:r>
                    <w:rPr>
                      <w:rFonts w:hint="eastAsia"/>
                      <w:color w:val="auto"/>
                      <w:kern w:val="2"/>
                      <w:sz w:val="21"/>
                      <w:szCs w:val="21"/>
                      <w:lang w:val="en-US" w:eastAsia="zh-CN" w:bidi="ar-SA"/>
                    </w:rPr>
                    <w:t>47.4</w:t>
                  </w:r>
                </w:p>
              </w:tc>
              <w:tc>
                <w:tcPr>
                  <w:tcW w:w="1344" w:type="dxa"/>
                  <w:noWrap w:val="0"/>
                  <w:vAlign w:val="center"/>
                </w:tcPr>
                <w:p>
                  <w:pPr>
                    <w:adjustRightInd w:val="0"/>
                    <w:snapToGrid w:val="0"/>
                    <w:jc w:val="center"/>
                    <w:rPr>
                      <w:rFonts w:hint="default" w:ascii="Times New Roman" w:hAnsi="Times New Roman" w:eastAsia="宋体"/>
                      <w:kern w:val="2"/>
                      <w:sz w:val="21"/>
                      <w:szCs w:val="21"/>
                      <w:lang w:val="en-US" w:eastAsia="zh-CN" w:bidi="ar-SA"/>
                    </w:rPr>
                  </w:pPr>
                  <w:r>
                    <w:rPr>
                      <w:rFonts w:hint="eastAsia"/>
                      <w:sz w:val="21"/>
                      <w:szCs w:val="21"/>
                      <w:lang w:val="en-US" w:eastAsia="zh-CN"/>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430" w:type="dxa"/>
                  <w:vMerge w:val="continue"/>
                  <w:noWrap w:val="0"/>
                  <w:vAlign w:val="center"/>
                </w:tcPr>
                <w:p>
                  <w:pPr>
                    <w:adjustRightInd w:val="0"/>
                    <w:snapToGrid w:val="0"/>
                    <w:jc w:val="center"/>
                    <w:rPr>
                      <w:rFonts w:hint="default"/>
                      <w:sz w:val="21"/>
                      <w:szCs w:val="21"/>
                    </w:rPr>
                  </w:pPr>
                </w:p>
              </w:tc>
              <w:tc>
                <w:tcPr>
                  <w:tcW w:w="1530" w:type="dxa"/>
                  <w:noWrap w:val="0"/>
                  <w:vAlign w:val="center"/>
                </w:tcPr>
                <w:p>
                  <w:pPr>
                    <w:adjustRightInd w:val="0"/>
                    <w:snapToGrid w:val="0"/>
                    <w:jc w:val="center"/>
                    <w:rPr>
                      <w:rFonts w:hint="default" w:eastAsia="宋体"/>
                      <w:sz w:val="21"/>
                      <w:szCs w:val="21"/>
                      <w:lang w:val="en-US" w:eastAsia="zh-CN"/>
                    </w:rPr>
                  </w:pPr>
                  <w:r>
                    <w:rPr>
                      <w:rFonts w:hint="eastAsia"/>
                      <w:sz w:val="21"/>
                      <w:szCs w:val="21"/>
                      <w:lang w:val="en-US" w:eastAsia="zh-CN"/>
                    </w:rPr>
                    <w:t>N5</w:t>
                  </w:r>
                </w:p>
              </w:tc>
              <w:tc>
                <w:tcPr>
                  <w:tcW w:w="2790" w:type="dxa"/>
                  <w:tcBorders>
                    <w:right w:val="single" w:color="auto" w:sz="4" w:space="0"/>
                  </w:tcBorders>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于坝村二十五组（散户）</w:t>
                  </w:r>
                </w:p>
              </w:tc>
              <w:tc>
                <w:tcPr>
                  <w:tcW w:w="1410" w:type="dxa"/>
                  <w:tcBorders>
                    <w:left w:val="single" w:color="auto" w:sz="4" w:space="0"/>
                  </w:tcBorders>
                  <w:noWrap w:val="0"/>
                  <w:vAlign w:val="center"/>
                </w:tcPr>
                <w:p>
                  <w:pPr>
                    <w:adjustRightInd w:val="0"/>
                    <w:snapToGrid w:val="0"/>
                    <w:jc w:val="center"/>
                    <w:rPr>
                      <w:rFonts w:hint="default" w:ascii="Times New Roman" w:hAnsi="Times New Roman" w:eastAsia="宋体"/>
                      <w:color w:val="auto"/>
                      <w:kern w:val="2"/>
                      <w:sz w:val="21"/>
                      <w:szCs w:val="21"/>
                      <w:lang w:val="en-US" w:eastAsia="zh-CN" w:bidi="ar-SA"/>
                    </w:rPr>
                  </w:pPr>
                  <w:r>
                    <w:rPr>
                      <w:rFonts w:hint="eastAsia"/>
                      <w:color w:val="auto"/>
                      <w:sz w:val="21"/>
                      <w:szCs w:val="21"/>
                      <w:lang w:val="en-US" w:eastAsia="zh-CN"/>
                    </w:rPr>
                    <w:t>47.5</w:t>
                  </w:r>
                </w:p>
              </w:tc>
              <w:tc>
                <w:tcPr>
                  <w:tcW w:w="1344" w:type="dxa"/>
                  <w:noWrap w:val="0"/>
                  <w:vAlign w:val="center"/>
                </w:tcPr>
                <w:p>
                  <w:pPr>
                    <w:adjustRightInd w:val="0"/>
                    <w:snapToGrid w:val="0"/>
                    <w:jc w:val="center"/>
                    <w:rPr>
                      <w:rFonts w:hint="default" w:eastAsia="宋体"/>
                      <w:sz w:val="21"/>
                      <w:szCs w:val="21"/>
                      <w:lang w:val="en-US" w:eastAsia="zh-CN"/>
                    </w:rPr>
                  </w:pPr>
                  <w:r>
                    <w:rPr>
                      <w:rFonts w:hint="eastAsia"/>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430" w:type="dxa"/>
                  <w:vMerge w:val="continue"/>
                  <w:noWrap w:val="0"/>
                  <w:vAlign w:val="center"/>
                </w:tcPr>
                <w:p>
                  <w:pPr>
                    <w:adjustRightInd w:val="0"/>
                    <w:snapToGrid w:val="0"/>
                    <w:jc w:val="center"/>
                    <w:rPr>
                      <w:rFonts w:hint="default"/>
                      <w:sz w:val="21"/>
                      <w:szCs w:val="21"/>
                    </w:rPr>
                  </w:pPr>
                </w:p>
              </w:tc>
              <w:tc>
                <w:tcPr>
                  <w:tcW w:w="1530" w:type="dxa"/>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N6</w:t>
                  </w:r>
                </w:p>
              </w:tc>
              <w:tc>
                <w:tcPr>
                  <w:tcW w:w="2790" w:type="dxa"/>
                  <w:tcBorders>
                    <w:right w:val="single" w:color="auto" w:sz="4" w:space="0"/>
                  </w:tcBorders>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于坝村二十九组</w:t>
                  </w:r>
                </w:p>
              </w:tc>
              <w:tc>
                <w:tcPr>
                  <w:tcW w:w="1410" w:type="dxa"/>
                  <w:tcBorders>
                    <w:left w:val="single" w:color="auto" w:sz="4" w:space="0"/>
                  </w:tcBorders>
                  <w:noWrap w:val="0"/>
                  <w:vAlign w:val="center"/>
                </w:tcPr>
                <w:p>
                  <w:pPr>
                    <w:adjustRightInd w:val="0"/>
                    <w:snapToGrid w:val="0"/>
                    <w:jc w:val="center"/>
                    <w:rPr>
                      <w:rFonts w:hint="default"/>
                      <w:color w:val="auto"/>
                      <w:sz w:val="21"/>
                      <w:szCs w:val="21"/>
                      <w:lang w:val="en-US" w:eastAsia="zh-CN"/>
                    </w:rPr>
                  </w:pPr>
                  <w:r>
                    <w:rPr>
                      <w:rFonts w:hint="eastAsia"/>
                      <w:color w:val="auto"/>
                      <w:sz w:val="21"/>
                      <w:szCs w:val="21"/>
                      <w:lang w:val="en-US" w:eastAsia="zh-CN"/>
                    </w:rPr>
                    <w:t>45.3</w:t>
                  </w:r>
                </w:p>
              </w:tc>
              <w:tc>
                <w:tcPr>
                  <w:tcW w:w="1344" w:type="dxa"/>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430" w:type="dxa"/>
                  <w:vMerge w:val="restart"/>
                  <w:noWrap w:val="0"/>
                  <w:vAlign w:val="center"/>
                </w:tcPr>
                <w:p>
                  <w:pPr>
                    <w:adjustRightInd w:val="0"/>
                    <w:snapToGrid w:val="0"/>
                    <w:jc w:val="center"/>
                    <w:rPr>
                      <w:rFonts w:hint="eastAsia" w:eastAsia="宋体"/>
                      <w:sz w:val="21"/>
                      <w:szCs w:val="21"/>
                      <w:lang w:val="en-US" w:eastAsia="zh-CN"/>
                    </w:rPr>
                  </w:pPr>
                  <w:r>
                    <w:rPr>
                      <w:rFonts w:hint="eastAsia"/>
                      <w:sz w:val="21"/>
                      <w:szCs w:val="21"/>
                      <w:lang w:val="en-US" w:eastAsia="zh-CN"/>
                    </w:rPr>
                    <w:t>夜间</w:t>
                  </w:r>
                </w:p>
              </w:tc>
              <w:tc>
                <w:tcPr>
                  <w:tcW w:w="1530" w:type="dxa"/>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N1</w:t>
                  </w:r>
                </w:p>
              </w:tc>
              <w:tc>
                <w:tcPr>
                  <w:tcW w:w="2790" w:type="dxa"/>
                  <w:tcBorders>
                    <w:right w:val="single" w:color="auto" w:sz="4" w:space="0"/>
                  </w:tcBorders>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东边界外1米</w:t>
                  </w:r>
                </w:p>
              </w:tc>
              <w:tc>
                <w:tcPr>
                  <w:tcW w:w="1410" w:type="dxa"/>
                  <w:tcBorders>
                    <w:left w:val="single" w:color="auto" w:sz="4" w:space="0"/>
                  </w:tcBorders>
                  <w:noWrap w:val="0"/>
                  <w:vAlign w:val="center"/>
                </w:tcPr>
                <w:p>
                  <w:pPr>
                    <w:adjustRightInd w:val="0"/>
                    <w:snapToGrid w:val="0"/>
                    <w:jc w:val="center"/>
                    <w:rPr>
                      <w:rFonts w:hint="default"/>
                      <w:color w:val="auto"/>
                      <w:sz w:val="21"/>
                      <w:szCs w:val="21"/>
                      <w:lang w:val="en-US" w:eastAsia="zh-CN"/>
                    </w:rPr>
                  </w:pPr>
                  <w:r>
                    <w:rPr>
                      <w:rFonts w:hint="eastAsia"/>
                      <w:color w:val="auto"/>
                      <w:sz w:val="21"/>
                      <w:szCs w:val="21"/>
                      <w:lang w:val="en-US" w:eastAsia="zh-CN"/>
                    </w:rPr>
                    <w:t>44.2</w:t>
                  </w:r>
                </w:p>
              </w:tc>
              <w:tc>
                <w:tcPr>
                  <w:tcW w:w="1344" w:type="dxa"/>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430" w:type="dxa"/>
                  <w:vMerge w:val="continue"/>
                  <w:noWrap w:val="0"/>
                  <w:vAlign w:val="center"/>
                </w:tcPr>
                <w:p>
                  <w:pPr>
                    <w:adjustRightInd w:val="0"/>
                    <w:snapToGrid w:val="0"/>
                    <w:jc w:val="center"/>
                    <w:rPr>
                      <w:rFonts w:hint="default"/>
                      <w:sz w:val="21"/>
                      <w:szCs w:val="21"/>
                    </w:rPr>
                  </w:pPr>
                </w:p>
              </w:tc>
              <w:tc>
                <w:tcPr>
                  <w:tcW w:w="1530" w:type="dxa"/>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N2</w:t>
                  </w:r>
                </w:p>
              </w:tc>
              <w:tc>
                <w:tcPr>
                  <w:tcW w:w="2790" w:type="dxa"/>
                  <w:tcBorders>
                    <w:right w:val="single" w:color="auto" w:sz="4" w:space="0"/>
                  </w:tcBorders>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南边界外1米</w:t>
                  </w:r>
                </w:p>
              </w:tc>
              <w:tc>
                <w:tcPr>
                  <w:tcW w:w="1410" w:type="dxa"/>
                  <w:tcBorders>
                    <w:left w:val="single" w:color="auto" w:sz="4" w:space="0"/>
                  </w:tcBorders>
                  <w:noWrap w:val="0"/>
                  <w:vAlign w:val="center"/>
                </w:tcPr>
                <w:p>
                  <w:pPr>
                    <w:adjustRightInd w:val="0"/>
                    <w:snapToGrid w:val="0"/>
                    <w:jc w:val="center"/>
                    <w:rPr>
                      <w:rFonts w:hint="default"/>
                      <w:color w:val="auto"/>
                      <w:sz w:val="21"/>
                      <w:szCs w:val="21"/>
                      <w:lang w:val="en-US" w:eastAsia="zh-CN"/>
                    </w:rPr>
                  </w:pPr>
                  <w:r>
                    <w:rPr>
                      <w:rFonts w:hint="eastAsia"/>
                      <w:color w:val="auto"/>
                      <w:sz w:val="21"/>
                      <w:szCs w:val="21"/>
                      <w:lang w:val="en-US" w:eastAsia="zh-CN"/>
                    </w:rPr>
                    <w:t>45.6</w:t>
                  </w:r>
                </w:p>
              </w:tc>
              <w:tc>
                <w:tcPr>
                  <w:tcW w:w="1344" w:type="dxa"/>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430" w:type="dxa"/>
                  <w:vMerge w:val="continue"/>
                  <w:noWrap w:val="0"/>
                  <w:vAlign w:val="center"/>
                </w:tcPr>
                <w:p>
                  <w:pPr>
                    <w:adjustRightInd w:val="0"/>
                    <w:snapToGrid w:val="0"/>
                    <w:jc w:val="center"/>
                    <w:rPr>
                      <w:rFonts w:hint="default"/>
                      <w:sz w:val="21"/>
                      <w:szCs w:val="21"/>
                    </w:rPr>
                  </w:pPr>
                </w:p>
              </w:tc>
              <w:tc>
                <w:tcPr>
                  <w:tcW w:w="1530" w:type="dxa"/>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N3</w:t>
                  </w:r>
                </w:p>
              </w:tc>
              <w:tc>
                <w:tcPr>
                  <w:tcW w:w="2790" w:type="dxa"/>
                  <w:tcBorders>
                    <w:right w:val="single" w:color="auto" w:sz="4" w:space="0"/>
                  </w:tcBorders>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西边界外1米</w:t>
                  </w:r>
                </w:p>
              </w:tc>
              <w:tc>
                <w:tcPr>
                  <w:tcW w:w="1410" w:type="dxa"/>
                  <w:tcBorders>
                    <w:left w:val="single" w:color="auto" w:sz="4" w:space="0"/>
                  </w:tcBorders>
                  <w:noWrap w:val="0"/>
                  <w:vAlign w:val="center"/>
                </w:tcPr>
                <w:p>
                  <w:pPr>
                    <w:adjustRightInd w:val="0"/>
                    <w:snapToGrid w:val="0"/>
                    <w:jc w:val="center"/>
                    <w:rPr>
                      <w:rFonts w:hint="default"/>
                      <w:color w:val="auto"/>
                      <w:sz w:val="21"/>
                      <w:szCs w:val="21"/>
                      <w:lang w:val="en-US" w:eastAsia="zh-CN"/>
                    </w:rPr>
                  </w:pPr>
                  <w:r>
                    <w:rPr>
                      <w:rFonts w:hint="eastAsia"/>
                      <w:color w:val="auto"/>
                      <w:sz w:val="21"/>
                      <w:szCs w:val="21"/>
                      <w:lang w:val="en-US" w:eastAsia="zh-CN"/>
                    </w:rPr>
                    <w:t>48.6</w:t>
                  </w:r>
                </w:p>
              </w:tc>
              <w:tc>
                <w:tcPr>
                  <w:tcW w:w="1344" w:type="dxa"/>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430" w:type="dxa"/>
                  <w:vMerge w:val="continue"/>
                  <w:noWrap w:val="0"/>
                  <w:vAlign w:val="center"/>
                </w:tcPr>
                <w:p>
                  <w:pPr>
                    <w:adjustRightInd w:val="0"/>
                    <w:snapToGrid w:val="0"/>
                    <w:jc w:val="center"/>
                    <w:rPr>
                      <w:rFonts w:hint="default"/>
                      <w:sz w:val="21"/>
                      <w:szCs w:val="21"/>
                    </w:rPr>
                  </w:pPr>
                </w:p>
              </w:tc>
              <w:tc>
                <w:tcPr>
                  <w:tcW w:w="1530" w:type="dxa"/>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N4</w:t>
                  </w:r>
                </w:p>
              </w:tc>
              <w:tc>
                <w:tcPr>
                  <w:tcW w:w="2790" w:type="dxa"/>
                  <w:tcBorders>
                    <w:right w:val="single" w:color="auto" w:sz="4" w:space="0"/>
                  </w:tcBorders>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北边界外1米</w:t>
                  </w:r>
                </w:p>
              </w:tc>
              <w:tc>
                <w:tcPr>
                  <w:tcW w:w="1410" w:type="dxa"/>
                  <w:tcBorders>
                    <w:left w:val="single" w:color="auto" w:sz="4" w:space="0"/>
                  </w:tcBorders>
                  <w:noWrap w:val="0"/>
                  <w:vAlign w:val="center"/>
                </w:tcPr>
                <w:p>
                  <w:pPr>
                    <w:adjustRightInd w:val="0"/>
                    <w:snapToGrid w:val="0"/>
                    <w:jc w:val="center"/>
                    <w:rPr>
                      <w:rFonts w:hint="default"/>
                      <w:color w:val="auto"/>
                      <w:sz w:val="21"/>
                      <w:szCs w:val="21"/>
                      <w:lang w:val="en-US" w:eastAsia="zh-CN"/>
                    </w:rPr>
                  </w:pPr>
                  <w:r>
                    <w:rPr>
                      <w:rFonts w:hint="eastAsia"/>
                      <w:color w:val="auto"/>
                      <w:sz w:val="21"/>
                      <w:szCs w:val="21"/>
                      <w:lang w:val="en-US" w:eastAsia="zh-CN"/>
                    </w:rPr>
                    <w:t>44.3</w:t>
                  </w:r>
                </w:p>
              </w:tc>
              <w:tc>
                <w:tcPr>
                  <w:tcW w:w="1344" w:type="dxa"/>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430" w:type="dxa"/>
                  <w:vMerge w:val="continue"/>
                  <w:noWrap w:val="0"/>
                  <w:vAlign w:val="center"/>
                </w:tcPr>
                <w:p>
                  <w:pPr>
                    <w:adjustRightInd w:val="0"/>
                    <w:snapToGrid w:val="0"/>
                    <w:jc w:val="center"/>
                    <w:rPr>
                      <w:rFonts w:hint="default"/>
                      <w:sz w:val="21"/>
                      <w:szCs w:val="21"/>
                    </w:rPr>
                  </w:pPr>
                </w:p>
              </w:tc>
              <w:tc>
                <w:tcPr>
                  <w:tcW w:w="1530" w:type="dxa"/>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N5</w:t>
                  </w:r>
                </w:p>
              </w:tc>
              <w:tc>
                <w:tcPr>
                  <w:tcW w:w="2790" w:type="dxa"/>
                  <w:tcBorders>
                    <w:right w:val="single" w:color="auto" w:sz="4" w:space="0"/>
                  </w:tcBorders>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于坝村二十五组（散户）</w:t>
                  </w:r>
                </w:p>
              </w:tc>
              <w:tc>
                <w:tcPr>
                  <w:tcW w:w="1410" w:type="dxa"/>
                  <w:tcBorders>
                    <w:left w:val="single" w:color="auto" w:sz="4" w:space="0"/>
                  </w:tcBorders>
                  <w:noWrap w:val="0"/>
                  <w:vAlign w:val="center"/>
                </w:tcPr>
                <w:p>
                  <w:pPr>
                    <w:adjustRightInd w:val="0"/>
                    <w:snapToGrid w:val="0"/>
                    <w:jc w:val="center"/>
                    <w:rPr>
                      <w:rFonts w:hint="default"/>
                      <w:color w:val="auto"/>
                      <w:sz w:val="21"/>
                      <w:szCs w:val="21"/>
                      <w:lang w:val="en-US" w:eastAsia="zh-CN"/>
                    </w:rPr>
                  </w:pPr>
                  <w:r>
                    <w:rPr>
                      <w:rFonts w:hint="eastAsia"/>
                      <w:color w:val="auto"/>
                      <w:sz w:val="21"/>
                      <w:szCs w:val="21"/>
                      <w:lang w:val="en-US" w:eastAsia="zh-CN"/>
                    </w:rPr>
                    <w:t>43.2</w:t>
                  </w:r>
                </w:p>
              </w:tc>
              <w:tc>
                <w:tcPr>
                  <w:tcW w:w="1344" w:type="dxa"/>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430" w:type="dxa"/>
                  <w:vMerge w:val="continue"/>
                  <w:noWrap w:val="0"/>
                  <w:vAlign w:val="center"/>
                </w:tcPr>
                <w:p>
                  <w:pPr>
                    <w:adjustRightInd w:val="0"/>
                    <w:snapToGrid w:val="0"/>
                    <w:jc w:val="center"/>
                    <w:rPr>
                      <w:rFonts w:hint="default"/>
                      <w:sz w:val="21"/>
                      <w:szCs w:val="21"/>
                    </w:rPr>
                  </w:pPr>
                </w:p>
              </w:tc>
              <w:tc>
                <w:tcPr>
                  <w:tcW w:w="1530" w:type="dxa"/>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N6</w:t>
                  </w:r>
                </w:p>
              </w:tc>
              <w:tc>
                <w:tcPr>
                  <w:tcW w:w="2790" w:type="dxa"/>
                  <w:tcBorders>
                    <w:right w:val="single" w:color="auto" w:sz="4" w:space="0"/>
                  </w:tcBorders>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于坝村二十九组</w:t>
                  </w:r>
                </w:p>
              </w:tc>
              <w:tc>
                <w:tcPr>
                  <w:tcW w:w="1410" w:type="dxa"/>
                  <w:tcBorders>
                    <w:left w:val="single" w:color="auto" w:sz="4" w:space="0"/>
                  </w:tcBorders>
                  <w:noWrap w:val="0"/>
                  <w:vAlign w:val="center"/>
                </w:tcPr>
                <w:p>
                  <w:pPr>
                    <w:adjustRightInd w:val="0"/>
                    <w:snapToGrid w:val="0"/>
                    <w:jc w:val="center"/>
                    <w:rPr>
                      <w:rFonts w:hint="default"/>
                      <w:color w:val="auto"/>
                      <w:sz w:val="21"/>
                      <w:szCs w:val="21"/>
                      <w:lang w:val="en-US" w:eastAsia="zh-CN"/>
                    </w:rPr>
                  </w:pPr>
                  <w:r>
                    <w:rPr>
                      <w:rFonts w:hint="eastAsia"/>
                      <w:color w:val="auto"/>
                      <w:sz w:val="21"/>
                      <w:szCs w:val="21"/>
                      <w:lang w:val="en-US" w:eastAsia="zh-CN"/>
                    </w:rPr>
                    <w:t>41.6</w:t>
                  </w:r>
                </w:p>
              </w:tc>
              <w:tc>
                <w:tcPr>
                  <w:tcW w:w="1344" w:type="dxa"/>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430" w:type="dxa"/>
                  <w:noWrap w:val="0"/>
                  <w:vAlign w:val="center"/>
                </w:tcPr>
                <w:p>
                  <w:pPr>
                    <w:adjustRightInd w:val="0"/>
                    <w:snapToGrid w:val="0"/>
                    <w:jc w:val="center"/>
                    <w:rPr>
                      <w:rFonts w:hint="default"/>
                      <w:sz w:val="21"/>
                      <w:szCs w:val="21"/>
                    </w:rPr>
                  </w:pPr>
                  <w:r>
                    <w:rPr>
                      <w:rFonts w:hint="default"/>
                      <w:sz w:val="21"/>
                      <w:szCs w:val="21"/>
                    </w:rPr>
                    <w:t>备注</w:t>
                  </w:r>
                </w:p>
              </w:tc>
              <w:tc>
                <w:tcPr>
                  <w:tcW w:w="7074" w:type="dxa"/>
                  <w:gridSpan w:val="4"/>
                  <w:noWrap w:val="0"/>
                  <w:vAlign w:val="center"/>
                </w:tcPr>
                <w:p>
                  <w:pPr>
                    <w:adjustRightInd w:val="0"/>
                    <w:snapToGrid w:val="0"/>
                    <w:jc w:val="center"/>
                    <w:rPr>
                      <w:rFonts w:hint="default" w:eastAsia="宋体"/>
                      <w:sz w:val="21"/>
                      <w:szCs w:val="21"/>
                      <w:lang w:val="en-US" w:eastAsia="zh-CN"/>
                    </w:rPr>
                  </w:pPr>
                  <w:r>
                    <w:rPr>
                      <w:rFonts w:hint="default"/>
                      <w:sz w:val="21"/>
                      <w:szCs w:val="21"/>
                    </w:rPr>
                    <w:t>检测期间，</w:t>
                  </w:r>
                  <w:r>
                    <w:rPr>
                      <w:rFonts w:hint="eastAsia"/>
                      <w:sz w:val="21"/>
                      <w:szCs w:val="21"/>
                      <w:lang w:val="en-US" w:eastAsia="zh-CN"/>
                    </w:rPr>
                    <w:t>昼间：天气晴，风速3.5m/s。夜间：天气晴，风速2.6m/s</w:t>
                  </w:r>
                </w:p>
              </w:tc>
            </w:tr>
          </w:tbl>
          <w:p>
            <w:pPr>
              <w:widowControl/>
              <w:autoSpaceDE w:val="0"/>
              <w:autoSpaceDN w:val="0"/>
              <w:spacing w:line="500" w:lineRule="exact"/>
              <w:ind w:firstLine="480" w:firstLineChars="200"/>
              <w:jc w:val="left"/>
              <w:rPr>
                <w:rFonts w:hint="default"/>
              </w:rPr>
            </w:pPr>
            <w:r>
              <w:rPr>
                <w:rFonts w:hint="default"/>
                <w:sz w:val="24"/>
                <w:szCs w:val="24"/>
              </w:rPr>
              <w:t>根据声环境质量监测结果分析，厂界监测点N1~N4</w:t>
            </w:r>
            <w:r>
              <w:rPr>
                <w:rFonts w:hint="eastAsia"/>
                <w:sz w:val="24"/>
                <w:szCs w:val="24"/>
                <w:lang w:val="en-US" w:eastAsia="zh-CN"/>
              </w:rPr>
              <w:t>监测值均符合</w:t>
            </w:r>
            <w:r>
              <w:rPr>
                <w:rFonts w:hint="default"/>
                <w:sz w:val="24"/>
                <w:szCs w:val="24"/>
              </w:rPr>
              <w:t>《声环境质量标准》（GB3096-2008）中的</w:t>
            </w:r>
            <w:r>
              <w:rPr>
                <w:rFonts w:hint="eastAsia"/>
                <w:color w:val="auto"/>
                <w:sz w:val="24"/>
                <w:szCs w:val="24"/>
                <w:lang w:val="en-US" w:eastAsia="zh-CN"/>
              </w:rPr>
              <w:t>3</w:t>
            </w:r>
            <w:r>
              <w:rPr>
                <w:rFonts w:hint="default"/>
                <w:sz w:val="24"/>
                <w:szCs w:val="24"/>
              </w:rPr>
              <w:t>类标准</w:t>
            </w:r>
            <w:r>
              <w:rPr>
                <w:rFonts w:hint="eastAsia"/>
                <w:sz w:val="24"/>
                <w:szCs w:val="24"/>
                <w:lang w:val="en-US" w:eastAsia="zh-CN"/>
              </w:rPr>
              <w:t>要求</w:t>
            </w:r>
            <w:r>
              <w:rPr>
                <w:rFonts w:hint="eastAsia"/>
                <w:sz w:val="24"/>
                <w:szCs w:val="24"/>
                <w:lang w:eastAsia="zh-CN"/>
              </w:rPr>
              <w:t>、</w:t>
            </w:r>
            <w:r>
              <w:rPr>
                <w:rFonts w:hint="eastAsia"/>
                <w:sz w:val="24"/>
                <w:szCs w:val="24"/>
                <w:lang w:val="en-US" w:eastAsia="zh-CN"/>
              </w:rPr>
              <w:t>敏感区</w:t>
            </w:r>
            <w:r>
              <w:rPr>
                <w:rFonts w:hint="default"/>
                <w:color w:val="000000"/>
                <w:sz w:val="24"/>
                <w:szCs w:val="24"/>
              </w:rPr>
              <w:t>监测点N</w:t>
            </w:r>
            <w:r>
              <w:rPr>
                <w:rFonts w:hint="eastAsia"/>
                <w:color w:val="000000"/>
                <w:sz w:val="24"/>
                <w:szCs w:val="24"/>
                <w:lang w:val="en-US" w:eastAsia="zh-CN"/>
              </w:rPr>
              <w:t>5、N6监测值</w:t>
            </w:r>
            <w:r>
              <w:rPr>
                <w:rFonts w:hint="default"/>
                <w:sz w:val="24"/>
                <w:szCs w:val="24"/>
              </w:rPr>
              <w:t>均符合《声环境质量标准》（GB3096-2008）中的</w:t>
            </w:r>
            <w:r>
              <w:rPr>
                <w:rFonts w:hint="eastAsia"/>
                <w:color w:val="auto"/>
                <w:sz w:val="24"/>
                <w:szCs w:val="24"/>
                <w:lang w:val="en-US" w:eastAsia="zh-CN"/>
              </w:rPr>
              <w:t>2</w:t>
            </w:r>
            <w:r>
              <w:rPr>
                <w:rFonts w:hint="default"/>
                <w:sz w:val="24"/>
                <w:szCs w:val="24"/>
              </w:rPr>
              <w:t>类标准要求。项目所在区域声环境质量良好。</w:t>
            </w:r>
          </w:p>
          <w:p>
            <w:pPr>
              <w:keepNext w:val="0"/>
              <w:keepLines w:val="0"/>
              <w:pageBreakBefore w:val="0"/>
              <w:widowControl w:val="0"/>
              <w:numPr>
                <w:ilvl w:val="0"/>
                <w:numId w:val="4"/>
              </w:numPr>
              <w:kinsoku/>
              <w:wordWrap/>
              <w:overflowPunct/>
              <w:topLinePunct w:val="0"/>
              <w:autoSpaceDE/>
              <w:autoSpaceDN/>
              <w:bidi w:val="0"/>
              <w:adjustRightInd w:val="0"/>
              <w:snapToGrid w:val="0"/>
              <w:spacing w:line="500" w:lineRule="exact"/>
              <w:ind w:firstLine="482" w:firstLineChars="200"/>
              <w:textAlignment w:val="auto"/>
              <w:rPr>
                <w:rFonts w:hint="default" w:eastAsiaTheme="majorEastAsia"/>
                <w:lang w:val="en-US" w:eastAsia="zh-CN"/>
              </w:rPr>
            </w:pPr>
            <w:r>
              <w:rPr>
                <w:rFonts w:hint="eastAsia"/>
                <w:b/>
                <w:bCs/>
                <w:kern w:val="0"/>
                <w:sz w:val="24"/>
                <w:szCs w:val="24"/>
              </w:rPr>
              <w:t>生态环境</w:t>
            </w:r>
          </w:p>
          <w:p>
            <w:pPr>
              <w:pStyle w:val="37"/>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ascii="Times New Roman" w:hAnsi="Times New Roman" w:eastAsia="宋体" w:cs="Times New Roman"/>
                <w:b/>
                <w:bCs/>
                <w:color w:val="000000"/>
                <w:kern w:val="0"/>
                <w:lang w:bidi="ar"/>
              </w:rPr>
            </w:pPr>
            <w:r>
              <w:rPr>
                <w:rFonts w:hint="default" w:ascii="Times New Roman" w:hAnsi="Times New Roman" w:eastAsia="宋体" w:cs="Times New Roman"/>
                <w:color w:val="000000"/>
              </w:rPr>
              <w:t>根据《南通市生态环境状况公报》（202</w:t>
            </w:r>
            <w:r>
              <w:rPr>
                <w:rFonts w:hint="default" w:ascii="Times New Roman" w:hAnsi="Times New Roman" w:eastAsia="宋体" w:cs="Times New Roman"/>
                <w:color w:val="000000"/>
                <w:lang w:val="en-US" w:eastAsia="zh-CN"/>
              </w:rPr>
              <w:t>2</w:t>
            </w:r>
            <w:r>
              <w:rPr>
                <w:rFonts w:hint="default" w:ascii="Times New Roman" w:hAnsi="Times New Roman" w:eastAsia="宋体" w:cs="Times New Roman"/>
                <w:color w:val="000000"/>
              </w:rPr>
              <w:t>）可知，</w:t>
            </w:r>
            <w:r>
              <w:rPr>
                <w:rFonts w:hint="default" w:ascii="Times New Roman" w:hAnsi="Times New Roman" w:eastAsia="宋体" w:cs="Times New Roman"/>
                <w:color w:val="000000"/>
                <w:kern w:val="0"/>
                <w:lang w:bidi="ar"/>
              </w:rPr>
              <w:t>全市生态格局指数为33.63，生态功能指数为74.42，生物多样性指数为67.33，生态胁迫指数为72.04。依据《区域生态质量评价办法（试行）》（环监测〔2021〕99号）评价，全市生态质量指数（EQI）为53.98，生态质量类型为三类。通州区、崇川区、海门区、四县（市）生态质量指数分别为：通州区44.65、崇川区46.33、海门区52.43、如东59.23、启东55.10、如皋55.31、海安57.92，通州区、崇川区、海门区生态质量类型为三类，如东、启东、如皋、海安生态质量类型为二类。</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b/>
                <w:bCs/>
                <w:kern w:val="0"/>
                <w:sz w:val="24"/>
                <w:szCs w:val="24"/>
              </w:rPr>
            </w:pPr>
            <w:r>
              <w:rPr>
                <w:rFonts w:hint="eastAsia"/>
                <w:b/>
                <w:bCs/>
                <w:kern w:val="0"/>
                <w:sz w:val="24"/>
                <w:szCs w:val="24"/>
              </w:rPr>
              <w:t>5、地下水环境质量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szCs w:val="24"/>
              </w:rPr>
            </w:pPr>
            <w:r>
              <w:rPr>
                <w:sz w:val="24"/>
                <w:szCs w:val="24"/>
              </w:rPr>
              <w:t>根据《南通市生态环境状况公报》（</w:t>
            </w:r>
            <w:r>
              <w:rPr>
                <w:rFonts w:hint="eastAsia"/>
                <w:sz w:val="24"/>
                <w:szCs w:val="24"/>
              </w:rPr>
              <w:t>202</w:t>
            </w:r>
            <w:r>
              <w:rPr>
                <w:rFonts w:hint="eastAsia"/>
                <w:sz w:val="24"/>
                <w:szCs w:val="24"/>
                <w:lang w:val="en-US" w:eastAsia="zh-CN"/>
              </w:rPr>
              <w:t>2</w:t>
            </w:r>
            <w:r>
              <w:rPr>
                <w:sz w:val="24"/>
                <w:szCs w:val="24"/>
              </w:rPr>
              <w:t>）</w:t>
            </w:r>
            <w:r>
              <w:rPr>
                <w:rFonts w:hint="eastAsia"/>
                <w:sz w:val="24"/>
                <w:szCs w:val="24"/>
              </w:rPr>
              <w:t>可知</w:t>
            </w:r>
            <w:r>
              <w:rPr>
                <w:sz w:val="24"/>
                <w:szCs w:val="24"/>
              </w:rPr>
              <w:t>，</w:t>
            </w:r>
            <w:r>
              <w:rPr>
                <w:rFonts w:ascii="宋体" w:hAnsi="宋体" w:eastAsia="宋体" w:cs="宋体"/>
                <w:sz w:val="24"/>
                <w:szCs w:val="24"/>
              </w:rPr>
              <w:t xml:space="preserve">南通市共有 </w:t>
            </w:r>
            <w:r>
              <w:rPr>
                <w:rFonts w:hint="eastAsia"/>
                <w:sz w:val="24"/>
                <w:szCs w:val="24"/>
              </w:rPr>
              <w:t xml:space="preserve">16 </w:t>
            </w:r>
            <w:r>
              <w:rPr>
                <w:rFonts w:ascii="宋体" w:hAnsi="宋体" w:eastAsia="宋体" w:cs="宋体"/>
                <w:sz w:val="24"/>
                <w:szCs w:val="24"/>
              </w:rPr>
              <w:t>个国家考核断面，均达到或优于《地表水环境质量标准》（</w:t>
            </w:r>
            <w:r>
              <w:rPr>
                <w:rFonts w:hint="eastAsia"/>
                <w:sz w:val="24"/>
                <w:szCs w:val="24"/>
              </w:rPr>
              <w:t>GB3838-2002）Ⅲ</w:t>
            </w:r>
            <w:r>
              <w:rPr>
                <w:rFonts w:ascii="宋体" w:hAnsi="宋体" w:eastAsia="宋体" w:cs="宋体"/>
                <w:sz w:val="24"/>
                <w:szCs w:val="24"/>
              </w:rPr>
              <w:t>类标准。</w:t>
            </w:r>
            <w:r>
              <w:rPr>
                <w:rFonts w:hint="eastAsia"/>
                <w:sz w:val="24"/>
                <w:szCs w:val="24"/>
              </w:rPr>
              <w:t xml:space="preserve">55 </w:t>
            </w:r>
            <w:r>
              <w:rPr>
                <w:rFonts w:ascii="宋体" w:hAnsi="宋体" w:eastAsia="宋体" w:cs="宋体"/>
                <w:sz w:val="24"/>
                <w:szCs w:val="24"/>
              </w:rPr>
              <w:t>个省考以上断面中，碾砣港闸、聚南大桥、营船港闸、通吕二号桥、东湖桥等</w:t>
            </w:r>
            <w:r>
              <w:rPr>
                <w:rFonts w:hint="eastAsia"/>
                <w:sz w:val="24"/>
                <w:szCs w:val="24"/>
              </w:rPr>
              <w:t>18</w:t>
            </w:r>
            <w:r>
              <w:rPr>
                <w:rFonts w:ascii="宋体" w:hAnsi="宋体" w:eastAsia="宋体" w:cs="宋体"/>
                <w:sz w:val="24"/>
                <w:szCs w:val="24"/>
              </w:rPr>
              <w:t>个断面水质符合</w:t>
            </w:r>
            <w:r>
              <w:rPr>
                <w:rFonts w:hint="eastAsia"/>
                <w:sz w:val="24"/>
                <w:szCs w:val="24"/>
              </w:rPr>
              <w:t>Ⅱ</w:t>
            </w:r>
            <w:r>
              <w:rPr>
                <w:rFonts w:ascii="宋体" w:hAnsi="宋体" w:eastAsia="宋体" w:cs="宋体"/>
                <w:sz w:val="24"/>
                <w:szCs w:val="24"/>
              </w:rPr>
              <w:t xml:space="preserve">类标准，孙窑大桥、嫩江路桥、新江海河桥、团结新大桥等 </w:t>
            </w:r>
            <w:r>
              <w:rPr>
                <w:rFonts w:hint="eastAsia"/>
                <w:sz w:val="24"/>
                <w:szCs w:val="24"/>
              </w:rPr>
              <w:t xml:space="preserve">37 </w:t>
            </w:r>
            <w:r>
              <w:rPr>
                <w:rFonts w:ascii="宋体" w:hAnsi="宋体" w:eastAsia="宋体" w:cs="宋体"/>
                <w:sz w:val="24"/>
                <w:szCs w:val="24"/>
              </w:rPr>
              <w:t>个断面水质符合</w:t>
            </w:r>
            <w:r>
              <w:rPr>
                <w:rFonts w:hint="default" w:ascii="Times New Roman" w:hAnsi="Times New Roman" w:cs="Times New Roman"/>
                <w:sz w:val="24"/>
                <w:szCs w:val="24"/>
              </w:rPr>
              <w:t>Ⅲ</w:t>
            </w:r>
            <w:r>
              <w:rPr>
                <w:rFonts w:ascii="宋体" w:hAnsi="宋体" w:eastAsia="宋体" w:cs="宋体"/>
                <w:sz w:val="24"/>
                <w:szCs w:val="24"/>
              </w:rPr>
              <w:t>类标准，优</w:t>
            </w:r>
            <w:r>
              <w:rPr>
                <w:rFonts w:hint="default" w:ascii="Times New Roman" w:hAnsi="Times New Roman" w:cs="Times New Roman"/>
                <w:sz w:val="24"/>
                <w:szCs w:val="24"/>
              </w:rPr>
              <w:t>Ⅲ</w:t>
            </w:r>
            <w:r>
              <w:rPr>
                <w:rFonts w:ascii="宋体" w:hAnsi="宋体" w:eastAsia="宋体" w:cs="宋体"/>
                <w:sz w:val="24"/>
                <w:szCs w:val="24"/>
              </w:rPr>
              <w:t>类比例</w:t>
            </w:r>
            <w:r>
              <w:rPr>
                <w:rFonts w:hint="default" w:ascii="Times New Roman" w:hAnsi="Times New Roman" w:eastAsia="宋体" w:cs="Times New Roman"/>
                <w:sz w:val="24"/>
                <w:szCs w:val="24"/>
              </w:rPr>
              <w:t>100%</w:t>
            </w:r>
            <w:r>
              <w:rPr>
                <w:rFonts w:ascii="宋体" w:hAnsi="宋体" w:eastAsia="宋体" w:cs="宋体"/>
                <w:sz w:val="24"/>
                <w:szCs w:val="24"/>
              </w:rPr>
              <w:t xml:space="preserve">，高于省定 </w:t>
            </w:r>
            <w:r>
              <w:rPr>
                <w:rFonts w:hint="default" w:ascii="Times New Roman" w:hAnsi="Times New Roman" w:eastAsia="宋体" w:cs="Times New Roman"/>
                <w:sz w:val="24"/>
                <w:szCs w:val="24"/>
              </w:rPr>
              <w:t>94.5%</w:t>
            </w:r>
            <w:r>
              <w:rPr>
                <w:rFonts w:ascii="宋体" w:hAnsi="宋体" w:eastAsia="宋体" w:cs="宋体"/>
                <w:sz w:val="24"/>
                <w:szCs w:val="24"/>
              </w:rPr>
              <w:t>的考核标准；无</w:t>
            </w:r>
            <w:r>
              <w:rPr>
                <w:rFonts w:hint="default" w:ascii="Times New Roman" w:hAnsi="Times New Roman" w:eastAsia="宋体" w:cs="Times New Roman"/>
                <w:sz w:val="24"/>
                <w:szCs w:val="24"/>
              </w:rPr>
              <w:t>Ⅴ</w:t>
            </w:r>
            <w:r>
              <w:rPr>
                <w:rFonts w:ascii="宋体" w:hAnsi="宋体" w:eastAsia="宋体" w:cs="宋体"/>
                <w:sz w:val="24"/>
                <w:szCs w:val="24"/>
              </w:rPr>
              <w:t>类和劣</w:t>
            </w:r>
            <w:r>
              <w:rPr>
                <w:rFonts w:hint="default" w:ascii="Times New Roman" w:hAnsi="Times New Roman" w:eastAsia="宋体" w:cs="Times New Roman"/>
                <w:sz w:val="24"/>
                <w:szCs w:val="24"/>
              </w:rPr>
              <w:t>Ⅴ</w:t>
            </w:r>
            <w:r>
              <w:rPr>
                <w:rFonts w:ascii="宋体" w:hAnsi="宋体" w:eastAsia="宋体" w:cs="宋体"/>
                <w:sz w:val="24"/>
                <w:szCs w:val="24"/>
              </w:rPr>
              <w:t>类断面。</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sz w:val="24"/>
                <w:szCs w:val="24"/>
              </w:rPr>
            </w:pPr>
            <w:r>
              <w:rPr>
                <w:rFonts w:hint="default" w:ascii="Times New Roman" w:hAnsi="Times New Roman" w:eastAsia="宋体" w:cs="Times New Roman"/>
                <w:sz w:val="24"/>
                <w:szCs w:val="24"/>
              </w:rPr>
              <w:t>2022</w:t>
            </w:r>
            <w:r>
              <w:rPr>
                <w:rFonts w:ascii="宋体" w:hAnsi="宋体" w:eastAsia="宋体" w:cs="宋体"/>
                <w:sz w:val="24"/>
                <w:szCs w:val="24"/>
              </w:rPr>
              <w:t xml:space="preserve"> 年，南通市国、省控 </w:t>
            </w:r>
            <w:r>
              <w:rPr>
                <w:rFonts w:hint="default" w:ascii="Times New Roman" w:hAnsi="Times New Roman" w:eastAsia="宋体" w:cs="Times New Roman"/>
                <w:sz w:val="24"/>
                <w:szCs w:val="24"/>
              </w:rPr>
              <w:t>19</w:t>
            </w:r>
            <w:r>
              <w:rPr>
                <w:rFonts w:ascii="宋体" w:hAnsi="宋体" w:eastAsia="宋体" w:cs="宋体"/>
                <w:sz w:val="24"/>
                <w:szCs w:val="24"/>
              </w:rPr>
              <w:t xml:space="preserve"> 个地下水区域监测点位水质满足</w:t>
            </w:r>
            <w:r>
              <w:rPr>
                <w:rFonts w:hint="default" w:ascii="Times New Roman" w:hAnsi="Times New Roman" w:eastAsia="宋体" w:cs="Times New Roman"/>
                <w:sz w:val="24"/>
                <w:szCs w:val="24"/>
              </w:rPr>
              <w:t>Ⅳ</w:t>
            </w:r>
            <w:r>
              <w:rPr>
                <w:rFonts w:ascii="宋体" w:hAnsi="宋体" w:eastAsia="宋体" w:cs="宋体"/>
                <w:sz w:val="24"/>
                <w:szCs w:val="24"/>
              </w:rPr>
              <w:t xml:space="preserve">类及以上标准的 </w:t>
            </w:r>
            <w:r>
              <w:rPr>
                <w:rFonts w:hint="default" w:ascii="Times New Roman" w:hAnsi="Times New Roman" w:eastAsia="宋体" w:cs="Times New Roman"/>
                <w:sz w:val="24"/>
                <w:szCs w:val="24"/>
              </w:rPr>
              <w:t>14</w:t>
            </w:r>
            <w:r>
              <w:rPr>
                <w:rFonts w:ascii="宋体" w:hAnsi="宋体" w:eastAsia="宋体" w:cs="宋体"/>
                <w:sz w:val="24"/>
                <w:szCs w:val="24"/>
              </w:rPr>
              <w:t xml:space="preserve"> 个，占比</w:t>
            </w:r>
            <w:r>
              <w:rPr>
                <w:rFonts w:hint="default" w:ascii="Times New Roman" w:hAnsi="Times New Roman" w:eastAsia="宋体" w:cs="Times New Roman"/>
                <w:sz w:val="24"/>
                <w:szCs w:val="24"/>
              </w:rPr>
              <w:t>73.7%</w:t>
            </w:r>
            <w:r>
              <w:rPr>
                <w:rFonts w:ascii="宋体" w:hAnsi="宋体" w:eastAsia="宋体" w:cs="宋体"/>
                <w:sz w:val="24"/>
                <w:szCs w:val="24"/>
              </w:rPr>
              <w:t>，水质为</w:t>
            </w:r>
            <w:r>
              <w:rPr>
                <w:rFonts w:hint="default" w:ascii="Times New Roman" w:hAnsi="Times New Roman" w:eastAsia="宋体" w:cs="Times New Roman"/>
                <w:sz w:val="24"/>
                <w:szCs w:val="24"/>
              </w:rPr>
              <w:t>Ⅴ</w:t>
            </w:r>
            <w:r>
              <w:rPr>
                <w:rFonts w:ascii="宋体" w:hAnsi="宋体" w:eastAsia="宋体" w:cs="宋体"/>
                <w:sz w:val="24"/>
                <w:szCs w:val="24"/>
              </w:rPr>
              <w:t>类的</w:t>
            </w:r>
            <w:r>
              <w:rPr>
                <w:rFonts w:hint="default" w:ascii="Times New Roman" w:hAnsi="Times New Roman" w:eastAsia="宋体" w:cs="Times New Roman"/>
                <w:sz w:val="24"/>
                <w:szCs w:val="24"/>
              </w:rPr>
              <w:t>5</w:t>
            </w:r>
            <w:r>
              <w:rPr>
                <w:rFonts w:ascii="宋体" w:hAnsi="宋体" w:eastAsia="宋体" w:cs="宋体"/>
                <w:sz w:val="24"/>
                <w:szCs w:val="24"/>
              </w:rPr>
              <w:t xml:space="preserve">个，占比 </w:t>
            </w:r>
            <w:r>
              <w:rPr>
                <w:rFonts w:hint="default" w:ascii="Times New Roman" w:hAnsi="Times New Roman" w:eastAsia="宋体" w:cs="Times New Roman"/>
                <w:sz w:val="24"/>
                <w:szCs w:val="24"/>
              </w:rPr>
              <w:t>26.3%</w:t>
            </w:r>
            <w:r>
              <w:rPr>
                <w:rFonts w:ascii="宋体" w:hAnsi="宋体" w:eastAsia="宋体" w:cs="宋体"/>
                <w:sz w:val="24"/>
                <w:szCs w:val="24"/>
              </w:rPr>
              <w:t>，地下水水质总体保持稳定。</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b/>
                <w:bCs/>
                <w:sz w:val="24"/>
                <w:szCs w:val="24"/>
              </w:rPr>
            </w:pPr>
            <w:r>
              <w:rPr>
                <w:rFonts w:hint="eastAsia"/>
                <w:b/>
                <w:bCs/>
                <w:sz w:val="24"/>
                <w:szCs w:val="24"/>
              </w:rPr>
              <w:t>6、土壤环境质量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kern w:val="0"/>
                <w:sz w:val="24"/>
              </w:rPr>
            </w:pPr>
            <w:r>
              <w:rPr>
                <w:sz w:val="24"/>
                <w:szCs w:val="24"/>
              </w:rPr>
              <w:t>根据《南通市生态环境状况公报》（</w:t>
            </w:r>
            <w:r>
              <w:rPr>
                <w:rFonts w:hint="eastAsia"/>
                <w:sz w:val="24"/>
                <w:szCs w:val="24"/>
              </w:rPr>
              <w:t>202</w:t>
            </w:r>
            <w:r>
              <w:rPr>
                <w:rFonts w:hint="eastAsia"/>
                <w:sz w:val="24"/>
                <w:szCs w:val="24"/>
                <w:lang w:val="en-US" w:eastAsia="zh-CN"/>
              </w:rPr>
              <w:t>2</w:t>
            </w:r>
            <w:r>
              <w:rPr>
                <w:sz w:val="24"/>
                <w:szCs w:val="24"/>
              </w:rPr>
              <w:t>）</w:t>
            </w:r>
            <w:r>
              <w:rPr>
                <w:rFonts w:hint="eastAsia"/>
                <w:sz w:val="24"/>
                <w:szCs w:val="24"/>
              </w:rPr>
              <w:t>可知</w:t>
            </w:r>
            <w:r>
              <w:rPr>
                <w:sz w:val="24"/>
                <w:szCs w:val="24"/>
              </w:rPr>
              <w:t>，</w:t>
            </w:r>
            <w:r>
              <w:rPr>
                <w:rFonts w:hint="default" w:ascii="Times New Roman" w:hAnsi="Times New Roman" w:eastAsia="宋体" w:cs="Times New Roman"/>
                <w:sz w:val="24"/>
                <w:szCs w:val="24"/>
              </w:rPr>
              <w:t>2022</w:t>
            </w:r>
            <w:r>
              <w:rPr>
                <w:rFonts w:ascii="宋体" w:hAnsi="宋体" w:eastAsia="宋体" w:cs="宋体"/>
                <w:sz w:val="24"/>
                <w:szCs w:val="24"/>
              </w:rPr>
              <w:t xml:space="preserve"> 年，对全市</w:t>
            </w:r>
            <w:r>
              <w:rPr>
                <w:rFonts w:hint="default" w:ascii="Times New Roman" w:hAnsi="Times New Roman" w:eastAsia="宋体" w:cs="Times New Roman"/>
                <w:sz w:val="24"/>
                <w:szCs w:val="24"/>
              </w:rPr>
              <w:t xml:space="preserve"> 24</w:t>
            </w:r>
            <w:r>
              <w:rPr>
                <w:rFonts w:ascii="宋体" w:hAnsi="宋体" w:eastAsia="宋体" w:cs="宋体"/>
                <w:sz w:val="24"/>
                <w:szCs w:val="24"/>
              </w:rPr>
              <w:t xml:space="preserve"> 家企业周边共</w:t>
            </w:r>
            <w:r>
              <w:rPr>
                <w:rFonts w:hint="default" w:ascii="Times New Roman" w:hAnsi="Times New Roman" w:eastAsia="宋体" w:cs="Times New Roman"/>
                <w:sz w:val="24"/>
                <w:szCs w:val="24"/>
              </w:rPr>
              <w:t xml:space="preserve">30 </w:t>
            </w:r>
            <w:r>
              <w:rPr>
                <w:rFonts w:ascii="宋体" w:hAnsi="宋体" w:eastAsia="宋体" w:cs="宋体"/>
                <w:sz w:val="24"/>
                <w:szCs w:val="24"/>
              </w:rPr>
              <w:t xml:space="preserve">个国家网一般风险监控点开展了例行监测，监测点位分布于海安市、如东县、启东市、如皋市四个县级辖区之内，均为农用地监测点位。监测结果表明：全市 </w:t>
            </w:r>
            <w:r>
              <w:rPr>
                <w:rFonts w:hint="default" w:ascii="Times New Roman" w:hAnsi="Times New Roman" w:eastAsia="宋体" w:cs="Times New Roman"/>
                <w:sz w:val="24"/>
                <w:szCs w:val="24"/>
              </w:rPr>
              <w:t>26</w:t>
            </w:r>
            <w:r>
              <w:rPr>
                <w:rFonts w:ascii="宋体" w:hAnsi="宋体" w:eastAsia="宋体" w:cs="宋体"/>
                <w:sz w:val="24"/>
                <w:szCs w:val="24"/>
              </w:rPr>
              <w:t xml:space="preserve"> 个国家网一般风险控制点土壤监测指标低于相应的风险筛选值，土壤环境质量总体较好。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40" w:hRule="atLeast"/>
          <w:jc w:val="center"/>
        </w:trPr>
        <w:tc>
          <w:tcPr>
            <w:tcW w:w="245" w:type="pct"/>
            <w:tcBorders>
              <w:tl2br w:val="nil"/>
              <w:tr2bl w:val="nil"/>
            </w:tcBorders>
            <w:vAlign w:val="center"/>
          </w:tcPr>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保护</w:t>
            </w:r>
          </w:p>
          <w:p>
            <w:pPr>
              <w:adjustRightInd w:val="0"/>
              <w:snapToGrid w:val="0"/>
              <w:jc w:val="center"/>
              <w:rPr>
                <w:kern w:val="0"/>
                <w:sz w:val="24"/>
              </w:rPr>
            </w:pPr>
            <w:r>
              <w:rPr>
                <w:kern w:val="0"/>
                <w:sz w:val="24"/>
              </w:rPr>
              <w:t>目标</w:t>
            </w:r>
          </w:p>
        </w:tc>
        <w:tc>
          <w:tcPr>
            <w:tcW w:w="4754" w:type="pct"/>
            <w:tcBorders>
              <w:tl2br w:val="nil"/>
              <w:tr2bl w:val="nil"/>
            </w:tcBorders>
            <w:vAlign w:val="center"/>
          </w:tcPr>
          <w:p>
            <w:pPr>
              <w:keepNext w:val="0"/>
              <w:keepLines w:val="0"/>
              <w:pageBreakBefore w:val="0"/>
              <w:widowControl w:val="0"/>
              <w:kinsoku/>
              <w:wordWrap/>
              <w:overflowPunct/>
              <w:topLinePunct w:val="0"/>
              <w:autoSpaceDE/>
              <w:autoSpaceDN/>
              <w:bidi w:val="0"/>
              <w:spacing w:line="500" w:lineRule="exact"/>
              <w:ind w:firstLine="482" w:firstLineChars="200"/>
              <w:textAlignment w:val="auto"/>
              <w:rPr>
                <w:b/>
                <w:bCs/>
                <w:sz w:val="24"/>
                <w:szCs w:val="24"/>
              </w:rPr>
            </w:pPr>
            <w:r>
              <w:rPr>
                <w:rFonts w:hint="eastAsia"/>
                <w:b/>
                <w:bCs/>
                <w:sz w:val="24"/>
                <w:szCs w:val="24"/>
              </w:rPr>
              <w:t>1、大气环境</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kern w:val="0"/>
                <w:sz w:val="24"/>
              </w:rPr>
            </w:pPr>
            <w:r>
              <w:rPr>
                <w:rFonts w:hint="eastAsia" w:ascii="Times New Roman" w:hAnsi="Times New Roman" w:eastAsia="宋体" w:cs="Times New Roman"/>
                <w:sz w:val="24"/>
                <w:szCs w:val="24"/>
              </w:rPr>
              <w:t>本项目</w:t>
            </w:r>
            <w:r>
              <w:rPr>
                <w:rFonts w:ascii="Times New Roman" w:hAnsi="Times New Roman" w:eastAsia="宋体" w:cs="Times New Roman"/>
                <w:sz w:val="24"/>
                <w:szCs w:val="24"/>
              </w:rPr>
              <w:t>位于</w:t>
            </w:r>
            <w:r>
              <w:rPr>
                <w:rFonts w:hint="eastAsia" w:ascii="Times New Roman" w:hAnsi="Times New Roman" w:eastAsia="宋体" w:cs="Times New Roman"/>
                <w:sz w:val="24"/>
                <w:szCs w:val="24"/>
              </w:rPr>
              <w:t>海安市大公镇科技产业园开发大道606号23幢</w:t>
            </w:r>
            <w:r>
              <w:rPr>
                <w:rFonts w:ascii="Times New Roman" w:hAnsi="Times New Roman" w:eastAsia="宋体" w:cs="Times New Roman"/>
                <w:sz w:val="24"/>
                <w:szCs w:val="24"/>
              </w:rPr>
              <w:t>，根据</w:t>
            </w:r>
            <w:r>
              <w:rPr>
                <w:sz w:val="24"/>
                <w:szCs w:val="24"/>
              </w:rPr>
              <w:t>现场勘查，</w:t>
            </w:r>
            <w:r>
              <w:rPr>
                <w:rFonts w:hint="eastAsia"/>
                <w:sz w:val="24"/>
                <w:szCs w:val="24"/>
              </w:rPr>
              <w:t>本项目</w:t>
            </w:r>
            <w:r>
              <w:rPr>
                <w:sz w:val="24"/>
                <w:szCs w:val="24"/>
              </w:rPr>
              <w:t>周边500m范围内大气环境保护目标</w:t>
            </w:r>
            <w:r>
              <w:rPr>
                <w:rFonts w:hint="eastAsia"/>
                <w:sz w:val="24"/>
                <w:szCs w:val="24"/>
                <w:lang w:val="en-US" w:eastAsia="zh-CN"/>
              </w:rPr>
              <w:t>如下</w:t>
            </w:r>
            <w:r>
              <w:rPr>
                <w:sz w:val="24"/>
                <w:szCs w:val="24"/>
              </w:rPr>
              <w:t>。</w:t>
            </w:r>
          </w:p>
          <w:p>
            <w:pPr>
              <w:keepNext w:val="0"/>
              <w:keepLines w:val="0"/>
              <w:pageBreakBefore w:val="0"/>
              <w:widowControl w:val="0"/>
              <w:numPr>
                <w:ilvl w:val="0"/>
                <w:numId w:val="3"/>
              </w:numPr>
              <w:tabs>
                <w:tab w:val="clear" w:pos="420"/>
              </w:tabs>
              <w:kinsoku/>
              <w:wordWrap/>
              <w:overflowPunct/>
              <w:topLinePunct w:val="0"/>
              <w:autoSpaceDE/>
              <w:autoSpaceDN/>
              <w:bidi w:val="0"/>
              <w:adjustRightInd w:val="0"/>
              <w:snapToGrid w:val="0"/>
              <w:spacing w:line="500" w:lineRule="exact"/>
              <w:ind w:left="0" w:leftChars="0" w:hanging="5" w:firstLineChars="0"/>
              <w:jc w:val="center"/>
              <w:textAlignment w:val="auto"/>
              <w:rPr>
                <w:rFonts w:hint="default" w:eastAsia="宋体"/>
                <w:b/>
                <w:bCs/>
                <w:kern w:val="0"/>
                <w:sz w:val="24"/>
                <w:lang w:val="en-US" w:eastAsia="zh-CN"/>
              </w:rPr>
            </w:pPr>
            <w:r>
              <w:rPr>
                <w:rFonts w:hint="eastAsia"/>
                <w:b/>
                <w:bCs/>
                <w:kern w:val="0"/>
                <w:sz w:val="24"/>
                <w:lang w:val="en-US" w:eastAsia="zh-CN"/>
              </w:rPr>
              <w:t>本项目大气保护环境目标一览表</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02"/>
              <w:gridCol w:w="1170"/>
              <w:gridCol w:w="1125"/>
              <w:gridCol w:w="653"/>
              <w:gridCol w:w="1384"/>
              <w:gridCol w:w="770"/>
              <w:gridCol w:w="737"/>
              <w:gridCol w:w="10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bCs/>
                      <w:kern w:val="0"/>
                      <w:sz w:val="21"/>
                      <w:szCs w:val="21"/>
                      <w:vertAlign w:val="baseline"/>
                      <w:lang w:val="en-US" w:eastAsia="zh-CN"/>
                    </w:rPr>
                  </w:pPr>
                  <w:r>
                    <w:rPr>
                      <w:rFonts w:hint="eastAsia"/>
                      <w:b/>
                      <w:bCs/>
                      <w:kern w:val="0"/>
                      <w:sz w:val="21"/>
                      <w:szCs w:val="21"/>
                      <w:vertAlign w:val="baseline"/>
                      <w:lang w:val="en-US" w:eastAsia="zh-CN"/>
                    </w:rPr>
                    <w:t>名称</w:t>
                  </w:r>
                </w:p>
              </w:tc>
              <w:tc>
                <w:tcPr>
                  <w:tcW w:w="229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bCs/>
                      <w:kern w:val="0"/>
                      <w:sz w:val="21"/>
                      <w:szCs w:val="21"/>
                      <w:vertAlign w:val="baseline"/>
                      <w:lang w:val="en-US" w:eastAsia="zh-CN"/>
                    </w:rPr>
                  </w:pPr>
                  <w:r>
                    <w:rPr>
                      <w:rFonts w:hint="eastAsia"/>
                      <w:b/>
                      <w:bCs/>
                      <w:kern w:val="0"/>
                      <w:sz w:val="21"/>
                      <w:szCs w:val="21"/>
                      <w:vertAlign w:val="baseline"/>
                      <w:lang w:val="en-US" w:eastAsia="zh-CN"/>
                    </w:rPr>
                    <w:t>经纬度</w:t>
                  </w:r>
                </w:p>
              </w:tc>
              <w:tc>
                <w:tcPr>
                  <w:tcW w:w="6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kern w:val="0"/>
                      <w:sz w:val="21"/>
                      <w:szCs w:val="21"/>
                      <w:vertAlign w:val="baseline"/>
                      <w:lang w:val="en-US" w:eastAsia="zh-CN"/>
                    </w:rPr>
                  </w:pPr>
                  <w:r>
                    <w:rPr>
                      <w:rFonts w:hint="eastAsia"/>
                      <w:b/>
                      <w:bCs/>
                      <w:kern w:val="0"/>
                      <w:sz w:val="21"/>
                      <w:szCs w:val="21"/>
                      <w:vertAlign w:val="baseline"/>
                      <w:lang w:val="en-US" w:eastAsia="zh-CN"/>
                    </w:rPr>
                    <w:t>保护对象</w:t>
                  </w:r>
                </w:p>
              </w:tc>
              <w:tc>
                <w:tcPr>
                  <w:tcW w:w="138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kern w:val="0"/>
                      <w:sz w:val="21"/>
                      <w:szCs w:val="21"/>
                      <w:vertAlign w:val="baseline"/>
                      <w:lang w:val="en-US" w:eastAsia="zh-CN"/>
                    </w:rPr>
                  </w:pPr>
                  <w:r>
                    <w:rPr>
                      <w:rFonts w:hint="eastAsia"/>
                      <w:b/>
                      <w:bCs/>
                      <w:kern w:val="0"/>
                      <w:sz w:val="21"/>
                      <w:szCs w:val="21"/>
                      <w:vertAlign w:val="baseline"/>
                      <w:lang w:val="en-US" w:eastAsia="zh-CN"/>
                    </w:rPr>
                    <w:t>保护内容</w:t>
                  </w:r>
                </w:p>
              </w:tc>
              <w:tc>
                <w:tcPr>
                  <w:tcW w:w="77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kern w:val="0"/>
                      <w:sz w:val="21"/>
                      <w:szCs w:val="21"/>
                      <w:vertAlign w:val="baseline"/>
                      <w:lang w:val="en-US" w:eastAsia="zh-CN"/>
                    </w:rPr>
                  </w:pPr>
                  <w:r>
                    <w:rPr>
                      <w:rFonts w:hint="eastAsia"/>
                      <w:b/>
                      <w:bCs/>
                      <w:kern w:val="0"/>
                      <w:sz w:val="21"/>
                      <w:szCs w:val="21"/>
                      <w:vertAlign w:val="baseline"/>
                      <w:lang w:val="en-US" w:eastAsia="zh-CN"/>
                    </w:rPr>
                    <w:t>环境功能区</w:t>
                  </w:r>
                </w:p>
              </w:tc>
              <w:tc>
                <w:tcPr>
                  <w:tcW w:w="7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kern w:val="0"/>
                      <w:sz w:val="21"/>
                      <w:szCs w:val="21"/>
                      <w:vertAlign w:val="baseline"/>
                      <w:lang w:val="en-US" w:eastAsia="zh-CN"/>
                    </w:rPr>
                  </w:pPr>
                  <w:r>
                    <w:rPr>
                      <w:rFonts w:hint="eastAsia"/>
                      <w:b/>
                      <w:bCs/>
                      <w:kern w:val="0"/>
                      <w:sz w:val="21"/>
                      <w:szCs w:val="21"/>
                      <w:vertAlign w:val="baseline"/>
                      <w:lang w:val="en-US" w:eastAsia="zh-CN"/>
                    </w:rPr>
                    <w:t>相对厂址方位</w:t>
                  </w:r>
                </w:p>
              </w:tc>
              <w:tc>
                <w:tcPr>
                  <w:tcW w:w="106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kern w:val="0"/>
                      <w:sz w:val="21"/>
                      <w:szCs w:val="21"/>
                      <w:vertAlign w:val="baseline"/>
                      <w:lang w:val="en-US" w:eastAsia="zh-CN"/>
                    </w:rPr>
                  </w:pPr>
                  <w:r>
                    <w:rPr>
                      <w:rFonts w:hint="eastAsia"/>
                      <w:b/>
                      <w:bCs/>
                      <w:kern w:val="0"/>
                      <w:sz w:val="21"/>
                      <w:szCs w:val="21"/>
                      <w:vertAlign w:val="baseline"/>
                      <w:lang w:val="en-US" w:eastAsia="zh-CN"/>
                    </w:rPr>
                    <w:t>相对厂界距离（m）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kern w:val="0"/>
                      <w:sz w:val="21"/>
                      <w:szCs w:val="21"/>
                      <w:vertAlign w:val="baseline"/>
                    </w:rPr>
                  </w:pPr>
                </w:p>
              </w:tc>
              <w:tc>
                <w:tcPr>
                  <w:tcW w:w="11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bCs/>
                      <w:kern w:val="0"/>
                      <w:sz w:val="21"/>
                      <w:szCs w:val="21"/>
                      <w:vertAlign w:val="baseline"/>
                      <w:lang w:val="en-US" w:eastAsia="zh-CN"/>
                    </w:rPr>
                  </w:pPr>
                  <w:r>
                    <w:rPr>
                      <w:rFonts w:hint="eastAsia"/>
                      <w:b/>
                      <w:bCs/>
                      <w:kern w:val="0"/>
                      <w:sz w:val="21"/>
                      <w:szCs w:val="21"/>
                      <w:vertAlign w:val="baseline"/>
                      <w:lang w:val="en-US" w:eastAsia="zh-CN"/>
                    </w:rPr>
                    <w:t>经度</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bCs/>
                      <w:kern w:val="0"/>
                      <w:sz w:val="21"/>
                      <w:szCs w:val="21"/>
                      <w:vertAlign w:val="baseline"/>
                      <w:lang w:val="en-US" w:eastAsia="zh-CN"/>
                    </w:rPr>
                  </w:pPr>
                  <w:r>
                    <w:rPr>
                      <w:rFonts w:hint="eastAsia"/>
                      <w:b/>
                      <w:bCs/>
                      <w:kern w:val="0"/>
                      <w:sz w:val="21"/>
                      <w:szCs w:val="21"/>
                      <w:vertAlign w:val="baseline"/>
                      <w:lang w:val="en-US" w:eastAsia="zh-CN"/>
                    </w:rPr>
                    <w:t>纬度</w:t>
                  </w:r>
                </w:p>
              </w:tc>
              <w:tc>
                <w:tcPr>
                  <w:tcW w:w="6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kern w:val="0"/>
                      <w:sz w:val="21"/>
                      <w:szCs w:val="21"/>
                      <w:vertAlign w:val="baseline"/>
                    </w:rPr>
                  </w:pPr>
                </w:p>
              </w:tc>
              <w:tc>
                <w:tcPr>
                  <w:tcW w:w="13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kern w:val="0"/>
                      <w:sz w:val="21"/>
                      <w:szCs w:val="21"/>
                      <w:vertAlign w:val="baseline"/>
                    </w:rPr>
                  </w:pPr>
                </w:p>
              </w:tc>
              <w:tc>
                <w:tcPr>
                  <w:tcW w:w="7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kern w:val="0"/>
                      <w:sz w:val="21"/>
                      <w:szCs w:val="21"/>
                      <w:vertAlign w:val="baseline"/>
                    </w:rPr>
                  </w:pPr>
                </w:p>
              </w:tc>
              <w:tc>
                <w:tcPr>
                  <w:tcW w:w="7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kern w:val="0"/>
                      <w:sz w:val="21"/>
                      <w:szCs w:val="21"/>
                      <w:vertAlign w:val="baseline"/>
                    </w:rPr>
                  </w:pPr>
                </w:p>
              </w:tc>
              <w:tc>
                <w:tcPr>
                  <w:tcW w:w="10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kern w:val="0"/>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于坝村十七组</w:t>
                  </w:r>
                </w:p>
              </w:tc>
              <w:tc>
                <w:tcPr>
                  <w:tcW w:w="11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120.527631</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32.596899</w:t>
                  </w:r>
                </w:p>
              </w:tc>
              <w:tc>
                <w:tcPr>
                  <w:tcW w:w="6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居住区</w:t>
                  </w: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约50户/150人</w:t>
                  </w:r>
                </w:p>
              </w:tc>
              <w:tc>
                <w:tcPr>
                  <w:tcW w:w="77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kern w:val="0"/>
                      <w:sz w:val="21"/>
                      <w:szCs w:val="21"/>
                      <w:vertAlign w:val="baseline"/>
                      <w:lang w:val="en-US" w:eastAsia="zh-CN"/>
                    </w:rPr>
                  </w:pPr>
                  <w:r>
                    <w:rPr>
                      <w:rFonts w:hint="eastAsia"/>
                      <w:kern w:val="0"/>
                      <w:sz w:val="21"/>
                      <w:szCs w:val="21"/>
                      <w:vertAlign w:val="baseline"/>
                      <w:lang w:val="en-US" w:eastAsia="zh-CN"/>
                    </w:rPr>
                    <w:t>二类区</w:t>
                  </w:r>
                </w:p>
              </w:tc>
              <w:tc>
                <w:tcPr>
                  <w:tcW w:w="7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SW</w:t>
                  </w:r>
                </w:p>
              </w:tc>
              <w:tc>
                <w:tcPr>
                  <w:tcW w:w="10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183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于坝村十八组</w:t>
                  </w:r>
                </w:p>
              </w:tc>
              <w:tc>
                <w:tcPr>
                  <w:tcW w:w="11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120.532459</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32.596084</w:t>
                  </w:r>
                </w:p>
              </w:tc>
              <w:tc>
                <w:tcPr>
                  <w:tcW w:w="6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约42户/126人</w:t>
                  </w:r>
                </w:p>
              </w:tc>
              <w:tc>
                <w:tcPr>
                  <w:tcW w:w="7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p>
              </w:tc>
              <w:tc>
                <w:tcPr>
                  <w:tcW w:w="7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S</w:t>
                  </w:r>
                </w:p>
              </w:tc>
              <w:tc>
                <w:tcPr>
                  <w:tcW w:w="10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166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于坝村二十五组</w:t>
                  </w:r>
                </w:p>
              </w:tc>
              <w:tc>
                <w:tcPr>
                  <w:tcW w:w="11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120.531997</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32.597393</w:t>
                  </w:r>
                </w:p>
              </w:tc>
              <w:tc>
                <w:tcPr>
                  <w:tcW w:w="6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约50户/150人</w:t>
                  </w:r>
                </w:p>
              </w:tc>
              <w:tc>
                <w:tcPr>
                  <w:tcW w:w="7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p>
              </w:tc>
              <w:tc>
                <w:tcPr>
                  <w:tcW w:w="7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kern w:val="0"/>
                      <w:sz w:val="21"/>
                      <w:szCs w:val="21"/>
                      <w:vertAlign w:val="baseline"/>
                      <w:lang w:val="en-US" w:eastAsia="zh-CN"/>
                    </w:rPr>
                    <w:t>W</w:t>
                  </w:r>
                </w:p>
              </w:tc>
              <w:tc>
                <w:tcPr>
                  <w:tcW w:w="10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kern w:val="0"/>
                      <w:sz w:val="21"/>
                      <w:szCs w:val="21"/>
                      <w:vertAlign w:val="baseline"/>
                      <w:lang w:val="en-US" w:eastAsia="zh-CN"/>
                    </w:rPr>
                  </w:pPr>
                  <w:r>
                    <w:rPr>
                      <w:rFonts w:hint="eastAsia" w:cs="Times New Roman"/>
                      <w:color w:val="000000"/>
                      <w:kern w:val="2"/>
                      <w:sz w:val="21"/>
                      <w:szCs w:val="21"/>
                      <w:lang w:val="en-US" w:eastAsia="zh-CN" w:bidi="ar-SA"/>
                    </w:rPr>
                    <w:t>于坝村二十五组（散户）</w:t>
                  </w:r>
                </w:p>
              </w:tc>
              <w:tc>
                <w:tcPr>
                  <w:tcW w:w="11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kern w:val="0"/>
                      <w:sz w:val="21"/>
                      <w:szCs w:val="21"/>
                      <w:vertAlign w:val="baseline"/>
                      <w:lang w:val="en-US" w:eastAsia="zh-CN"/>
                    </w:rPr>
                  </w:pPr>
                  <w:r>
                    <w:rPr>
                      <w:rFonts w:hint="eastAsia"/>
                      <w:kern w:val="0"/>
                      <w:sz w:val="21"/>
                      <w:szCs w:val="21"/>
                      <w:vertAlign w:val="baseline"/>
                      <w:lang w:val="en-US" w:eastAsia="zh-CN"/>
                    </w:rPr>
                    <w:t>120.529186</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kern w:val="0"/>
                      <w:sz w:val="21"/>
                      <w:szCs w:val="21"/>
                      <w:vertAlign w:val="baseline"/>
                      <w:lang w:val="en-US" w:eastAsia="zh-CN"/>
                    </w:rPr>
                  </w:pPr>
                  <w:r>
                    <w:rPr>
                      <w:rFonts w:hint="eastAsia"/>
                      <w:kern w:val="0"/>
                      <w:sz w:val="21"/>
                      <w:szCs w:val="21"/>
                      <w:vertAlign w:val="baseline"/>
                      <w:lang w:val="en-US" w:eastAsia="zh-CN"/>
                    </w:rPr>
                    <w:t>32.598210</w:t>
                  </w:r>
                </w:p>
              </w:tc>
              <w:tc>
                <w:tcPr>
                  <w:tcW w:w="6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kern w:val="0"/>
                      <w:sz w:val="21"/>
                      <w:szCs w:val="21"/>
                      <w:vertAlign w:val="baseline"/>
                      <w:lang w:val="en-US" w:eastAsia="zh-CN"/>
                    </w:rPr>
                  </w:pPr>
                  <w:r>
                    <w:rPr>
                      <w:rFonts w:hint="eastAsia"/>
                      <w:kern w:val="0"/>
                      <w:sz w:val="21"/>
                      <w:szCs w:val="21"/>
                      <w:vertAlign w:val="baseline"/>
                      <w:lang w:val="en-US" w:eastAsia="zh-CN"/>
                    </w:rPr>
                    <w:t>1户/3人</w:t>
                  </w:r>
                </w:p>
              </w:tc>
              <w:tc>
                <w:tcPr>
                  <w:tcW w:w="7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p>
              </w:tc>
              <w:tc>
                <w:tcPr>
                  <w:tcW w:w="7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kern w:val="0"/>
                      <w:sz w:val="21"/>
                      <w:szCs w:val="21"/>
                      <w:vertAlign w:val="baseline"/>
                      <w:lang w:val="en-US" w:eastAsia="zh-CN"/>
                    </w:rPr>
                  </w:pPr>
                  <w:r>
                    <w:rPr>
                      <w:rFonts w:hint="eastAsia"/>
                      <w:kern w:val="0"/>
                      <w:sz w:val="21"/>
                      <w:szCs w:val="21"/>
                      <w:vertAlign w:val="baseline"/>
                      <w:lang w:val="en-US" w:eastAsia="zh-CN"/>
                    </w:rPr>
                    <w:t>SW</w:t>
                  </w:r>
                </w:p>
              </w:tc>
              <w:tc>
                <w:tcPr>
                  <w:tcW w:w="10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kern w:val="0"/>
                      <w:sz w:val="21"/>
                      <w:szCs w:val="21"/>
                      <w:vertAlign w:val="baseline"/>
                      <w:lang w:val="en-US" w:eastAsia="zh-CN"/>
                    </w:rPr>
                  </w:pPr>
                  <w:r>
                    <w:rPr>
                      <w:rFonts w:hint="eastAsia"/>
                      <w:kern w:val="0"/>
                      <w:sz w:val="21"/>
                      <w:szCs w:val="21"/>
                      <w:vertAlign w:val="baseli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于坝村二十九组</w:t>
                  </w:r>
                </w:p>
              </w:tc>
              <w:tc>
                <w:tcPr>
                  <w:tcW w:w="11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120.526976</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32.598015</w:t>
                  </w:r>
                </w:p>
              </w:tc>
              <w:tc>
                <w:tcPr>
                  <w:tcW w:w="6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约60户/180人</w:t>
                  </w:r>
                </w:p>
              </w:tc>
              <w:tc>
                <w:tcPr>
                  <w:tcW w:w="7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p>
              </w:tc>
              <w:tc>
                <w:tcPr>
                  <w:tcW w:w="7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S</w:t>
                  </w:r>
                </w:p>
              </w:tc>
              <w:tc>
                <w:tcPr>
                  <w:tcW w:w="10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于坝村二十八组</w:t>
                  </w:r>
                </w:p>
              </w:tc>
              <w:tc>
                <w:tcPr>
                  <w:tcW w:w="11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120.530066</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32.603165</w:t>
                  </w:r>
                </w:p>
              </w:tc>
              <w:tc>
                <w:tcPr>
                  <w:tcW w:w="6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约15户/45人</w:t>
                  </w:r>
                </w:p>
              </w:tc>
              <w:tc>
                <w:tcPr>
                  <w:tcW w:w="7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 w:val="21"/>
                      <w:szCs w:val="21"/>
                      <w:vertAlign w:val="baseline"/>
                    </w:rPr>
                  </w:pPr>
                </w:p>
              </w:tc>
              <w:tc>
                <w:tcPr>
                  <w:tcW w:w="7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kern w:val="0"/>
                      <w:sz w:val="21"/>
                      <w:szCs w:val="21"/>
                      <w:vertAlign w:val="baseline"/>
                      <w:lang w:val="en-US" w:eastAsia="zh-CN"/>
                    </w:rPr>
                  </w:pPr>
                  <w:r>
                    <w:rPr>
                      <w:rFonts w:hint="eastAsia"/>
                      <w:kern w:val="0"/>
                      <w:sz w:val="21"/>
                      <w:szCs w:val="21"/>
                      <w:vertAlign w:val="baseline"/>
                      <w:lang w:val="en-US" w:eastAsia="zh-CN"/>
                    </w:rPr>
                    <w:t>N</w:t>
                  </w:r>
                </w:p>
              </w:tc>
              <w:tc>
                <w:tcPr>
                  <w:tcW w:w="10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kern w:val="0"/>
                      <w:sz w:val="21"/>
                      <w:szCs w:val="21"/>
                      <w:vertAlign w:val="baseline"/>
                      <w:lang w:val="en-US" w:eastAsia="zh-CN"/>
                    </w:rPr>
                  </w:pPr>
                  <w:r>
                    <w:rPr>
                      <w:rFonts w:hint="eastAsia"/>
                      <w:kern w:val="0"/>
                      <w:sz w:val="21"/>
                      <w:szCs w:val="21"/>
                      <w:vertAlign w:val="baseline"/>
                      <w:lang w:val="en-US" w:eastAsia="zh-CN"/>
                    </w:rPr>
                    <w:t>490</w:t>
                  </w:r>
                </w:p>
              </w:tc>
            </w:tr>
          </w:tbl>
          <w:p>
            <w:pPr>
              <w:keepNext w:val="0"/>
              <w:keepLines w:val="0"/>
              <w:pageBreakBefore w:val="0"/>
              <w:widowControl w:val="0"/>
              <w:kinsoku/>
              <w:wordWrap/>
              <w:overflowPunct/>
              <w:topLinePunct w:val="0"/>
              <w:autoSpaceDE/>
              <w:autoSpaceDN/>
              <w:bidi w:val="0"/>
              <w:spacing w:line="500" w:lineRule="exact"/>
              <w:ind w:firstLine="482" w:firstLineChars="200"/>
              <w:textAlignment w:val="auto"/>
              <w:rPr>
                <w:b/>
                <w:bCs/>
                <w:sz w:val="24"/>
                <w:szCs w:val="24"/>
              </w:rPr>
            </w:pPr>
            <w:r>
              <w:rPr>
                <w:rFonts w:hint="eastAsia"/>
                <w:b/>
                <w:bCs/>
                <w:sz w:val="24"/>
                <w:szCs w:val="24"/>
              </w:rPr>
              <w:t>2、声环境</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sz w:val="24"/>
                <w:szCs w:val="24"/>
              </w:rPr>
            </w:pPr>
            <w:r>
              <w:rPr>
                <w:rFonts w:hint="eastAsia"/>
                <w:sz w:val="24"/>
                <w:szCs w:val="24"/>
              </w:rPr>
              <w:t>本项目位于</w:t>
            </w:r>
            <w:r>
              <w:rPr>
                <w:rFonts w:hint="eastAsia" w:ascii="Times New Roman" w:hAnsi="Times New Roman" w:eastAsia="宋体" w:cs="Times New Roman"/>
                <w:sz w:val="24"/>
                <w:szCs w:val="24"/>
              </w:rPr>
              <w:t>海安市大公镇科技产业园开发大道606号23幢</w:t>
            </w:r>
            <w:r>
              <w:rPr>
                <w:rFonts w:hint="eastAsia"/>
                <w:sz w:val="24"/>
                <w:szCs w:val="24"/>
              </w:rPr>
              <w:t>，周边50米范围内声环境保护目标</w:t>
            </w:r>
            <w:r>
              <w:rPr>
                <w:rFonts w:hint="eastAsia"/>
                <w:sz w:val="24"/>
                <w:szCs w:val="24"/>
                <w:lang w:val="en-US" w:eastAsia="zh-CN"/>
              </w:rPr>
              <w:t>见下表</w:t>
            </w:r>
            <w:r>
              <w:rPr>
                <w:rFonts w:hint="eastAsia"/>
                <w:sz w:val="24"/>
                <w:szCs w:val="24"/>
              </w:rPr>
              <w:t>。</w:t>
            </w:r>
          </w:p>
          <w:p>
            <w:pPr>
              <w:keepNext w:val="0"/>
              <w:keepLines w:val="0"/>
              <w:pageBreakBefore w:val="0"/>
              <w:widowControl w:val="0"/>
              <w:numPr>
                <w:ilvl w:val="0"/>
                <w:numId w:val="3"/>
              </w:numPr>
              <w:tabs>
                <w:tab w:val="clear" w:pos="420"/>
              </w:tabs>
              <w:kinsoku/>
              <w:wordWrap/>
              <w:overflowPunct/>
              <w:topLinePunct w:val="0"/>
              <w:autoSpaceDE/>
              <w:autoSpaceDN/>
              <w:bidi w:val="0"/>
              <w:adjustRightInd w:val="0"/>
              <w:snapToGrid w:val="0"/>
              <w:spacing w:line="500" w:lineRule="exact"/>
              <w:ind w:left="0" w:leftChars="0" w:hanging="5" w:firstLineChars="0"/>
              <w:jc w:val="center"/>
              <w:textAlignment w:val="auto"/>
              <w:rPr>
                <w:rFonts w:hint="default" w:eastAsia="宋体"/>
                <w:color w:val="C00000"/>
                <w:sz w:val="24"/>
                <w:szCs w:val="24"/>
                <w:lang w:val="en-US" w:eastAsia="zh-CN"/>
              </w:rPr>
            </w:pPr>
            <w:r>
              <w:rPr>
                <w:rFonts w:hint="eastAsia"/>
                <w:b/>
                <w:bCs/>
                <w:i w:val="0"/>
                <w:iCs w:val="0"/>
                <w:color w:val="auto"/>
                <w:sz w:val="24"/>
                <w:szCs w:val="24"/>
                <w:lang w:val="en-US" w:eastAsia="zh-CN"/>
              </w:rPr>
              <w:t>项目声环境保护目标</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34"/>
              <w:gridCol w:w="861"/>
              <w:gridCol w:w="560"/>
              <w:gridCol w:w="722"/>
              <w:gridCol w:w="655"/>
              <w:gridCol w:w="1145"/>
              <w:gridCol w:w="559"/>
              <w:gridCol w:w="928"/>
              <w:gridCol w:w="2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534" w:type="dxa"/>
                  <w:vMerge w:val="restart"/>
                  <w:tcBorders>
                    <w:tl2br w:val="nil"/>
                    <w:tr2bl w:val="nil"/>
                  </w:tcBorders>
                  <w:noWrap w:val="0"/>
                  <w:vAlign w:val="center"/>
                </w:tcPr>
                <w:p>
                  <w:pPr>
                    <w:snapToGrid w:val="0"/>
                    <w:spacing w:line="240" w:lineRule="auto"/>
                    <w:ind w:firstLine="0" w:firstLineChars="0"/>
                    <w:jc w:val="center"/>
                    <w:rPr>
                      <w:rFonts w:hint="eastAsia" w:ascii="Times New Roman" w:hAnsi="Times New Roman" w:eastAsia="宋体" w:cs="Times New Roman"/>
                      <w:b/>
                      <w:bCs w:val="0"/>
                      <w:color w:val="auto"/>
                      <w:spacing w:val="0"/>
                      <w:kern w:val="0"/>
                      <w:sz w:val="21"/>
                      <w:szCs w:val="21"/>
                      <w:highlight w:val="none"/>
                      <w:lang w:eastAsia="zh-CN"/>
                    </w:rPr>
                  </w:pPr>
                  <w:r>
                    <w:rPr>
                      <w:rFonts w:hint="eastAsia" w:ascii="Times New Roman" w:hAnsi="Times New Roman" w:cs="Times New Roman"/>
                      <w:b/>
                      <w:bCs w:val="0"/>
                      <w:color w:val="auto"/>
                      <w:spacing w:val="0"/>
                      <w:kern w:val="0"/>
                      <w:sz w:val="21"/>
                      <w:szCs w:val="21"/>
                      <w:highlight w:val="none"/>
                      <w:lang w:val="en-US" w:eastAsia="zh-CN"/>
                    </w:rPr>
                    <w:t>序号</w:t>
                  </w:r>
                </w:p>
              </w:tc>
              <w:tc>
                <w:tcPr>
                  <w:tcW w:w="861" w:type="dxa"/>
                  <w:vMerge w:val="restart"/>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
                      <w:bCs w:val="0"/>
                      <w:color w:val="auto"/>
                      <w:spacing w:val="0"/>
                      <w:kern w:val="0"/>
                      <w:sz w:val="21"/>
                      <w:szCs w:val="21"/>
                      <w:highlight w:val="none"/>
                      <w:lang w:val="en-US" w:eastAsia="zh-CN"/>
                    </w:rPr>
                  </w:pPr>
                  <w:r>
                    <w:rPr>
                      <w:rFonts w:hint="eastAsia" w:ascii="Times New Roman" w:hAnsi="Times New Roman" w:eastAsia="宋体" w:cs="Times New Roman"/>
                      <w:b/>
                      <w:bCs w:val="0"/>
                      <w:color w:val="auto"/>
                      <w:spacing w:val="0"/>
                      <w:kern w:val="0"/>
                      <w:sz w:val="21"/>
                      <w:szCs w:val="21"/>
                      <w:highlight w:val="none"/>
                      <w:lang w:val="en-US" w:eastAsia="zh-CN"/>
                    </w:rPr>
                    <w:t>保护目标名称</w:t>
                  </w:r>
                </w:p>
              </w:tc>
              <w:tc>
                <w:tcPr>
                  <w:tcW w:w="1937" w:type="dxa"/>
                  <w:gridSpan w:val="3"/>
                  <w:tcBorders>
                    <w:tl2br w:val="nil"/>
                    <w:tr2bl w:val="nil"/>
                  </w:tcBorders>
                  <w:noWrap w:val="0"/>
                  <w:vAlign w:val="center"/>
                </w:tcPr>
                <w:p>
                  <w:pPr>
                    <w:snapToGrid w:val="0"/>
                    <w:spacing w:line="240" w:lineRule="auto"/>
                    <w:ind w:firstLine="0" w:firstLineChars="0"/>
                    <w:jc w:val="center"/>
                    <w:rPr>
                      <w:rFonts w:hint="eastAsia" w:ascii="Times New Roman" w:hAnsi="Times New Roman" w:eastAsia="宋体" w:cs="Times New Roman"/>
                      <w:b/>
                      <w:bCs w:val="0"/>
                      <w:color w:val="auto"/>
                      <w:spacing w:val="0"/>
                      <w:kern w:val="0"/>
                      <w:sz w:val="21"/>
                      <w:szCs w:val="21"/>
                      <w:highlight w:val="none"/>
                      <w:lang w:val="en-US" w:eastAsia="zh-CN"/>
                    </w:rPr>
                  </w:pPr>
                  <w:r>
                    <w:rPr>
                      <w:rFonts w:hint="eastAsia" w:ascii="Times New Roman" w:hAnsi="Times New Roman" w:eastAsia="宋体" w:cs="Times New Roman"/>
                      <w:b/>
                      <w:bCs w:val="0"/>
                      <w:color w:val="auto"/>
                      <w:spacing w:val="0"/>
                      <w:kern w:val="0"/>
                      <w:sz w:val="21"/>
                      <w:szCs w:val="21"/>
                      <w:highlight w:val="none"/>
                      <w:lang w:val="en-US" w:eastAsia="zh-CN"/>
                    </w:rPr>
                    <w:t>相对空间位置</w:t>
                  </w:r>
                </w:p>
              </w:tc>
              <w:tc>
                <w:tcPr>
                  <w:tcW w:w="1145" w:type="dxa"/>
                  <w:vMerge w:val="restart"/>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
                      <w:bCs w:val="0"/>
                      <w:color w:val="auto"/>
                      <w:spacing w:val="0"/>
                      <w:kern w:val="0"/>
                      <w:sz w:val="21"/>
                      <w:szCs w:val="21"/>
                      <w:highlight w:val="none"/>
                      <w:lang w:val="en-US" w:eastAsia="zh-CN"/>
                    </w:rPr>
                  </w:pPr>
                  <w:r>
                    <w:rPr>
                      <w:rFonts w:hint="eastAsia" w:ascii="Times New Roman" w:hAnsi="Times New Roman" w:eastAsia="宋体" w:cs="Times New Roman"/>
                      <w:b/>
                      <w:bCs w:val="0"/>
                      <w:color w:val="auto"/>
                      <w:spacing w:val="0"/>
                      <w:kern w:val="0"/>
                      <w:sz w:val="21"/>
                      <w:szCs w:val="21"/>
                      <w:highlight w:val="none"/>
                      <w:lang w:val="en-US" w:eastAsia="zh-CN"/>
                    </w:rPr>
                    <w:t>距项目边界最近距离</w:t>
                  </w:r>
                </w:p>
              </w:tc>
              <w:tc>
                <w:tcPr>
                  <w:tcW w:w="559" w:type="dxa"/>
                  <w:vMerge w:val="restart"/>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
                      <w:bCs w:val="0"/>
                      <w:color w:val="auto"/>
                      <w:spacing w:val="0"/>
                      <w:kern w:val="0"/>
                      <w:sz w:val="21"/>
                      <w:szCs w:val="21"/>
                      <w:highlight w:val="none"/>
                      <w:lang w:val="en-US" w:eastAsia="zh-CN"/>
                    </w:rPr>
                  </w:pPr>
                  <w:r>
                    <w:rPr>
                      <w:rFonts w:hint="eastAsia" w:ascii="Times New Roman" w:hAnsi="Times New Roman" w:eastAsia="宋体" w:cs="Times New Roman"/>
                      <w:b/>
                      <w:bCs w:val="0"/>
                      <w:color w:val="auto"/>
                      <w:spacing w:val="0"/>
                      <w:kern w:val="0"/>
                      <w:sz w:val="21"/>
                      <w:szCs w:val="21"/>
                      <w:highlight w:val="none"/>
                      <w:lang w:val="en-US" w:eastAsia="zh-CN"/>
                    </w:rPr>
                    <w:t>方位</w:t>
                  </w:r>
                </w:p>
              </w:tc>
              <w:tc>
                <w:tcPr>
                  <w:tcW w:w="928" w:type="dxa"/>
                  <w:vMerge w:val="restart"/>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
                      <w:bCs w:val="0"/>
                      <w:color w:val="auto"/>
                      <w:spacing w:val="0"/>
                      <w:kern w:val="0"/>
                      <w:sz w:val="21"/>
                      <w:szCs w:val="21"/>
                      <w:highlight w:val="none"/>
                      <w:lang w:val="en-US" w:eastAsia="zh-CN"/>
                    </w:rPr>
                  </w:pPr>
                  <w:r>
                    <w:rPr>
                      <w:rFonts w:hint="eastAsia" w:ascii="Times New Roman" w:hAnsi="Times New Roman" w:eastAsia="宋体" w:cs="Times New Roman"/>
                      <w:b/>
                      <w:bCs w:val="0"/>
                      <w:color w:val="auto"/>
                      <w:spacing w:val="0"/>
                      <w:kern w:val="0"/>
                      <w:sz w:val="21"/>
                      <w:szCs w:val="21"/>
                      <w:highlight w:val="none"/>
                      <w:lang w:val="en-US" w:eastAsia="zh-CN"/>
                    </w:rPr>
                    <w:t>环境功能区类别</w:t>
                  </w:r>
                </w:p>
              </w:tc>
              <w:tc>
                <w:tcPr>
                  <w:tcW w:w="2540" w:type="dxa"/>
                  <w:vMerge w:val="restart"/>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
                      <w:bCs w:val="0"/>
                      <w:color w:val="auto"/>
                      <w:spacing w:val="0"/>
                      <w:kern w:val="0"/>
                      <w:sz w:val="21"/>
                      <w:szCs w:val="21"/>
                      <w:highlight w:val="none"/>
                      <w:lang w:val="en-US" w:eastAsia="zh-CN"/>
                    </w:rPr>
                  </w:pPr>
                  <w:r>
                    <w:rPr>
                      <w:rFonts w:hint="eastAsia" w:ascii="Times New Roman" w:hAnsi="Times New Roman" w:eastAsia="宋体" w:cs="Times New Roman"/>
                      <w:b/>
                      <w:bCs w:val="0"/>
                      <w:color w:val="auto"/>
                      <w:spacing w:val="0"/>
                      <w:kern w:val="0"/>
                      <w:sz w:val="21"/>
                      <w:szCs w:val="21"/>
                      <w:highlight w:val="none"/>
                      <w:lang w:val="en-US" w:eastAsia="zh-CN"/>
                    </w:rPr>
                    <w:t>保护目标情况说明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534" w:type="dxa"/>
                  <w:vMerge w:val="continue"/>
                  <w:tcBorders>
                    <w:tl2br w:val="nil"/>
                    <w:tr2bl w:val="nil"/>
                  </w:tcBorders>
                  <w:noWrap w:val="0"/>
                  <w:vAlign w:val="center"/>
                </w:tcPr>
                <w:p>
                  <w:pPr>
                    <w:snapToGrid w:val="0"/>
                    <w:spacing w:line="240" w:lineRule="auto"/>
                    <w:ind w:firstLine="0" w:firstLineChars="0"/>
                    <w:jc w:val="center"/>
                    <w:rPr>
                      <w:b/>
                      <w:bCs w:val="0"/>
                      <w:color w:val="auto"/>
                      <w:sz w:val="21"/>
                      <w:szCs w:val="21"/>
                      <w:highlight w:val="none"/>
                    </w:rPr>
                  </w:pPr>
                </w:p>
              </w:tc>
              <w:tc>
                <w:tcPr>
                  <w:tcW w:w="861" w:type="dxa"/>
                  <w:vMerge w:val="continue"/>
                  <w:tcBorders>
                    <w:tl2br w:val="nil"/>
                    <w:tr2bl w:val="nil"/>
                  </w:tcBorders>
                  <w:noWrap w:val="0"/>
                  <w:vAlign w:val="center"/>
                </w:tcPr>
                <w:p>
                  <w:pPr>
                    <w:snapToGrid w:val="0"/>
                    <w:spacing w:line="240" w:lineRule="auto"/>
                    <w:ind w:firstLine="0" w:firstLineChars="0"/>
                    <w:jc w:val="center"/>
                    <w:rPr>
                      <w:b/>
                      <w:bCs w:val="0"/>
                      <w:color w:val="auto"/>
                      <w:sz w:val="21"/>
                      <w:szCs w:val="21"/>
                      <w:highlight w:val="none"/>
                    </w:rPr>
                  </w:pPr>
                </w:p>
              </w:tc>
              <w:tc>
                <w:tcPr>
                  <w:tcW w:w="560" w:type="dxa"/>
                  <w:tcBorders>
                    <w:tl2br w:val="nil"/>
                    <w:tr2bl w:val="nil"/>
                  </w:tcBorders>
                  <w:noWrap w:val="0"/>
                  <w:vAlign w:val="center"/>
                </w:tcPr>
                <w:p>
                  <w:pPr>
                    <w:snapToGrid w:val="0"/>
                    <w:spacing w:line="240" w:lineRule="auto"/>
                    <w:ind w:firstLine="0" w:firstLineChars="0"/>
                    <w:jc w:val="center"/>
                    <w:rPr>
                      <w:rFonts w:hint="eastAsia" w:eastAsia="宋体"/>
                      <w:b/>
                      <w:bCs w:val="0"/>
                      <w:color w:val="auto"/>
                      <w:kern w:val="2"/>
                      <w:sz w:val="21"/>
                      <w:szCs w:val="21"/>
                      <w:highlight w:val="none"/>
                      <w:lang w:val="en-US" w:eastAsia="zh-CN" w:bidi="ar-SA"/>
                    </w:rPr>
                  </w:pPr>
                  <w:r>
                    <w:rPr>
                      <w:rFonts w:hint="eastAsia"/>
                      <w:b/>
                      <w:bCs w:val="0"/>
                      <w:color w:val="auto"/>
                      <w:sz w:val="21"/>
                      <w:szCs w:val="21"/>
                      <w:highlight w:val="none"/>
                      <w:lang w:val="en-US" w:eastAsia="zh-CN"/>
                    </w:rPr>
                    <w:t>X</w:t>
                  </w:r>
                </w:p>
              </w:tc>
              <w:tc>
                <w:tcPr>
                  <w:tcW w:w="722" w:type="dxa"/>
                  <w:tcBorders>
                    <w:tl2br w:val="nil"/>
                    <w:tr2bl w:val="nil"/>
                  </w:tcBorders>
                  <w:noWrap w:val="0"/>
                  <w:vAlign w:val="center"/>
                </w:tcPr>
                <w:p>
                  <w:pPr>
                    <w:snapToGrid w:val="0"/>
                    <w:spacing w:line="240" w:lineRule="auto"/>
                    <w:ind w:firstLine="0" w:firstLineChars="0"/>
                    <w:jc w:val="center"/>
                    <w:rPr>
                      <w:rFonts w:hint="eastAsia" w:eastAsia="宋体"/>
                      <w:b/>
                      <w:bCs w:val="0"/>
                      <w:color w:val="auto"/>
                      <w:kern w:val="2"/>
                      <w:sz w:val="21"/>
                      <w:szCs w:val="21"/>
                      <w:highlight w:val="none"/>
                      <w:lang w:val="en-US" w:eastAsia="zh-CN" w:bidi="ar-SA"/>
                    </w:rPr>
                  </w:pPr>
                  <w:r>
                    <w:rPr>
                      <w:rFonts w:hint="eastAsia"/>
                      <w:b/>
                      <w:bCs w:val="0"/>
                      <w:color w:val="auto"/>
                      <w:sz w:val="21"/>
                      <w:szCs w:val="21"/>
                      <w:highlight w:val="none"/>
                      <w:lang w:val="en-US" w:eastAsia="zh-CN"/>
                    </w:rPr>
                    <w:t>Y</w:t>
                  </w:r>
                </w:p>
              </w:tc>
              <w:tc>
                <w:tcPr>
                  <w:tcW w:w="655" w:type="dxa"/>
                  <w:tcBorders>
                    <w:tl2br w:val="nil"/>
                    <w:tr2bl w:val="nil"/>
                  </w:tcBorders>
                  <w:noWrap w:val="0"/>
                  <w:vAlign w:val="center"/>
                </w:tcPr>
                <w:p>
                  <w:pPr>
                    <w:snapToGrid w:val="0"/>
                    <w:spacing w:line="240" w:lineRule="auto"/>
                    <w:ind w:firstLine="0" w:firstLineChars="0"/>
                    <w:jc w:val="center"/>
                    <w:rPr>
                      <w:rFonts w:hint="eastAsia" w:eastAsia="宋体"/>
                      <w:b/>
                      <w:bCs w:val="0"/>
                      <w:color w:val="auto"/>
                      <w:kern w:val="2"/>
                      <w:sz w:val="21"/>
                      <w:szCs w:val="21"/>
                      <w:highlight w:val="none"/>
                      <w:lang w:val="en-US" w:eastAsia="zh-CN" w:bidi="ar-SA"/>
                    </w:rPr>
                  </w:pPr>
                  <w:r>
                    <w:rPr>
                      <w:rFonts w:hint="eastAsia"/>
                      <w:b/>
                      <w:bCs w:val="0"/>
                      <w:color w:val="auto"/>
                      <w:sz w:val="21"/>
                      <w:szCs w:val="21"/>
                      <w:highlight w:val="none"/>
                      <w:lang w:val="en-US" w:eastAsia="zh-CN"/>
                    </w:rPr>
                    <w:t>Z</w:t>
                  </w:r>
                </w:p>
              </w:tc>
              <w:tc>
                <w:tcPr>
                  <w:tcW w:w="1145" w:type="dxa"/>
                  <w:vMerge w:val="continue"/>
                  <w:tcBorders>
                    <w:tl2br w:val="nil"/>
                    <w:tr2bl w:val="nil"/>
                  </w:tcBorders>
                  <w:noWrap w:val="0"/>
                  <w:vAlign w:val="center"/>
                </w:tcPr>
                <w:p>
                  <w:pPr>
                    <w:snapToGrid w:val="0"/>
                    <w:spacing w:line="240" w:lineRule="auto"/>
                    <w:ind w:firstLine="0" w:firstLineChars="0"/>
                    <w:jc w:val="center"/>
                    <w:rPr>
                      <w:color w:val="auto"/>
                      <w:sz w:val="21"/>
                      <w:szCs w:val="21"/>
                      <w:highlight w:val="none"/>
                    </w:rPr>
                  </w:pPr>
                </w:p>
              </w:tc>
              <w:tc>
                <w:tcPr>
                  <w:tcW w:w="559" w:type="dxa"/>
                  <w:vMerge w:val="continue"/>
                  <w:tcBorders>
                    <w:tl2br w:val="nil"/>
                    <w:tr2bl w:val="nil"/>
                  </w:tcBorders>
                  <w:noWrap w:val="0"/>
                  <w:vAlign w:val="center"/>
                </w:tcPr>
                <w:p>
                  <w:pPr>
                    <w:snapToGrid w:val="0"/>
                    <w:spacing w:line="240" w:lineRule="auto"/>
                    <w:ind w:firstLine="0" w:firstLineChars="0"/>
                    <w:jc w:val="center"/>
                    <w:rPr>
                      <w:color w:val="auto"/>
                      <w:sz w:val="21"/>
                      <w:szCs w:val="21"/>
                      <w:highlight w:val="none"/>
                    </w:rPr>
                  </w:pPr>
                </w:p>
              </w:tc>
              <w:tc>
                <w:tcPr>
                  <w:tcW w:w="928" w:type="dxa"/>
                  <w:vMerge w:val="continue"/>
                  <w:tcBorders>
                    <w:tl2br w:val="nil"/>
                    <w:tr2bl w:val="nil"/>
                  </w:tcBorders>
                  <w:noWrap w:val="0"/>
                  <w:vAlign w:val="center"/>
                </w:tcPr>
                <w:p>
                  <w:pPr>
                    <w:snapToGrid w:val="0"/>
                    <w:spacing w:line="240" w:lineRule="auto"/>
                    <w:ind w:firstLine="0" w:firstLineChars="0"/>
                    <w:jc w:val="center"/>
                    <w:rPr>
                      <w:color w:val="auto"/>
                      <w:sz w:val="21"/>
                      <w:szCs w:val="21"/>
                      <w:highlight w:val="none"/>
                    </w:rPr>
                  </w:pPr>
                </w:p>
              </w:tc>
              <w:tc>
                <w:tcPr>
                  <w:tcW w:w="2540" w:type="dxa"/>
                  <w:vMerge w:val="continue"/>
                  <w:tcBorders>
                    <w:tl2br w:val="nil"/>
                    <w:tr2bl w:val="nil"/>
                  </w:tcBorders>
                  <w:noWrap w:val="0"/>
                  <w:vAlign w:val="center"/>
                </w:tcPr>
                <w:p>
                  <w:pPr>
                    <w:snapToGrid w:val="0"/>
                    <w:spacing w:line="240" w:lineRule="auto"/>
                    <w:ind w:firstLine="0" w:firstLineChars="0"/>
                    <w:jc w:val="center"/>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534" w:type="dxa"/>
                  <w:tcBorders>
                    <w:tl2br w:val="nil"/>
                    <w:tr2bl w:val="nil"/>
                  </w:tcBorders>
                  <w:noWrap w:val="0"/>
                  <w:vAlign w:val="center"/>
                </w:tcPr>
                <w:p>
                  <w:pPr>
                    <w:snapToGrid w:val="0"/>
                    <w:spacing w:line="240" w:lineRule="auto"/>
                    <w:ind w:firstLine="0" w:firstLineChars="0"/>
                    <w:jc w:val="center"/>
                    <w:rPr>
                      <w:rFonts w:hint="eastAsia" w:ascii="Times New Roman" w:hAnsi="Times New Roman" w:eastAsia="宋体" w:cs="Times New Roman"/>
                      <w:bCs/>
                      <w:color w:val="auto"/>
                      <w:spacing w:val="0"/>
                      <w:kern w:val="0"/>
                      <w:sz w:val="21"/>
                      <w:szCs w:val="21"/>
                      <w:highlight w:val="none"/>
                      <w:lang w:val="en-US" w:eastAsia="zh-CN"/>
                    </w:rPr>
                  </w:pPr>
                  <w:r>
                    <w:rPr>
                      <w:rFonts w:hint="eastAsia" w:ascii="Times New Roman" w:hAnsi="Times New Roman" w:cs="Times New Roman"/>
                      <w:bCs/>
                      <w:color w:val="auto"/>
                      <w:spacing w:val="0"/>
                      <w:kern w:val="0"/>
                      <w:sz w:val="21"/>
                      <w:szCs w:val="21"/>
                      <w:highlight w:val="none"/>
                      <w:lang w:val="en-US" w:eastAsia="zh-CN"/>
                    </w:rPr>
                    <w:t>1</w:t>
                  </w:r>
                </w:p>
              </w:tc>
              <w:tc>
                <w:tcPr>
                  <w:tcW w:w="861" w:type="dxa"/>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Cs/>
                      <w:color w:val="auto"/>
                      <w:spacing w:val="0"/>
                      <w:kern w:val="0"/>
                      <w:sz w:val="21"/>
                      <w:szCs w:val="21"/>
                      <w:highlight w:val="none"/>
                      <w:lang w:val="en-US" w:eastAsia="zh-CN" w:bidi="ar-SA"/>
                    </w:rPr>
                  </w:pPr>
                  <w:r>
                    <w:rPr>
                      <w:rFonts w:hint="eastAsia" w:cs="Times New Roman"/>
                      <w:color w:val="000000"/>
                      <w:kern w:val="2"/>
                      <w:sz w:val="21"/>
                      <w:szCs w:val="21"/>
                      <w:lang w:val="en-US" w:eastAsia="zh-CN" w:bidi="ar-SA"/>
                    </w:rPr>
                    <w:t>于坝村二十九组</w:t>
                  </w:r>
                </w:p>
              </w:tc>
              <w:tc>
                <w:tcPr>
                  <w:tcW w:w="560" w:type="dxa"/>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Cs/>
                      <w:color w:val="auto"/>
                      <w:spacing w:val="0"/>
                      <w:kern w:val="0"/>
                      <w:sz w:val="21"/>
                      <w:szCs w:val="21"/>
                      <w:highlight w:val="none"/>
                      <w:lang w:val="en-US" w:eastAsia="zh-CN" w:bidi="ar-SA"/>
                    </w:rPr>
                  </w:pPr>
                  <w:r>
                    <w:rPr>
                      <w:rFonts w:hint="eastAsia" w:ascii="Times New Roman" w:hAnsi="Times New Roman" w:eastAsia="宋体" w:cs="Times New Roman"/>
                      <w:bCs/>
                      <w:color w:val="auto"/>
                      <w:spacing w:val="0"/>
                      <w:kern w:val="0"/>
                      <w:sz w:val="21"/>
                      <w:szCs w:val="21"/>
                      <w:highlight w:val="none"/>
                      <w:lang w:val="en-US" w:eastAsia="zh-CN" w:bidi="ar-SA"/>
                    </w:rPr>
                    <w:t>-</w:t>
                  </w:r>
                  <w:r>
                    <w:rPr>
                      <w:rFonts w:hint="eastAsia" w:cs="Times New Roman"/>
                      <w:bCs/>
                      <w:color w:val="auto"/>
                      <w:spacing w:val="0"/>
                      <w:kern w:val="0"/>
                      <w:sz w:val="21"/>
                      <w:szCs w:val="21"/>
                      <w:highlight w:val="none"/>
                      <w:lang w:val="en-US" w:eastAsia="zh-CN" w:bidi="ar-SA"/>
                    </w:rPr>
                    <w:t>15</w:t>
                  </w:r>
                </w:p>
              </w:tc>
              <w:tc>
                <w:tcPr>
                  <w:tcW w:w="722" w:type="dxa"/>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Cs/>
                      <w:color w:val="auto"/>
                      <w:spacing w:val="0"/>
                      <w:kern w:val="0"/>
                      <w:sz w:val="21"/>
                      <w:szCs w:val="21"/>
                      <w:highlight w:val="none"/>
                      <w:lang w:val="en-US" w:eastAsia="zh-CN" w:bidi="ar-SA"/>
                    </w:rPr>
                  </w:pPr>
                  <w:r>
                    <w:rPr>
                      <w:rFonts w:hint="eastAsia" w:ascii="Times New Roman" w:hAnsi="Times New Roman" w:eastAsia="宋体" w:cs="Times New Roman"/>
                      <w:bCs/>
                      <w:color w:val="auto"/>
                      <w:spacing w:val="0"/>
                      <w:kern w:val="0"/>
                      <w:sz w:val="21"/>
                      <w:szCs w:val="21"/>
                      <w:highlight w:val="none"/>
                      <w:lang w:val="en-US" w:eastAsia="zh-CN" w:bidi="ar-SA"/>
                    </w:rPr>
                    <w:t>-30</w:t>
                  </w:r>
                </w:p>
              </w:tc>
              <w:tc>
                <w:tcPr>
                  <w:tcW w:w="655" w:type="dxa"/>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Cs/>
                      <w:color w:val="auto"/>
                      <w:spacing w:val="0"/>
                      <w:kern w:val="0"/>
                      <w:sz w:val="21"/>
                      <w:szCs w:val="21"/>
                      <w:highlight w:val="none"/>
                      <w:lang w:val="en-US" w:eastAsia="zh-CN" w:bidi="ar-SA"/>
                    </w:rPr>
                  </w:pPr>
                  <w:r>
                    <w:rPr>
                      <w:rFonts w:hint="eastAsia" w:ascii="Times New Roman" w:hAnsi="Times New Roman" w:eastAsia="宋体" w:cs="Times New Roman"/>
                      <w:bCs/>
                      <w:color w:val="auto"/>
                      <w:spacing w:val="0"/>
                      <w:kern w:val="0"/>
                      <w:sz w:val="21"/>
                      <w:szCs w:val="21"/>
                      <w:highlight w:val="none"/>
                      <w:lang w:val="en-US" w:eastAsia="zh-CN" w:bidi="ar-SA"/>
                    </w:rPr>
                    <w:t>0</w:t>
                  </w:r>
                </w:p>
              </w:tc>
              <w:tc>
                <w:tcPr>
                  <w:tcW w:w="1145" w:type="dxa"/>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Cs/>
                      <w:color w:val="auto"/>
                      <w:spacing w:val="0"/>
                      <w:kern w:val="0"/>
                      <w:sz w:val="21"/>
                      <w:szCs w:val="21"/>
                      <w:highlight w:val="none"/>
                      <w:lang w:val="en-US" w:eastAsia="zh-CN" w:bidi="ar-SA"/>
                    </w:rPr>
                  </w:pPr>
                  <w:r>
                    <w:rPr>
                      <w:rFonts w:hint="eastAsia" w:cs="Times New Roman"/>
                      <w:bCs/>
                      <w:color w:val="auto"/>
                      <w:spacing w:val="0"/>
                      <w:kern w:val="0"/>
                      <w:sz w:val="21"/>
                      <w:szCs w:val="21"/>
                      <w:highlight w:val="none"/>
                      <w:lang w:val="en-US" w:eastAsia="zh-CN" w:bidi="ar-SA"/>
                    </w:rPr>
                    <w:t>2</w:t>
                  </w:r>
                  <w:r>
                    <w:rPr>
                      <w:rFonts w:hint="eastAsia" w:ascii="Times New Roman" w:hAnsi="Times New Roman" w:eastAsia="宋体" w:cs="Times New Roman"/>
                      <w:bCs/>
                      <w:color w:val="auto"/>
                      <w:spacing w:val="0"/>
                      <w:kern w:val="0"/>
                      <w:sz w:val="21"/>
                      <w:szCs w:val="21"/>
                      <w:highlight w:val="none"/>
                      <w:lang w:val="en-US" w:eastAsia="zh-CN" w:bidi="ar-SA"/>
                    </w:rPr>
                    <w:t>0m</w:t>
                  </w:r>
                </w:p>
              </w:tc>
              <w:tc>
                <w:tcPr>
                  <w:tcW w:w="559" w:type="dxa"/>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Cs/>
                      <w:color w:val="auto"/>
                      <w:spacing w:val="0"/>
                      <w:kern w:val="0"/>
                      <w:sz w:val="21"/>
                      <w:szCs w:val="21"/>
                      <w:highlight w:val="none"/>
                      <w:lang w:val="en-US" w:eastAsia="zh-CN" w:bidi="ar-SA"/>
                    </w:rPr>
                  </w:pPr>
                  <w:r>
                    <w:rPr>
                      <w:rFonts w:hint="eastAsia"/>
                      <w:bCs/>
                      <w:sz w:val="21"/>
                      <w:szCs w:val="21"/>
                      <w:lang w:val="en-US" w:eastAsia="zh-CN"/>
                    </w:rPr>
                    <w:t>S</w:t>
                  </w:r>
                </w:p>
              </w:tc>
              <w:tc>
                <w:tcPr>
                  <w:tcW w:w="928" w:type="dxa"/>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rPr>
                    <w:t>《声环境质量标准》</w:t>
                  </w:r>
                  <w:r>
                    <w:rPr>
                      <w:rFonts w:hint="eastAsia" w:cs="Times New Roman"/>
                      <w:bCs/>
                      <w:color w:val="auto"/>
                      <w:spacing w:val="0"/>
                      <w:kern w:val="0"/>
                      <w:sz w:val="21"/>
                      <w:szCs w:val="21"/>
                      <w:highlight w:val="none"/>
                      <w:lang w:val="en-US" w:eastAsia="zh-CN"/>
                    </w:rPr>
                    <w:t>2</w:t>
                  </w:r>
                  <w:r>
                    <w:rPr>
                      <w:rFonts w:hint="default" w:ascii="Times New Roman" w:hAnsi="Times New Roman" w:eastAsia="宋体" w:cs="Times New Roman"/>
                      <w:bCs/>
                      <w:color w:val="auto"/>
                      <w:spacing w:val="0"/>
                      <w:kern w:val="0"/>
                      <w:sz w:val="21"/>
                      <w:szCs w:val="21"/>
                      <w:highlight w:val="none"/>
                      <w:lang w:val="en-US" w:eastAsia="zh-CN"/>
                    </w:rPr>
                    <w:t>类</w:t>
                  </w:r>
                </w:p>
              </w:tc>
              <w:tc>
                <w:tcPr>
                  <w:tcW w:w="2540" w:type="dxa"/>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Cs/>
                      <w:color w:val="auto"/>
                      <w:spacing w:val="0"/>
                      <w:kern w:val="0"/>
                      <w:sz w:val="21"/>
                      <w:szCs w:val="21"/>
                      <w:highlight w:val="none"/>
                      <w:lang w:val="en-US" w:eastAsia="zh-CN" w:bidi="ar-SA"/>
                    </w:rPr>
                  </w:pPr>
                  <w:r>
                    <w:rPr>
                      <w:rFonts w:hint="eastAsia" w:ascii="Times New Roman" w:hAnsi="Times New Roman" w:eastAsia="宋体" w:cs="Times New Roman"/>
                      <w:bCs/>
                      <w:color w:val="auto"/>
                      <w:spacing w:val="0"/>
                      <w:kern w:val="0"/>
                      <w:sz w:val="21"/>
                      <w:szCs w:val="21"/>
                      <w:highlight w:val="none"/>
                      <w:lang w:val="en-US" w:eastAsia="zh-CN"/>
                    </w:rPr>
                    <w:t>砖混结构，</w:t>
                  </w:r>
                  <w:r>
                    <w:rPr>
                      <w:rFonts w:hint="eastAsia" w:cs="Times New Roman"/>
                      <w:bCs/>
                      <w:color w:val="auto"/>
                      <w:spacing w:val="0"/>
                      <w:kern w:val="0"/>
                      <w:sz w:val="21"/>
                      <w:szCs w:val="21"/>
                      <w:highlight w:val="none"/>
                      <w:lang w:val="en-US" w:eastAsia="zh-CN"/>
                    </w:rPr>
                    <w:t>1</w:t>
                  </w:r>
                  <w:r>
                    <w:rPr>
                      <w:rFonts w:hint="eastAsia" w:ascii="Times New Roman" w:hAnsi="Times New Roman" w:eastAsia="宋体" w:cs="Times New Roman"/>
                      <w:bCs/>
                      <w:color w:val="auto"/>
                      <w:spacing w:val="0"/>
                      <w:kern w:val="0"/>
                      <w:sz w:val="21"/>
                      <w:szCs w:val="21"/>
                      <w:highlight w:val="none"/>
                      <w:lang w:val="en-US" w:eastAsia="zh-CN"/>
                    </w:rPr>
                    <w:t>层，朝南，</w:t>
                  </w:r>
                  <w:r>
                    <w:rPr>
                      <w:rFonts w:hint="eastAsia" w:cs="Times New Roman"/>
                      <w:bCs/>
                      <w:color w:val="auto"/>
                      <w:spacing w:val="0"/>
                      <w:kern w:val="0"/>
                      <w:sz w:val="21"/>
                      <w:szCs w:val="21"/>
                      <w:highlight w:val="none"/>
                      <w:lang w:val="en-US" w:eastAsia="zh-CN"/>
                    </w:rPr>
                    <w:t>南侧为北凌河、北侧为区间道路、隔路为工业企业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534" w:type="dxa"/>
                  <w:tcBorders>
                    <w:tl2br w:val="nil"/>
                    <w:tr2bl w:val="nil"/>
                  </w:tcBorders>
                  <w:noWrap w:val="0"/>
                  <w:vAlign w:val="center"/>
                </w:tcPr>
                <w:p>
                  <w:pPr>
                    <w:snapToGrid w:val="0"/>
                    <w:spacing w:line="240" w:lineRule="auto"/>
                    <w:ind w:firstLine="0" w:firstLineChars="0"/>
                    <w:jc w:val="center"/>
                    <w:rPr>
                      <w:rFonts w:hint="default" w:ascii="Times New Roman" w:hAnsi="Times New Roman" w:cs="Times New Roman"/>
                      <w:bCs/>
                      <w:color w:val="auto"/>
                      <w:spacing w:val="0"/>
                      <w:kern w:val="0"/>
                      <w:sz w:val="21"/>
                      <w:szCs w:val="21"/>
                      <w:highlight w:val="none"/>
                      <w:lang w:val="en-US" w:eastAsia="zh-CN"/>
                    </w:rPr>
                  </w:pPr>
                  <w:r>
                    <w:rPr>
                      <w:rFonts w:hint="eastAsia" w:cs="Times New Roman"/>
                      <w:bCs/>
                      <w:color w:val="auto"/>
                      <w:spacing w:val="0"/>
                      <w:kern w:val="0"/>
                      <w:sz w:val="21"/>
                      <w:szCs w:val="21"/>
                      <w:highlight w:val="none"/>
                      <w:lang w:val="en-US" w:eastAsia="zh-CN"/>
                    </w:rPr>
                    <w:t>2</w:t>
                  </w:r>
                </w:p>
              </w:tc>
              <w:tc>
                <w:tcPr>
                  <w:tcW w:w="861" w:type="dxa"/>
                  <w:tcBorders>
                    <w:tl2br w:val="nil"/>
                    <w:tr2bl w:val="nil"/>
                  </w:tcBorders>
                  <w:noWrap w:val="0"/>
                  <w:vAlign w:val="center"/>
                </w:tcPr>
                <w:p>
                  <w:pPr>
                    <w:snapToGrid w:val="0"/>
                    <w:spacing w:line="240" w:lineRule="auto"/>
                    <w:ind w:firstLine="0" w:firstLineChars="0"/>
                    <w:jc w:val="center"/>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于坝村二十五组（散户）</w:t>
                  </w:r>
                </w:p>
              </w:tc>
              <w:tc>
                <w:tcPr>
                  <w:tcW w:w="560" w:type="dxa"/>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Cs/>
                      <w:color w:val="auto"/>
                      <w:spacing w:val="0"/>
                      <w:kern w:val="0"/>
                      <w:sz w:val="21"/>
                      <w:szCs w:val="21"/>
                      <w:highlight w:val="none"/>
                      <w:lang w:val="en-US" w:eastAsia="zh-CN" w:bidi="ar-SA"/>
                    </w:rPr>
                  </w:pPr>
                  <w:r>
                    <w:rPr>
                      <w:rFonts w:hint="eastAsia" w:cs="Times New Roman"/>
                      <w:bCs/>
                      <w:color w:val="auto"/>
                      <w:spacing w:val="0"/>
                      <w:kern w:val="0"/>
                      <w:sz w:val="21"/>
                      <w:szCs w:val="21"/>
                      <w:highlight w:val="none"/>
                      <w:lang w:val="en-US" w:eastAsia="zh-CN" w:bidi="ar-SA"/>
                    </w:rPr>
                    <w:t>-19</w:t>
                  </w:r>
                </w:p>
              </w:tc>
              <w:tc>
                <w:tcPr>
                  <w:tcW w:w="722" w:type="dxa"/>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Cs/>
                      <w:color w:val="auto"/>
                      <w:spacing w:val="0"/>
                      <w:kern w:val="0"/>
                      <w:sz w:val="21"/>
                      <w:szCs w:val="21"/>
                      <w:highlight w:val="none"/>
                      <w:lang w:val="en-US" w:eastAsia="zh-CN" w:bidi="ar-SA"/>
                    </w:rPr>
                  </w:pPr>
                  <w:r>
                    <w:rPr>
                      <w:rFonts w:hint="eastAsia" w:cs="Times New Roman"/>
                      <w:bCs/>
                      <w:color w:val="auto"/>
                      <w:spacing w:val="0"/>
                      <w:kern w:val="0"/>
                      <w:sz w:val="21"/>
                      <w:szCs w:val="21"/>
                      <w:highlight w:val="none"/>
                      <w:lang w:val="en-US" w:eastAsia="zh-CN" w:bidi="ar-SA"/>
                    </w:rPr>
                    <w:t>-5</w:t>
                  </w:r>
                </w:p>
              </w:tc>
              <w:tc>
                <w:tcPr>
                  <w:tcW w:w="655" w:type="dxa"/>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Cs/>
                      <w:color w:val="auto"/>
                      <w:spacing w:val="0"/>
                      <w:kern w:val="0"/>
                      <w:sz w:val="21"/>
                      <w:szCs w:val="21"/>
                      <w:highlight w:val="none"/>
                      <w:lang w:val="en-US" w:eastAsia="zh-CN" w:bidi="ar-SA"/>
                    </w:rPr>
                  </w:pPr>
                  <w:r>
                    <w:rPr>
                      <w:rFonts w:hint="eastAsia" w:cs="Times New Roman"/>
                      <w:bCs/>
                      <w:color w:val="auto"/>
                      <w:spacing w:val="0"/>
                      <w:kern w:val="0"/>
                      <w:sz w:val="21"/>
                      <w:szCs w:val="21"/>
                      <w:highlight w:val="none"/>
                      <w:lang w:val="en-US" w:eastAsia="zh-CN" w:bidi="ar-SA"/>
                    </w:rPr>
                    <w:t>0</w:t>
                  </w:r>
                </w:p>
              </w:tc>
              <w:tc>
                <w:tcPr>
                  <w:tcW w:w="1145" w:type="dxa"/>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Cs/>
                      <w:color w:val="auto"/>
                      <w:spacing w:val="0"/>
                      <w:kern w:val="0"/>
                      <w:sz w:val="21"/>
                      <w:szCs w:val="21"/>
                      <w:highlight w:val="none"/>
                      <w:lang w:val="en-US" w:eastAsia="zh-CN" w:bidi="ar-SA"/>
                    </w:rPr>
                  </w:pPr>
                  <w:r>
                    <w:rPr>
                      <w:rFonts w:hint="eastAsia" w:cs="Times New Roman"/>
                      <w:bCs/>
                      <w:color w:val="auto"/>
                      <w:spacing w:val="0"/>
                      <w:kern w:val="0"/>
                      <w:sz w:val="21"/>
                      <w:szCs w:val="21"/>
                      <w:highlight w:val="none"/>
                      <w:lang w:val="en-US" w:eastAsia="zh-CN" w:bidi="ar-SA"/>
                    </w:rPr>
                    <w:t>8m</w:t>
                  </w:r>
                </w:p>
              </w:tc>
              <w:tc>
                <w:tcPr>
                  <w:tcW w:w="559" w:type="dxa"/>
                  <w:tcBorders>
                    <w:tl2br w:val="nil"/>
                    <w:tr2bl w:val="nil"/>
                  </w:tcBorders>
                  <w:noWrap w:val="0"/>
                  <w:vAlign w:val="center"/>
                </w:tcPr>
                <w:p>
                  <w:pPr>
                    <w:snapToGrid w:val="0"/>
                    <w:spacing w:line="240" w:lineRule="auto"/>
                    <w:ind w:firstLine="0" w:firstLineChars="0"/>
                    <w:jc w:val="center"/>
                    <w:rPr>
                      <w:rFonts w:hint="default" w:eastAsia="宋体"/>
                      <w:bCs/>
                      <w:sz w:val="21"/>
                      <w:szCs w:val="21"/>
                      <w:lang w:val="en-US" w:eastAsia="zh-CN"/>
                    </w:rPr>
                  </w:pPr>
                  <w:r>
                    <w:rPr>
                      <w:rFonts w:hint="eastAsia"/>
                      <w:bCs/>
                      <w:sz w:val="21"/>
                      <w:szCs w:val="21"/>
                      <w:lang w:val="en-US" w:eastAsia="zh-CN"/>
                    </w:rPr>
                    <w:t>SW</w:t>
                  </w:r>
                </w:p>
              </w:tc>
              <w:tc>
                <w:tcPr>
                  <w:tcW w:w="928" w:type="dxa"/>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Cs/>
                      <w:color w:val="auto"/>
                      <w:spacing w:val="0"/>
                      <w:kern w:val="0"/>
                      <w:sz w:val="21"/>
                      <w:szCs w:val="21"/>
                      <w:highlight w:val="none"/>
                      <w:lang w:val="en-US" w:eastAsia="zh-CN"/>
                    </w:rPr>
                  </w:pPr>
                  <w:r>
                    <w:rPr>
                      <w:rFonts w:hint="default" w:ascii="Times New Roman" w:hAnsi="Times New Roman" w:eastAsia="宋体" w:cs="Times New Roman"/>
                      <w:bCs/>
                      <w:color w:val="auto"/>
                      <w:spacing w:val="0"/>
                      <w:kern w:val="0"/>
                      <w:sz w:val="21"/>
                      <w:szCs w:val="21"/>
                      <w:highlight w:val="none"/>
                      <w:lang w:val="en-US" w:eastAsia="zh-CN"/>
                    </w:rPr>
                    <w:t>《声环境质量标准》</w:t>
                  </w:r>
                  <w:r>
                    <w:rPr>
                      <w:rFonts w:hint="eastAsia" w:cs="Times New Roman"/>
                      <w:bCs/>
                      <w:color w:val="auto"/>
                      <w:spacing w:val="0"/>
                      <w:kern w:val="0"/>
                      <w:sz w:val="21"/>
                      <w:szCs w:val="21"/>
                      <w:highlight w:val="none"/>
                      <w:lang w:val="en-US" w:eastAsia="zh-CN"/>
                    </w:rPr>
                    <w:t>2</w:t>
                  </w:r>
                  <w:r>
                    <w:rPr>
                      <w:rFonts w:hint="default" w:ascii="Times New Roman" w:hAnsi="Times New Roman" w:eastAsia="宋体" w:cs="Times New Roman"/>
                      <w:bCs/>
                      <w:color w:val="auto"/>
                      <w:spacing w:val="0"/>
                      <w:kern w:val="0"/>
                      <w:sz w:val="21"/>
                      <w:szCs w:val="21"/>
                      <w:highlight w:val="none"/>
                      <w:lang w:val="en-US" w:eastAsia="zh-CN"/>
                    </w:rPr>
                    <w:t>类</w:t>
                  </w:r>
                </w:p>
              </w:tc>
              <w:tc>
                <w:tcPr>
                  <w:tcW w:w="2540" w:type="dxa"/>
                  <w:tcBorders>
                    <w:tl2br w:val="nil"/>
                    <w:tr2bl w:val="nil"/>
                  </w:tcBorders>
                  <w:noWrap w:val="0"/>
                  <w:vAlign w:val="center"/>
                </w:tcPr>
                <w:p>
                  <w:pPr>
                    <w:snapToGrid w:val="0"/>
                    <w:spacing w:line="240" w:lineRule="auto"/>
                    <w:ind w:firstLine="0" w:firstLineChars="0"/>
                    <w:jc w:val="center"/>
                    <w:rPr>
                      <w:rFonts w:hint="default" w:ascii="Times New Roman" w:hAnsi="Times New Roman" w:eastAsia="宋体" w:cs="Times New Roman"/>
                      <w:bCs/>
                      <w:color w:val="auto"/>
                      <w:spacing w:val="0"/>
                      <w:kern w:val="0"/>
                      <w:sz w:val="21"/>
                      <w:szCs w:val="21"/>
                      <w:highlight w:val="none"/>
                      <w:lang w:val="en-US" w:eastAsia="zh-CN"/>
                    </w:rPr>
                  </w:pPr>
                  <w:r>
                    <w:rPr>
                      <w:rFonts w:hint="eastAsia" w:ascii="Times New Roman" w:hAnsi="Times New Roman" w:eastAsia="宋体" w:cs="Times New Roman"/>
                      <w:bCs/>
                      <w:color w:val="auto"/>
                      <w:spacing w:val="0"/>
                      <w:kern w:val="0"/>
                      <w:sz w:val="21"/>
                      <w:szCs w:val="21"/>
                      <w:highlight w:val="none"/>
                      <w:lang w:val="en-US" w:eastAsia="zh-CN"/>
                    </w:rPr>
                    <w:t>砖混结构，</w:t>
                  </w:r>
                  <w:r>
                    <w:rPr>
                      <w:rFonts w:hint="eastAsia" w:cs="Times New Roman"/>
                      <w:bCs/>
                      <w:color w:val="auto"/>
                      <w:spacing w:val="0"/>
                      <w:kern w:val="0"/>
                      <w:sz w:val="21"/>
                      <w:szCs w:val="21"/>
                      <w:highlight w:val="none"/>
                      <w:lang w:val="en-US" w:eastAsia="zh-CN"/>
                    </w:rPr>
                    <w:t>1</w:t>
                  </w:r>
                  <w:r>
                    <w:rPr>
                      <w:rFonts w:hint="eastAsia" w:ascii="Times New Roman" w:hAnsi="Times New Roman" w:eastAsia="宋体" w:cs="Times New Roman"/>
                      <w:bCs/>
                      <w:color w:val="auto"/>
                      <w:spacing w:val="0"/>
                      <w:kern w:val="0"/>
                      <w:sz w:val="21"/>
                      <w:szCs w:val="21"/>
                      <w:highlight w:val="none"/>
                      <w:lang w:val="en-US" w:eastAsia="zh-CN"/>
                    </w:rPr>
                    <w:t>层，朝南，</w:t>
                  </w:r>
                  <w:r>
                    <w:rPr>
                      <w:rFonts w:hint="eastAsia" w:cs="Times New Roman"/>
                      <w:bCs/>
                      <w:color w:val="000000"/>
                      <w:sz w:val="21"/>
                      <w:szCs w:val="21"/>
                      <w:lang w:val="en-US" w:eastAsia="zh-CN"/>
                    </w:rPr>
                    <w:t>1</w:t>
                  </w:r>
                  <w:r>
                    <w:rPr>
                      <w:rFonts w:hint="eastAsia" w:ascii="Times New Roman" w:hAnsi="Times New Roman" w:eastAsia="宋体" w:cs="Times New Roman"/>
                      <w:bCs/>
                      <w:color w:val="000000"/>
                      <w:sz w:val="21"/>
                      <w:szCs w:val="21"/>
                      <w:lang w:val="en-US" w:eastAsia="zh-CN"/>
                    </w:rPr>
                    <w:t>户/</w:t>
                  </w:r>
                  <w:r>
                    <w:rPr>
                      <w:rFonts w:hint="eastAsia" w:cs="Times New Roman"/>
                      <w:bCs/>
                      <w:color w:val="000000"/>
                      <w:sz w:val="21"/>
                      <w:szCs w:val="21"/>
                      <w:lang w:val="en-US" w:eastAsia="zh-CN"/>
                    </w:rPr>
                    <w:t>3</w:t>
                  </w:r>
                  <w:r>
                    <w:rPr>
                      <w:rFonts w:hint="eastAsia" w:ascii="Times New Roman" w:hAnsi="Times New Roman" w:eastAsia="宋体" w:cs="Times New Roman"/>
                      <w:bCs/>
                      <w:color w:val="000000"/>
                      <w:sz w:val="21"/>
                      <w:szCs w:val="21"/>
                      <w:lang w:val="en-US" w:eastAsia="zh-CN"/>
                    </w:rPr>
                    <w:t>人</w:t>
                  </w:r>
                  <w:r>
                    <w:rPr>
                      <w:rFonts w:hint="eastAsia" w:ascii="Times New Roman" w:hAnsi="Times New Roman" w:eastAsia="宋体" w:cs="Times New Roman"/>
                      <w:bCs/>
                      <w:color w:val="auto"/>
                      <w:spacing w:val="0"/>
                      <w:kern w:val="0"/>
                      <w:sz w:val="21"/>
                      <w:szCs w:val="21"/>
                      <w:highlight w:val="none"/>
                      <w:lang w:val="en-US" w:eastAsia="zh-CN"/>
                    </w:rPr>
                    <w:t>，周边为道路</w:t>
                  </w:r>
                  <w:r>
                    <w:rPr>
                      <w:rFonts w:hint="eastAsia" w:cs="Times New Roman"/>
                      <w:bCs/>
                      <w:color w:val="auto"/>
                      <w:spacing w:val="0"/>
                      <w:kern w:val="0"/>
                      <w:sz w:val="21"/>
                      <w:szCs w:val="21"/>
                      <w:highlight w:val="none"/>
                      <w:lang w:val="en-US" w:eastAsia="zh-CN"/>
                    </w:rPr>
                    <w:t>、企业</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b/>
                <w:bCs/>
                <w:color w:val="000000"/>
              </w:rPr>
            </w:pPr>
            <w:r>
              <w:rPr>
                <w:rFonts w:hint="eastAsia" w:ascii="Times New Roman" w:hAnsi="Times New Roman" w:eastAsia="宋体" w:cs="Times New Roman"/>
                <w:b/>
                <w:bCs w:val="0"/>
                <w:color w:val="auto"/>
                <w:spacing w:val="0"/>
                <w:kern w:val="0"/>
                <w:sz w:val="18"/>
                <w:szCs w:val="18"/>
                <w:highlight w:val="none"/>
                <w:lang w:val="en-US" w:eastAsia="zh-CN"/>
              </w:rPr>
              <w:t>注：</w:t>
            </w:r>
            <w:r>
              <w:rPr>
                <w:rFonts w:hint="eastAsia"/>
                <w:b/>
                <w:bCs/>
                <w:color w:val="000000"/>
                <w:sz w:val="18"/>
                <w:szCs w:val="18"/>
                <w:lang w:val="en-US" w:eastAsia="zh-CN"/>
              </w:rPr>
              <w:t>以厂区西南角为</w:t>
            </w:r>
            <w:r>
              <w:rPr>
                <w:rFonts w:hint="default"/>
                <w:b/>
                <w:bCs/>
                <w:color w:val="000000"/>
                <w:sz w:val="18"/>
                <w:szCs w:val="18"/>
              </w:rPr>
              <w:t>坐标原点</w:t>
            </w:r>
            <w:r>
              <w:rPr>
                <w:rFonts w:hint="eastAsia"/>
                <w:b/>
                <w:bCs/>
                <w:color w:val="000000"/>
                <w:sz w:val="18"/>
                <w:szCs w:val="18"/>
                <w:lang w:eastAsia="zh-CN"/>
              </w:rPr>
              <w:t>（</w:t>
            </w:r>
            <w:r>
              <w:rPr>
                <w:rFonts w:hint="eastAsia"/>
                <w:b/>
                <w:bCs/>
                <w:color w:val="000000"/>
                <w:sz w:val="18"/>
                <w:szCs w:val="18"/>
                <w:lang w:val="en-US" w:eastAsia="zh-CN"/>
              </w:rPr>
              <w:t>0，0，0</w:t>
            </w:r>
            <w:r>
              <w:rPr>
                <w:rFonts w:hint="eastAsia"/>
                <w:b/>
                <w:bCs/>
                <w:color w:val="000000"/>
                <w:sz w:val="18"/>
                <w:szCs w:val="18"/>
                <w:lang w:eastAsia="zh-CN"/>
              </w:rPr>
              <w:t>）</w:t>
            </w:r>
            <w:r>
              <w:rPr>
                <w:rFonts w:hint="default"/>
                <w:b/>
                <w:bCs/>
                <w:color w:val="000000"/>
                <w:sz w:val="18"/>
                <w:szCs w:val="18"/>
              </w:rPr>
              <w:t>，</w:t>
            </w:r>
            <w:r>
              <w:rPr>
                <w:rFonts w:hint="eastAsia"/>
                <w:b/>
                <w:bCs/>
                <w:color w:val="000000"/>
                <w:sz w:val="18"/>
                <w:szCs w:val="18"/>
                <w:lang w:val="en-US" w:eastAsia="zh-CN"/>
              </w:rPr>
              <w:t>正</w:t>
            </w:r>
            <w:r>
              <w:rPr>
                <w:rFonts w:hint="default"/>
                <w:b/>
                <w:bCs/>
                <w:color w:val="000000"/>
                <w:sz w:val="18"/>
                <w:szCs w:val="18"/>
              </w:rPr>
              <w:t>东</w:t>
            </w:r>
            <w:r>
              <w:rPr>
                <w:rFonts w:hint="eastAsia"/>
                <w:b/>
                <w:bCs/>
                <w:color w:val="000000"/>
                <w:sz w:val="18"/>
                <w:szCs w:val="18"/>
                <w:lang w:val="en-US" w:eastAsia="zh-CN"/>
              </w:rPr>
              <w:t>方</w:t>
            </w:r>
            <w:r>
              <w:rPr>
                <w:rFonts w:hint="default"/>
                <w:b/>
                <w:bCs/>
                <w:color w:val="000000"/>
                <w:sz w:val="18"/>
                <w:szCs w:val="18"/>
              </w:rPr>
              <w:t>向为X轴方向，</w:t>
            </w:r>
            <w:r>
              <w:rPr>
                <w:rFonts w:hint="eastAsia"/>
                <w:b/>
                <w:bCs/>
                <w:color w:val="000000"/>
                <w:sz w:val="18"/>
                <w:szCs w:val="18"/>
                <w:lang w:val="en-US" w:eastAsia="zh-CN"/>
              </w:rPr>
              <w:t>正北方</w:t>
            </w:r>
            <w:r>
              <w:rPr>
                <w:rFonts w:hint="default"/>
                <w:b/>
                <w:bCs/>
                <w:color w:val="000000"/>
                <w:sz w:val="18"/>
                <w:szCs w:val="18"/>
              </w:rPr>
              <w:t>向为Y轴方向</w:t>
            </w:r>
            <w:r>
              <w:rPr>
                <w:rFonts w:hint="eastAsia" w:ascii="Times New Roman" w:hAnsi="Times New Roman" w:eastAsia="宋体" w:cs="Times New Roman"/>
                <w:b/>
                <w:bCs w:val="0"/>
                <w:color w:val="auto"/>
                <w:spacing w:val="0"/>
                <w:kern w:val="0"/>
                <w:sz w:val="18"/>
                <w:szCs w:val="18"/>
                <w:highlight w:val="none"/>
                <w:lang w:val="en-US" w:eastAsia="zh-CN"/>
              </w:rPr>
              <w:t>。</w:t>
            </w:r>
          </w:p>
          <w:p>
            <w:pPr>
              <w:keepNext w:val="0"/>
              <w:keepLines w:val="0"/>
              <w:pageBreakBefore w:val="0"/>
              <w:widowControl w:val="0"/>
              <w:kinsoku/>
              <w:wordWrap/>
              <w:overflowPunct/>
              <w:topLinePunct w:val="0"/>
              <w:autoSpaceDE/>
              <w:autoSpaceDN/>
              <w:bidi w:val="0"/>
              <w:spacing w:line="500" w:lineRule="exact"/>
              <w:ind w:firstLine="482" w:firstLineChars="200"/>
              <w:textAlignment w:val="auto"/>
              <w:rPr>
                <w:b/>
                <w:bCs/>
                <w:sz w:val="24"/>
                <w:szCs w:val="24"/>
              </w:rPr>
            </w:pPr>
            <w:r>
              <w:rPr>
                <w:rFonts w:hint="eastAsia"/>
                <w:b/>
                <w:bCs/>
                <w:sz w:val="24"/>
                <w:szCs w:val="24"/>
              </w:rPr>
              <w:t>3、水环境</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sz w:val="24"/>
                <w:szCs w:val="24"/>
                <w:lang w:val="en-US" w:eastAsia="zh-CN"/>
              </w:rPr>
            </w:pPr>
            <w:r>
              <w:rPr>
                <w:rFonts w:hint="eastAsia"/>
                <w:sz w:val="24"/>
                <w:szCs w:val="24"/>
                <w:lang w:val="en-US" w:eastAsia="zh-CN"/>
              </w:rPr>
              <w:t>（1）地表水环境</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sz w:val="24"/>
                <w:szCs w:val="24"/>
                <w:lang w:val="en-US" w:eastAsia="zh-CN"/>
              </w:rPr>
            </w:pPr>
            <w:r>
              <w:rPr>
                <w:rFonts w:hint="eastAsia"/>
                <w:sz w:val="24"/>
                <w:szCs w:val="24"/>
                <w:lang w:val="en-US" w:eastAsia="zh-CN"/>
              </w:rPr>
              <w:t>本项目生活污水尾水经</w:t>
            </w:r>
            <w:r>
              <w:rPr>
                <w:rFonts w:hint="eastAsia"/>
                <w:sz w:val="24"/>
                <w:szCs w:val="24"/>
                <w:vertAlign w:val="baseline"/>
                <w:lang w:val="en-US" w:eastAsia="zh-CN"/>
              </w:rPr>
              <w:t>化粪池预处理后接管至海安市惠泽净水有限公司集中处理，</w:t>
            </w:r>
            <w:r>
              <w:rPr>
                <w:rFonts w:hint="eastAsia"/>
                <w:sz w:val="24"/>
                <w:szCs w:val="24"/>
                <w:lang w:val="en-US" w:eastAsia="zh-CN"/>
              </w:rPr>
              <w:t>最终排入洋蛮河。</w:t>
            </w:r>
            <w:r>
              <w:rPr>
                <w:rFonts w:hint="eastAsia"/>
                <w:kern w:val="0"/>
                <w:sz w:val="24"/>
              </w:rPr>
              <w:t>地表水洋蛮河监测断面pH、COD、氨氮、总磷、总氮、SS等各项监测指标均可满足《地表水环境质量标准》（GB3838-2002）中的</w:t>
            </w:r>
            <w:r>
              <w:rPr>
                <w:rFonts w:ascii="Times New Roman" w:hAnsi="Times New Roman"/>
                <w:color w:val="auto"/>
                <w:sz w:val="24"/>
                <w:szCs w:val="24"/>
              </w:rPr>
              <w:t>Ⅲ</w:t>
            </w:r>
            <w:r>
              <w:rPr>
                <w:rFonts w:hint="eastAsia"/>
                <w:kern w:val="0"/>
                <w:sz w:val="24"/>
              </w:rPr>
              <w:t>类水质标准要求。</w:t>
            </w:r>
            <w:r>
              <w:rPr>
                <w:rFonts w:hint="eastAsia"/>
                <w:sz w:val="24"/>
                <w:szCs w:val="24"/>
                <w:lang w:val="en-US" w:eastAsia="zh-CN"/>
              </w:rPr>
              <w:t>雨水排放到距离项目最近的北凌河，地表水北凌河各项监测指标均可满足</w:t>
            </w:r>
            <w:r>
              <w:rPr>
                <w:rFonts w:hint="eastAsia"/>
                <w:kern w:val="0"/>
                <w:sz w:val="24"/>
              </w:rPr>
              <w:t>《地表水环境质量标准》（GB3838-2002）中的</w:t>
            </w:r>
            <w:r>
              <w:rPr>
                <w:rFonts w:ascii="Times New Roman" w:hAnsi="Times New Roman"/>
                <w:color w:val="auto"/>
                <w:sz w:val="24"/>
                <w:szCs w:val="24"/>
              </w:rPr>
              <w:t>Ⅲ</w:t>
            </w:r>
            <w:r>
              <w:rPr>
                <w:rFonts w:hint="eastAsia"/>
                <w:kern w:val="0"/>
                <w:sz w:val="24"/>
              </w:rPr>
              <w:t>类水质标准要求。</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eastAsia="宋体"/>
                <w:sz w:val="24"/>
                <w:szCs w:val="24"/>
                <w:lang w:val="en-US" w:eastAsia="zh-CN"/>
              </w:rPr>
            </w:pPr>
            <w:r>
              <w:rPr>
                <w:rFonts w:hint="eastAsia"/>
                <w:sz w:val="24"/>
                <w:szCs w:val="24"/>
                <w:lang w:val="en-US" w:eastAsia="zh-CN"/>
              </w:rPr>
              <w:t>（2）地下水环境</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sz w:val="24"/>
                <w:szCs w:val="24"/>
              </w:rPr>
            </w:pPr>
            <w:r>
              <w:rPr>
                <w:rFonts w:hint="eastAsia"/>
                <w:sz w:val="24"/>
                <w:szCs w:val="24"/>
              </w:rPr>
              <w:t>本项目厂界外500米范围内无地下水集中式饮用水水源和热水、矿泉水、温泉等特殊地下水资源。</w:t>
            </w:r>
          </w:p>
          <w:p>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eastAsia="宋体"/>
                <w:b/>
                <w:bCs/>
                <w:sz w:val="24"/>
                <w:szCs w:val="24"/>
                <w:lang w:val="en-US" w:eastAsia="zh-CN"/>
              </w:rPr>
            </w:pPr>
            <w:r>
              <w:rPr>
                <w:rFonts w:hint="eastAsia"/>
                <w:b/>
                <w:bCs/>
                <w:sz w:val="24"/>
                <w:szCs w:val="24"/>
              </w:rPr>
              <w:t>4、生态</w:t>
            </w:r>
            <w:r>
              <w:rPr>
                <w:rFonts w:hint="eastAsia"/>
                <w:b/>
                <w:bCs/>
                <w:sz w:val="24"/>
                <w:szCs w:val="24"/>
                <w:lang w:val="en-US" w:eastAsia="zh-CN"/>
              </w:rPr>
              <w:t>环境</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kern w:val="0"/>
                <w:sz w:val="24"/>
              </w:rPr>
            </w:pPr>
            <w:r>
              <w:rPr>
                <w:rFonts w:hint="eastAsia"/>
                <w:sz w:val="24"/>
                <w:szCs w:val="24"/>
              </w:rPr>
              <w:t>本项目位于</w:t>
            </w:r>
            <w:r>
              <w:rPr>
                <w:sz w:val="24"/>
                <w:szCs w:val="24"/>
              </w:rPr>
              <w:t>海安</w:t>
            </w:r>
            <w:r>
              <w:rPr>
                <w:rFonts w:hint="eastAsia"/>
                <w:sz w:val="24"/>
                <w:szCs w:val="24"/>
                <w:lang w:val="en-US" w:eastAsia="zh-CN"/>
              </w:rPr>
              <w:t>大公镇科技产业园</w:t>
            </w:r>
            <w:r>
              <w:rPr>
                <w:rFonts w:hint="eastAsia"/>
                <w:sz w:val="24"/>
                <w:szCs w:val="24"/>
              </w:rPr>
              <w:t>范围</w:t>
            </w:r>
            <w:r>
              <w:rPr>
                <w:sz w:val="24"/>
                <w:szCs w:val="24"/>
              </w:rPr>
              <w:t>内</w:t>
            </w:r>
            <w:r>
              <w:rPr>
                <w:rFonts w:hint="eastAsia"/>
                <w:sz w:val="24"/>
                <w:szCs w:val="24"/>
                <w:lang w:eastAsia="zh-CN"/>
              </w:rPr>
              <w:t>，</w:t>
            </w:r>
            <w:r>
              <w:rPr>
                <w:rFonts w:hint="eastAsia"/>
                <w:sz w:val="24"/>
                <w:szCs w:val="24"/>
                <w:lang w:val="en-US" w:eastAsia="zh-CN"/>
              </w:rPr>
              <w:t>无生态环境保护目标。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87" w:hRule="atLeast"/>
          <w:jc w:val="center"/>
        </w:trPr>
        <w:tc>
          <w:tcPr>
            <w:tcW w:w="245" w:type="pct"/>
            <w:tcBorders>
              <w:tl2br w:val="nil"/>
              <w:tr2bl w:val="nil"/>
            </w:tcBorders>
            <w:tcMar>
              <w:left w:w="28" w:type="dxa"/>
              <w:right w:w="28" w:type="dxa"/>
            </w:tcMar>
            <w:vAlign w:val="center"/>
          </w:tcPr>
          <w:p>
            <w:pPr>
              <w:adjustRightInd w:val="0"/>
              <w:snapToGrid w:val="0"/>
              <w:jc w:val="center"/>
              <w:rPr>
                <w:kern w:val="0"/>
                <w:sz w:val="24"/>
              </w:rPr>
            </w:pPr>
            <w:r>
              <w:rPr>
                <w:kern w:val="0"/>
                <w:sz w:val="24"/>
              </w:rPr>
              <w:t>污染</w:t>
            </w:r>
          </w:p>
          <w:p>
            <w:pPr>
              <w:adjustRightInd w:val="0"/>
              <w:snapToGrid w:val="0"/>
              <w:jc w:val="center"/>
              <w:rPr>
                <w:kern w:val="0"/>
                <w:sz w:val="24"/>
              </w:rPr>
            </w:pPr>
            <w:r>
              <w:rPr>
                <w:kern w:val="0"/>
                <w:sz w:val="24"/>
              </w:rPr>
              <w:t>物排</w:t>
            </w:r>
          </w:p>
          <w:p>
            <w:pPr>
              <w:adjustRightInd w:val="0"/>
              <w:snapToGrid w:val="0"/>
              <w:jc w:val="center"/>
              <w:rPr>
                <w:kern w:val="0"/>
                <w:sz w:val="24"/>
              </w:rPr>
            </w:pPr>
            <w:r>
              <w:rPr>
                <w:kern w:val="0"/>
                <w:sz w:val="24"/>
              </w:rPr>
              <w:t>放控</w:t>
            </w:r>
          </w:p>
          <w:p>
            <w:pPr>
              <w:adjustRightInd w:val="0"/>
              <w:snapToGrid w:val="0"/>
              <w:jc w:val="center"/>
              <w:rPr>
                <w:kern w:val="0"/>
                <w:sz w:val="24"/>
              </w:rPr>
            </w:pPr>
            <w:r>
              <w:rPr>
                <w:kern w:val="0"/>
                <w:sz w:val="24"/>
              </w:rPr>
              <w:t>制标</w:t>
            </w:r>
          </w:p>
          <w:p>
            <w:pPr>
              <w:adjustRightInd w:val="0"/>
              <w:snapToGrid w:val="0"/>
              <w:jc w:val="center"/>
              <w:rPr>
                <w:kern w:val="0"/>
                <w:sz w:val="24"/>
              </w:rPr>
            </w:pPr>
            <w:r>
              <w:rPr>
                <w:kern w:val="0"/>
                <w:sz w:val="24"/>
              </w:rPr>
              <w:t>准</w:t>
            </w:r>
          </w:p>
        </w:tc>
        <w:tc>
          <w:tcPr>
            <w:tcW w:w="4754" w:type="pct"/>
            <w:tcBorders>
              <w:tl2br w:val="nil"/>
              <w:tr2bl w:val="nil"/>
            </w:tcBorders>
            <w:vAlign w:val="center"/>
          </w:tcPr>
          <w:p>
            <w:pPr>
              <w:pageBreakBefore w:val="0"/>
              <w:numPr>
                <w:ilvl w:val="-1"/>
                <w:numId w:val="0"/>
              </w:numPr>
              <w:tabs>
                <w:tab w:val="left" w:pos="521"/>
              </w:tabs>
              <w:kinsoku/>
              <w:wordWrap/>
              <w:overflowPunct/>
              <w:topLinePunct w:val="0"/>
              <w:bidi w:val="0"/>
              <w:spacing w:line="500" w:lineRule="exact"/>
              <w:ind w:left="0" w:leftChars="0" w:firstLine="482" w:firstLineChars="200"/>
              <w:textAlignment w:val="auto"/>
              <w:rPr>
                <w:rFonts w:hint="eastAsia" w:ascii="宋体" w:hAnsi="宋体" w:eastAsia="宋体" w:cs="宋体"/>
                <w:b/>
                <w:bCs/>
                <w:sz w:val="24"/>
                <w:szCs w:val="24"/>
                <w:lang w:val="en-US" w:eastAsia="zh-CN"/>
              </w:rPr>
            </w:pPr>
            <w:r>
              <w:rPr>
                <w:rFonts w:hint="default" w:ascii="Times New Roman" w:hAnsi="Times New Roman" w:cs="Times New Roman"/>
                <w:b/>
                <w:bCs/>
                <w:sz w:val="24"/>
                <w:szCs w:val="24"/>
                <w:lang w:val="en-US" w:eastAsia="zh-CN"/>
              </w:rPr>
              <w:t>1、</w:t>
            </w:r>
            <w:r>
              <w:rPr>
                <w:rFonts w:hint="eastAsia" w:ascii="宋体" w:hAnsi="宋体" w:eastAsia="宋体" w:cs="宋体"/>
                <w:b/>
                <w:bCs/>
                <w:sz w:val="24"/>
                <w:szCs w:val="24"/>
                <w:lang w:val="en-US" w:eastAsia="zh-CN"/>
              </w:rPr>
              <w:t>大气污染物排放标准</w:t>
            </w:r>
          </w:p>
          <w:p>
            <w:pPr>
              <w:pageBreakBefore w:val="0"/>
              <w:numPr>
                <w:ilvl w:val="0"/>
                <w:numId w:val="0"/>
              </w:numPr>
              <w:tabs>
                <w:tab w:val="left" w:pos="521"/>
              </w:tabs>
              <w:kinsoku/>
              <w:wordWrap/>
              <w:overflowPunct/>
              <w:topLinePunct w:val="0"/>
              <w:bidi w:val="0"/>
              <w:spacing w:line="500" w:lineRule="exact"/>
              <w:ind w:firstLine="480" w:firstLineChars="200"/>
              <w:textAlignment w:val="auto"/>
              <w:rPr>
                <w:rFonts w:hint="eastAsia"/>
                <w:color w:val="auto"/>
                <w:sz w:val="24"/>
                <w:szCs w:val="24"/>
                <w:lang w:val="en-US" w:eastAsia="zh-CN"/>
              </w:rPr>
            </w:pPr>
            <w:r>
              <w:rPr>
                <w:rFonts w:hint="default" w:ascii="Times New Roman" w:hAnsi="Times New Roman" w:cs="Times New Roman"/>
                <w:color w:val="auto"/>
                <w:sz w:val="24"/>
                <w:szCs w:val="24"/>
                <w:lang w:val="en-US" w:eastAsia="zh-CN"/>
              </w:rPr>
              <w:t>本项目</w:t>
            </w:r>
            <w:r>
              <w:rPr>
                <w:rFonts w:hint="eastAsia" w:cs="Times New Roman"/>
                <w:color w:val="auto"/>
                <w:sz w:val="24"/>
                <w:szCs w:val="24"/>
                <w:lang w:val="en-US" w:eastAsia="zh-CN"/>
              </w:rPr>
              <w:t>印刷产生的非甲烷总烃有组织</w:t>
            </w:r>
            <w:r>
              <w:rPr>
                <w:rFonts w:hint="default" w:ascii="Times New Roman" w:hAnsi="Times New Roman" w:cs="Times New Roman"/>
                <w:color w:val="auto"/>
                <w:sz w:val="24"/>
                <w:szCs w:val="24"/>
              </w:rPr>
              <w:t>排放执行</w:t>
            </w:r>
            <w:r>
              <w:rPr>
                <w:rFonts w:hint="eastAsia" w:ascii="Times New Roman" w:hAnsi="Times New Roman" w:cs="Times New Roman"/>
                <w:color w:val="auto"/>
                <w:sz w:val="24"/>
                <w:szCs w:val="24"/>
                <w:lang w:val="en-US" w:eastAsia="zh-CN"/>
              </w:rPr>
              <w:t>江苏省《</w:t>
            </w:r>
            <w:r>
              <w:rPr>
                <w:rFonts w:hint="eastAsia"/>
                <w:color w:val="auto"/>
                <w:sz w:val="24"/>
                <w:szCs w:val="24"/>
                <w:lang w:val="en-US" w:eastAsia="zh-CN"/>
              </w:rPr>
              <w:t>印刷工业大气污染物排放标准</w:t>
            </w:r>
            <w:r>
              <w:rPr>
                <w:rFonts w:hint="eastAsia" w:ascii="Times New Roman" w:hAnsi="Times New Roman" w:cs="Times New Roman"/>
                <w:color w:val="auto"/>
                <w:sz w:val="24"/>
                <w:szCs w:val="24"/>
                <w:lang w:val="en-US" w:eastAsia="zh-CN"/>
              </w:rPr>
              <w:t>》</w:t>
            </w:r>
            <w:r>
              <w:rPr>
                <w:rFonts w:hint="eastAsia"/>
                <w:color w:val="auto"/>
                <w:sz w:val="24"/>
                <w:szCs w:val="24"/>
                <w:lang w:val="en-US" w:eastAsia="zh-CN"/>
              </w:rPr>
              <w:t>（DB32/ 4438-2022）中表1的标准限值</w:t>
            </w:r>
            <w:r>
              <w:rPr>
                <w:rFonts w:hint="eastAsia" w:ascii="Times New Roman" w:hAnsi="Times New Roman" w:cs="Times New Roman"/>
                <w:color w:val="auto"/>
                <w:sz w:val="24"/>
                <w:szCs w:val="24"/>
                <w:lang w:eastAsia="zh-CN"/>
              </w:rPr>
              <w:t>，</w:t>
            </w:r>
            <w:r>
              <w:rPr>
                <w:rFonts w:hint="eastAsia" w:cs="Times New Roman"/>
                <w:color w:val="auto"/>
                <w:sz w:val="24"/>
                <w:szCs w:val="24"/>
                <w:lang w:val="en-US" w:eastAsia="zh-CN"/>
              </w:rPr>
              <w:t>黏胶产生的非甲烷总烃有组织排放执行</w:t>
            </w:r>
            <w:r>
              <w:rPr>
                <w:rFonts w:hint="default" w:ascii="Times New Roman" w:hAnsi="Times New Roman" w:cs="Times New Roman"/>
                <w:color w:val="auto"/>
                <w:sz w:val="24"/>
                <w:szCs w:val="24"/>
              </w:rPr>
              <w:t>江苏省《大气污染物综合排放标准》（DB32/4041-2021）</w:t>
            </w:r>
            <w:r>
              <w:rPr>
                <w:rFonts w:hint="eastAsia" w:cs="Times New Roman"/>
                <w:color w:val="auto"/>
                <w:sz w:val="24"/>
                <w:szCs w:val="24"/>
                <w:lang w:val="en-US" w:eastAsia="zh-CN"/>
              </w:rPr>
              <w:t>中表1的标准限值，成型产生的非甲烷总烃有组织排放执行江苏省</w:t>
            </w:r>
            <w:r>
              <w:rPr>
                <w:rFonts w:hint="default" w:ascii="Times New Roman" w:hAnsi="Times New Roman" w:cs="Times New Roman"/>
                <w:color w:val="auto"/>
                <w:sz w:val="24"/>
                <w:szCs w:val="24"/>
              </w:rPr>
              <w:t>《大气污染物综合排放标准》（DB32/4041-2021）</w:t>
            </w:r>
            <w:r>
              <w:rPr>
                <w:rFonts w:hint="eastAsia" w:cs="Times New Roman"/>
                <w:color w:val="auto"/>
                <w:sz w:val="24"/>
                <w:szCs w:val="24"/>
                <w:lang w:val="en-US" w:eastAsia="zh-CN"/>
              </w:rPr>
              <w:t>中表1的标准限值，因印刷、黏胶、成型工序产生的废气合并通过1#排气筒排放，故1#排气筒排放的非甲烷总烃从严执行</w:t>
            </w:r>
            <w:r>
              <w:rPr>
                <w:rFonts w:hint="eastAsia" w:ascii="Times New Roman" w:hAnsi="Times New Roman" w:cs="Times New Roman"/>
                <w:color w:val="auto"/>
                <w:sz w:val="24"/>
                <w:szCs w:val="24"/>
                <w:lang w:val="en-US" w:eastAsia="zh-CN"/>
              </w:rPr>
              <w:t>江苏省《</w:t>
            </w:r>
            <w:r>
              <w:rPr>
                <w:rFonts w:hint="eastAsia"/>
                <w:color w:val="auto"/>
                <w:sz w:val="24"/>
                <w:szCs w:val="24"/>
                <w:lang w:val="en-US" w:eastAsia="zh-CN"/>
              </w:rPr>
              <w:t>印刷工业大气污染物排放标准</w:t>
            </w:r>
            <w:r>
              <w:rPr>
                <w:rFonts w:hint="eastAsia" w:ascii="Times New Roman" w:hAnsi="Times New Roman" w:cs="Times New Roman"/>
                <w:color w:val="auto"/>
                <w:sz w:val="24"/>
                <w:szCs w:val="24"/>
                <w:lang w:val="en-US" w:eastAsia="zh-CN"/>
              </w:rPr>
              <w:t>》</w:t>
            </w:r>
            <w:r>
              <w:rPr>
                <w:rFonts w:hint="eastAsia"/>
                <w:color w:val="auto"/>
                <w:sz w:val="24"/>
                <w:szCs w:val="24"/>
                <w:lang w:val="en-US" w:eastAsia="zh-CN"/>
              </w:rPr>
              <w:t>（DB32/ 4438-2022）中表1的标准限值。</w:t>
            </w:r>
            <w:r>
              <w:rPr>
                <w:rFonts w:hint="eastAsia" w:cs="Times New Roman"/>
                <w:color w:val="auto"/>
                <w:sz w:val="24"/>
                <w:szCs w:val="24"/>
                <w:lang w:val="en-US" w:eastAsia="zh-CN"/>
              </w:rPr>
              <w:t>臭气浓度有组织排放执行《恶臭污染物排放标准》（GB14554-93）中表2的标准限值。</w:t>
            </w:r>
          </w:p>
          <w:p>
            <w:pPr>
              <w:pageBreakBefore w:val="0"/>
              <w:numPr>
                <w:ilvl w:val="0"/>
                <w:numId w:val="0"/>
              </w:numPr>
              <w:tabs>
                <w:tab w:val="left" w:pos="521"/>
              </w:tabs>
              <w:kinsoku/>
              <w:wordWrap/>
              <w:overflowPunct/>
              <w:topLinePunct w:val="0"/>
              <w:bidi w:val="0"/>
              <w:spacing w:line="50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本项目</w:t>
            </w:r>
            <w:r>
              <w:rPr>
                <w:rFonts w:hint="eastAsia" w:ascii="Times New Roman" w:hAnsi="Times New Roman" w:cs="Times New Roman"/>
                <w:color w:val="auto"/>
                <w:sz w:val="24"/>
                <w:szCs w:val="24"/>
                <w:lang w:val="en-US" w:eastAsia="zh-CN"/>
              </w:rPr>
              <w:t>板材</w:t>
            </w:r>
            <w:r>
              <w:rPr>
                <w:rFonts w:hint="eastAsia" w:cs="Times New Roman"/>
                <w:color w:val="auto"/>
                <w:sz w:val="24"/>
                <w:szCs w:val="24"/>
                <w:lang w:val="en-US" w:eastAsia="zh-CN"/>
              </w:rPr>
              <w:t>下料、</w:t>
            </w:r>
            <w:r>
              <w:rPr>
                <w:rFonts w:hint="eastAsia" w:ascii="Times New Roman" w:hAnsi="Times New Roman" w:cs="Times New Roman"/>
                <w:color w:val="auto"/>
                <w:sz w:val="24"/>
                <w:szCs w:val="24"/>
                <w:lang w:val="en-US" w:eastAsia="zh-CN"/>
              </w:rPr>
              <w:t>加工</w:t>
            </w:r>
            <w:r>
              <w:rPr>
                <w:rFonts w:hint="eastAsia" w:cs="Times New Roman"/>
                <w:color w:val="auto"/>
                <w:sz w:val="24"/>
                <w:szCs w:val="24"/>
                <w:lang w:val="en-US" w:eastAsia="zh-CN"/>
              </w:rPr>
              <w:t>及</w:t>
            </w:r>
            <w:r>
              <w:rPr>
                <w:rFonts w:hint="eastAsia" w:ascii="Times New Roman" w:hAnsi="Times New Roman" w:cs="Times New Roman"/>
                <w:color w:val="auto"/>
                <w:sz w:val="24"/>
                <w:szCs w:val="24"/>
                <w:lang w:val="en-US" w:eastAsia="zh-CN"/>
              </w:rPr>
              <w:t>配件加工产生的颗粒物有组织排放执行</w:t>
            </w:r>
            <w:r>
              <w:rPr>
                <w:rFonts w:ascii="Times New Roman" w:hAnsi="Times New Roman"/>
                <w:color w:val="auto"/>
                <w:sz w:val="24"/>
                <w:szCs w:val="24"/>
              </w:rPr>
              <w:t>江苏省《</w:t>
            </w:r>
            <w:r>
              <w:rPr>
                <w:rFonts w:hint="eastAsia"/>
                <w:color w:val="auto"/>
                <w:sz w:val="24"/>
                <w:szCs w:val="24"/>
                <w:lang w:val="en-US" w:eastAsia="zh-CN"/>
              </w:rPr>
              <w:t>木材加工行业大气污染物排放标准</w:t>
            </w:r>
            <w:r>
              <w:rPr>
                <w:rFonts w:ascii="Times New Roman" w:hAnsi="Times New Roman"/>
                <w:color w:val="auto"/>
                <w:sz w:val="24"/>
                <w:szCs w:val="24"/>
              </w:rPr>
              <w:t>》（</w:t>
            </w:r>
            <w:r>
              <w:rPr>
                <w:rFonts w:hint="eastAsia" w:ascii="Times New Roman" w:hAnsi="Times New Roman"/>
                <w:color w:val="auto"/>
                <w:sz w:val="24"/>
                <w:szCs w:val="24"/>
              </w:rPr>
              <w:t>D</w:t>
            </w:r>
            <w:r>
              <w:rPr>
                <w:rFonts w:ascii="Times New Roman" w:hAnsi="Times New Roman"/>
                <w:color w:val="auto"/>
                <w:sz w:val="24"/>
                <w:szCs w:val="24"/>
              </w:rPr>
              <w:t>B</w:t>
            </w:r>
            <w:r>
              <w:rPr>
                <w:rFonts w:hint="eastAsia" w:ascii="Times New Roman" w:hAnsi="Times New Roman"/>
                <w:color w:val="auto"/>
                <w:sz w:val="24"/>
                <w:szCs w:val="24"/>
              </w:rPr>
              <w:t>32/4</w:t>
            </w:r>
            <w:r>
              <w:rPr>
                <w:rFonts w:hint="eastAsia"/>
                <w:color w:val="auto"/>
                <w:sz w:val="24"/>
                <w:szCs w:val="24"/>
                <w:lang w:val="en-US" w:eastAsia="zh-CN"/>
              </w:rPr>
              <w:t>436</w:t>
            </w:r>
            <w:r>
              <w:rPr>
                <w:rFonts w:hint="eastAsia" w:ascii="Times New Roman" w:hAnsi="Times New Roman"/>
                <w:color w:val="auto"/>
                <w:sz w:val="24"/>
                <w:szCs w:val="24"/>
              </w:rPr>
              <w:t>-20</w:t>
            </w:r>
            <w:r>
              <w:rPr>
                <w:rFonts w:hint="eastAsia"/>
                <w:color w:val="auto"/>
                <w:sz w:val="24"/>
                <w:szCs w:val="24"/>
                <w:lang w:val="en-US" w:eastAsia="zh-CN"/>
              </w:rPr>
              <w:t>22</w:t>
            </w:r>
            <w:r>
              <w:rPr>
                <w:rFonts w:ascii="Times New Roman" w:hAnsi="Times New Roman"/>
                <w:color w:val="auto"/>
                <w:sz w:val="24"/>
                <w:szCs w:val="24"/>
              </w:rPr>
              <w:t>）</w:t>
            </w:r>
            <w:r>
              <w:rPr>
                <w:rFonts w:hint="eastAsia" w:ascii="Times New Roman" w:hAnsi="Times New Roman"/>
                <w:color w:val="auto"/>
                <w:sz w:val="24"/>
                <w:szCs w:val="24"/>
                <w:lang w:val="en-US" w:eastAsia="zh-CN"/>
              </w:rPr>
              <w:t>中</w:t>
            </w:r>
            <w:r>
              <w:rPr>
                <w:rFonts w:ascii="Times New Roman" w:hAnsi="Times New Roman"/>
                <w:color w:val="auto"/>
                <w:sz w:val="24"/>
                <w:szCs w:val="24"/>
              </w:rPr>
              <w:t>表</w:t>
            </w:r>
            <w:r>
              <w:rPr>
                <w:rFonts w:hint="eastAsia" w:ascii="Times New Roman" w:hAnsi="Times New Roman"/>
                <w:color w:val="auto"/>
                <w:sz w:val="24"/>
                <w:szCs w:val="24"/>
              </w:rPr>
              <w:t>1</w:t>
            </w:r>
            <w:r>
              <w:rPr>
                <w:rFonts w:hint="eastAsia" w:ascii="Times New Roman" w:hAnsi="Times New Roman"/>
                <w:color w:val="auto"/>
                <w:sz w:val="24"/>
                <w:szCs w:val="24"/>
                <w:lang w:val="en-US" w:eastAsia="zh-CN"/>
              </w:rPr>
              <w:t>的标准</w:t>
            </w:r>
            <w:r>
              <w:rPr>
                <w:rFonts w:hint="eastAsia"/>
                <w:color w:val="auto"/>
                <w:sz w:val="24"/>
                <w:szCs w:val="24"/>
                <w:lang w:val="en-US" w:eastAsia="zh-CN"/>
              </w:rPr>
              <w:t>限值。</w:t>
            </w:r>
          </w:p>
          <w:p>
            <w:pPr>
              <w:pageBreakBefore w:val="0"/>
              <w:numPr>
                <w:ilvl w:val="0"/>
                <w:numId w:val="0"/>
              </w:numPr>
              <w:tabs>
                <w:tab w:val="left" w:pos="521"/>
              </w:tabs>
              <w:kinsoku/>
              <w:wordWrap/>
              <w:overflowPunct/>
              <w:topLinePunct w:val="0"/>
              <w:bidi w:val="0"/>
              <w:spacing w:line="50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厂界无组织排放的非甲烷总烃、</w:t>
            </w:r>
            <w:r>
              <w:rPr>
                <w:rFonts w:hint="eastAsia" w:ascii="Times New Roman" w:hAnsi="Times New Roman" w:cs="Times New Roman"/>
                <w:color w:val="auto"/>
                <w:sz w:val="24"/>
                <w:szCs w:val="24"/>
                <w:lang w:val="en-US" w:eastAsia="zh-CN"/>
              </w:rPr>
              <w:t>颗粒物执行</w:t>
            </w:r>
            <w:r>
              <w:rPr>
                <w:rFonts w:hint="default" w:ascii="Times New Roman" w:hAnsi="Times New Roman" w:cs="Times New Roman"/>
                <w:color w:val="auto"/>
                <w:sz w:val="24"/>
                <w:szCs w:val="24"/>
              </w:rPr>
              <w:t>江苏省《大气污染物综合排放标准》（DB32/4041-2021）</w:t>
            </w:r>
            <w:r>
              <w:rPr>
                <w:rFonts w:hint="eastAsia" w:cs="Times New Roman"/>
                <w:color w:val="auto"/>
                <w:sz w:val="24"/>
                <w:szCs w:val="24"/>
                <w:lang w:val="en-US" w:eastAsia="zh-CN"/>
              </w:rPr>
              <w:t>中</w:t>
            </w:r>
            <w:r>
              <w:rPr>
                <w:rFonts w:hint="default" w:ascii="Times New Roman" w:hAnsi="Times New Roman" w:cs="Times New Roman"/>
                <w:color w:val="auto"/>
                <w:sz w:val="24"/>
                <w:szCs w:val="24"/>
              </w:rPr>
              <w:t>表3</w:t>
            </w:r>
            <w:r>
              <w:rPr>
                <w:rFonts w:hint="eastAsia" w:cs="Times New Roman"/>
                <w:color w:val="auto"/>
                <w:sz w:val="24"/>
                <w:szCs w:val="24"/>
                <w:lang w:val="en-US" w:eastAsia="zh-CN"/>
              </w:rPr>
              <w:t>的标准限值</w:t>
            </w:r>
            <w:r>
              <w:rPr>
                <w:rFonts w:hint="eastAsia" w:ascii="Times New Roman" w:hAnsi="Times New Roman" w:cs="Times New Roman"/>
                <w:color w:val="auto"/>
                <w:sz w:val="24"/>
                <w:szCs w:val="24"/>
                <w:lang w:val="en-US" w:eastAsia="zh-CN"/>
              </w:rPr>
              <w:t>，臭气浓度执行《恶臭污染物排放标准》（GB14554-93）</w:t>
            </w:r>
            <w:r>
              <w:rPr>
                <w:rFonts w:hint="eastAsia" w:cs="Times New Roman"/>
                <w:color w:val="auto"/>
                <w:sz w:val="24"/>
                <w:szCs w:val="24"/>
                <w:lang w:val="en-US" w:eastAsia="zh-CN"/>
              </w:rPr>
              <w:t>中表1的标准限值。</w:t>
            </w:r>
            <w:r>
              <w:rPr>
                <w:rFonts w:hint="default" w:ascii="Times New Roman" w:hAnsi="Times New Roman" w:cs="Times New Roman"/>
                <w:color w:val="auto"/>
                <w:sz w:val="24"/>
                <w:szCs w:val="24"/>
              </w:rPr>
              <w:t>具体标准限值见</w:t>
            </w:r>
            <w:r>
              <w:rPr>
                <w:rFonts w:hint="default" w:ascii="Times New Roman" w:hAnsi="Times New Roman" w:cs="Times New Roman"/>
                <w:color w:val="auto"/>
                <w:sz w:val="24"/>
                <w:szCs w:val="24"/>
                <w:lang w:val="en-US" w:eastAsia="zh-CN"/>
              </w:rPr>
              <w:t>下</w:t>
            </w:r>
            <w:r>
              <w:rPr>
                <w:rFonts w:hint="default" w:ascii="Times New Roman" w:hAnsi="Times New Roman" w:cs="Times New Roman"/>
                <w:color w:val="auto"/>
                <w:sz w:val="24"/>
                <w:szCs w:val="24"/>
              </w:rPr>
              <w:t>表。</w:t>
            </w:r>
            <w:r>
              <w:rPr>
                <w:rFonts w:hint="eastAsia" w:cs="Times New Roman"/>
                <w:color w:val="auto"/>
                <w:sz w:val="24"/>
                <w:szCs w:val="24"/>
                <w:lang w:val="en-US" w:eastAsia="zh-CN"/>
              </w:rPr>
              <w:t xml:space="preserve"> </w:t>
            </w:r>
          </w:p>
          <w:p>
            <w:pPr>
              <w:keepNext w:val="0"/>
              <w:keepLines w:val="0"/>
              <w:pageBreakBefore w:val="0"/>
              <w:widowControl w:val="0"/>
              <w:numPr>
                <w:ilvl w:val="0"/>
                <w:numId w:val="3"/>
              </w:numPr>
              <w:tabs>
                <w:tab w:val="clear" w:pos="420"/>
              </w:tabs>
              <w:kinsoku/>
              <w:wordWrap/>
              <w:overflowPunct/>
              <w:topLinePunct w:val="0"/>
              <w:autoSpaceDE/>
              <w:autoSpaceDN/>
              <w:bidi w:val="0"/>
              <w:adjustRightInd w:val="0"/>
              <w:snapToGrid w:val="0"/>
              <w:spacing w:line="500" w:lineRule="exact"/>
              <w:ind w:left="0" w:leftChars="0" w:hanging="5" w:firstLineChars="0"/>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大气污染物排放标准</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84"/>
              <w:gridCol w:w="1191"/>
              <w:gridCol w:w="1343"/>
              <w:gridCol w:w="1245"/>
              <w:gridCol w:w="1005"/>
              <w:gridCol w:w="32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排放口</w:t>
                  </w: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污染源</w:t>
                  </w:r>
                </w:p>
              </w:tc>
              <w:tc>
                <w:tcPr>
                  <w:tcW w:w="1343"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污染物</w:t>
                  </w:r>
                </w:p>
              </w:tc>
              <w:tc>
                <w:tcPr>
                  <w:tcW w:w="124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排放浓度</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kern w:val="2"/>
                      <w:sz w:val="21"/>
                      <w:szCs w:val="21"/>
                      <w:lang w:val="en-US" w:eastAsia="zh-CN" w:bidi="ar-SA"/>
                    </w:rPr>
                  </w:pPr>
                  <w:r>
                    <w:rPr>
                      <w:rFonts w:hint="default" w:ascii="Times New Roman" w:hAnsi="Times New Roman" w:cs="Times New Roman"/>
                      <w:b/>
                      <w:bCs/>
                      <w:sz w:val="21"/>
                      <w:szCs w:val="21"/>
                    </w:rPr>
                    <w:t>（mg/m</w:t>
                  </w:r>
                  <w:r>
                    <w:rPr>
                      <w:rFonts w:hint="default" w:ascii="Times New Roman" w:hAnsi="Times New Roman" w:cs="Times New Roman"/>
                      <w:b/>
                      <w:bCs/>
                      <w:sz w:val="21"/>
                      <w:szCs w:val="21"/>
                      <w:vertAlign w:val="superscript"/>
                    </w:rPr>
                    <w:t>3</w:t>
                  </w:r>
                  <w:r>
                    <w:rPr>
                      <w:rFonts w:hint="default" w:ascii="Times New Roman" w:hAnsi="Times New Roman" w:cs="Times New Roman"/>
                      <w:b/>
                      <w:bCs/>
                      <w:sz w:val="21"/>
                      <w:szCs w:val="21"/>
                    </w:rPr>
                    <w:t>）</w:t>
                  </w:r>
                </w:p>
              </w:tc>
              <w:tc>
                <w:tcPr>
                  <w:tcW w:w="100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排放速率</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kern w:val="2"/>
                      <w:sz w:val="21"/>
                      <w:szCs w:val="21"/>
                      <w:lang w:val="en-US" w:eastAsia="zh-CN" w:bidi="ar-SA"/>
                    </w:rPr>
                  </w:pPr>
                  <w:r>
                    <w:rPr>
                      <w:rFonts w:hint="default" w:ascii="Times New Roman" w:hAnsi="Times New Roman" w:cs="Times New Roman"/>
                      <w:b/>
                      <w:bCs/>
                      <w:sz w:val="21"/>
                      <w:szCs w:val="21"/>
                    </w:rPr>
                    <w:t>（</w:t>
                  </w:r>
                  <w:r>
                    <w:rPr>
                      <w:rFonts w:hint="eastAsia" w:ascii="Times New Roman" w:hAnsi="Times New Roman" w:cs="Times New Roman"/>
                      <w:b/>
                      <w:bCs/>
                      <w:sz w:val="21"/>
                      <w:szCs w:val="21"/>
                      <w:lang w:val="en-US" w:eastAsia="zh-CN"/>
                    </w:rPr>
                    <w:t>kg/h</w:t>
                  </w:r>
                  <w:r>
                    <w:rPr>
                      <w:rFonts w:hint="default" w:ascii="Times New Roman" w:hAnsi="Times New Roman" w:cs="Times New Roman"/>
                      <w:b/>
                      <w:bCs/>
                      <w:sz w:val="21"/>
                      <w:szCs w:val="21"/>
                    </w:rPr>
                    <w:t>）</w:t>
                  </w:r>
                </w:p>
              </w:tc>
              <w:tc>
                <w:tcPr>
                  <w:tcW w:w="3236"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1#排气筒</w:t>
                  </w:r>
                </w:p>
              </w:tc>
              <w:tc>
                <w:tcPr>
                  <w:tcW w:w="0" w:type="auto"/>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印刷、黏胶、成型</w:t>
                  </w:r>
                </w:p>
              </w:tc>
              <w:tc>
                <w:tcPr>
                  <w:tcW w:w="1343"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非甲烷总烃</w:t>
                  </w:r>
                </w:p>
              </w:tc>
              <w:tc>
                <w:tcPr>
                  <w:tcW w:w="1245"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50</w:t>
                  </w:r>
                </w:p>
              </w:tc>
              <w:tc>
                <w:tcPr>
                  <w:tcW w:w="1005"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1.8</w:t>
                  </w:r>
                </w:p>
              </w:tc>
              <w:tc>
                <w:tcPr>
                  <w:tcW w:w="3236"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b w:val="0"/>
                      <w:bCs/>
                      <w:color w:val="auto"/>
                      <w:sz w:val="21"/>
                      <w:szCs w:val="21"/>
                      <w:lang w:val="en-US" w:eastAsia="zh-CN"/>
                    </w:rPr>
                    <w:t>《印刷工业大气污染物排放标准》（DB32/ 4438-2022）</w:t>
                  </w:r>
                  <w:r>
                    <w:rPr>
                      <w:rFonts w:hint="eastAsia" w:ascii="Times New Roman" w:hAnsi="Times New Roman" w:cs="Times New Roman"/>
                      <w:b w:val="0"/>
                      <w:bCs/>
                      <w:color w:val="auto"/>
                      <w:sz w:val="21"/>
                      <w:szCs w:val="21"/>
                      <w:lang w:val="en-US" w:eastAsia="zh-CN"/>
                    </w:rPr>
                    <w:t>表1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rPr>
                  </w:pPr>
                </w:p>
              </w:tc>
              <w:tc>
                <w:tcPr>
                  <w:tcW w:w="1343"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臭气浓度</w:t>
                  </w:r>
                </w:p>
              </w:tc>
              <w:tc>
                <w:tcPr>
                  <w:tcW w:w="2250" w:type="dxa"/>
                  <w:gridSpan w:val="2"/>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2000（无量纲）</w:t>
                  </w:r>
                </w:p>
              </w:tc>
              <w:tc>
                <w:tcPr>
                  <w:tcW w:w="3236"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《恶臭污染物排放标准》（GB14554-93）表2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2#排气筒</w:t>
                  </w:r>
                </w:p>
              </w:tc>
              <w:tc>
                <w:tcPr>
                  <w:tcW w:w="0" w:type="auto"/>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板材</w:t>
                  </w:r>
                  <w:r>
                    <w:rPr>
                      <w:rFonts w:hint="eastAsia" w:cs="Times New Roman"/>
                      <w:sz w:val="21"/>
                      <w:szCs w:val="21"/>
                      <w:lang w:val="en-US" w:eastAsia="zh-CN"/>
                    </w:rPr>
                    <w:t>下料</w:t>
                  </w:r>
                  <w:r>
                    <w:rPr>
                      <w:rFonts w:hint="eastAsia" w:ascii="Times New Roman" w:hAnsi="Times New Roman" w:cs="Times New Roman"/>
                      <w:sz w:val="21"/>
                      <w:szCs w:val="21"/>
                      <w:lang w:val="en-US" w:eastAsia="zh-CN"/>
                    </w:rPr>
                    <w:t>加工、配件加工</w:t>
                  </w:r>
                </w:p>
              </w:tc>
              <w:tc>
                <w:tcPr>
                  <w:tcW w:w="1343"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颗粒物</w:t>
                  </w:r>
                </w:p>
              </w:tc>
              <w:tc>
                <w:tcPr>
                  <w:tcW w:w="1245"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15</w:t>
                  </w:r>
                </w:p>
              </w:tc>
              <w:tc>
                <w:tcPr>
                  <w:tcW w:w="1005"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3236"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lang w:val="en-US" w:eastAsia="zh-CN"/>
                    </w:rPr>
                  </w:pPr>
                  <w:r>
                    <w:rPr>
                      <w:rFonts w:hint="eastAsia"/>
                      <w:color w:val="auto"/>
                      <w:sz w:val="21"/>
                      <w:szCs w:val="21"/>
                    </w:rPr>
                    <w:t>《</w:t>
                  </w:r>
                  <w:r>
                    <w:rPr>
                      <w:rFonts w:hint="eastAsia"/>
                      <w:color w:val="auto"/>
                      <w:sz w:val="21"/>
                      <w:szCs w:val="21"/>
                      <w:lang w:val="en-US" w:eastAsia="zh-CN"/>
                    </w:rPr>
                    <w:t>木材加工行业大气污染物排放标准</w:t>
                  </w:r>
                  <w:r>
                    <w:rPr>
                      <w:rFonts w:hint="eastAsia"/>
                      <w:color w:val="auto"/>
                      <w:sz w:val="21"/>
                      <w:szCs w:val="21"/>
                    </w:rPr>
                    <w:t>》（DB32/4</w:t>
                  </w:r>
                  <w:r>
                    <w:rPr>
                      <w:rFonts w:hint="eastAsia"/>
                      <w:color w:val="auto"/>
                      <w:sz w:val="21"/>
                      <w:szCs w:val="21"/>
                      <w:lang w:val="en-US" w:eastAsia="zh-CN"/>
                    </w:rPr>
                    <w:t>436-2022</w:t>
                  </w:r>
                  <w:r>
                    <w:rPr>
                      <w:rFonts w:hint="eastAsia"/>
                      <w:color w:val="auto"/>
                      <w:sz w:val="21"/>
                      <w:szCs w:val="21"/>
                    </w:rPr>
                    <w:t>）表</w:t>
                  </w:r>
                  <w:r>
                    <w:rPr>
                      <w:rFonts w:hint="eastAsia"/>
                      <w:color w:val="auto"/>
                      <w:sz w:val="21"/>
                      <w:szCs w:val="21"/>
                      <w:lang w:val="en-US" w:eastAsia="zh-CN"/>
                    </w:rPr>
                    <w:t>1</w:t>
                  </w:r>
                </w:p>
              </w:tc>
            </w:tr>
          </w:tbl>
          <w:p>
            <w:pPr>
              <w:keepNext w:val="0"/>
              <w:keepLines w:val="0"/>
              <w:pageBreakBefore w:val="0"/>
              <w:widowControl w:val="0"/>
              <w:numPr>
                <w:ilvl w:val="0"/>
                <w:numId w:val="3"/>
              </w:numPr>
              <w:tabs>
                <w:tab w:val="clear" w:pos="420"/>
              </w:tabs>
              <w:kinsoku/>
              <w:wordWrap/>
              <w:overflowPunct/>
              <w:topLinePunct w:val="0"/>
              <w:autoSpaceDE/>
              <w:autoSpaceDN/>
              <w:bidi w:val="0"/>
              <w:adjustRightInd w:val="0"/>
              <w:snapToGrid w:val="0"/>
              <w:spacing w:line="500" w:lineRule="exact"/>
              <w:ind w:left="0" w:leftChars="0" w:hanging="5" w:firstLineChars="0"/>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大气污染物排放标准</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23"/>
              <w:gridCol w:w="1530"/>
              <w:gridCol w:w="1471"/>
              <w:gridCol w:w="1178"/>
              <w:gridCol w:w="33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23"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污染源</w:t>
                  </w:r>
                </w:p>
              </w:tc>
              <w:tc>
                <w:tcPr>
                  <w:tcW w:w="153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污染物</w:t>
                  </w:r>
                </w:p>
              </w:tc>
              <w:tc>
                <w:tcPr>
                  <w:tcW w:w="2649" w:type="dxa"/>
                  <w:gridSpan w:val="2"/>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无组织排放监控浓度限值</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kern w:val="2"/>
                      <w:sz w:val="21"/>
                      <w:szCs w:val="21"/>
                      <w:lang w:val="en-US" w:eastAsia="zh-CN" w:bidi="ar-SA"/>
                    </w:rPr>
                  </w:pPr>
                  <w:r>
                    <w:rPr>
                      <w:rFonts w:hint="default" w:ascii="Times New Roman" w:hAnsi="Times New Roman" w:cs="Times New Roman"/>
                      <w:b/>
                      <w:bCs/>
                      <w:sz w:val="21"/>
                      <w:szCs w:val="21"/>
                    </w:rPr>
                    <w:t>（mg/m</w:t>
                  </w:r>
                  <w:r>
                    <w:rPr>
                      <w:rFonts w:hint="default" w:ascii="Times New Roman" w:hAnsi="Times New Roman" w:cs="Times New Roman"/>
                      <w:b/>
                      <w:bCs/>
                      <w:sz w:val="21"/>
                      <w:szCs w:val="21"/>
                      <w:vertAlign w:val="superscript"/>
                    </w:rPr>
                    <w:t>3</w:t>
                  </w:r>
                  <w:r>
                    <w:rPr>
                      <w:rFonts w:hint="default" w:ascii="Times New Roman" w:hAnsi="Times New Roman" w:cs="Times New Roman"/>
                      <w:b/>
                      <w:bCs/>
                      <w:sz w:val="21"/>
                      <w:szCs w:val="21"/>
                    </w:rPr>
                    <w:t>）</w:t>
                  </w:r>
                </w:p>
              </w:tc>
              <w:tc>
                <w:tcPr>
                  <w:tcW w:w="330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23" w:type="dxa"/>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厂界</w:t>
                  </w:r>
                </w:p>
              </w:tc>
              <w:tc>
                <w:tcPr>
                  <w:tcW w:w="1530"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非甲烷总烃</w:t>
                  </w:r>
                </w:p>
              </w:tc>
              <w:tc>
                <w:tcPr>
                  <w:tcW w:w="1471" w:type="dxa"/>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边界外浓度最高点</w:t>
                  </w:r>
                </w:p>
              </w:tc>
              <w:tc>
                <w:tcPr>
                  <w:tcW w:w="1178"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sz w:val="21"/>
                      <w:szCs w:val="21"/>
                      <w:lang w:val="en-US" w:eastAsia="zh-CN"/>
                    </w:rPr>
                  </w:pPr>
                  <w:r>
                    <w:rPr>
                      <w:rFonts w:hint="default" w:ascii="Times New Roman" w:hAnsi="Times New Roman" w:cs="Times New Roman"/>
                      <w:sz w:val="21"/>
                      <w:szCs w:val="21"/>
                    </w:rPr>
                    <w:t>4.0</w:t>
                  </w:r>
                </w:p>
              </w:tc>
              <w:tc>
                <w:tcPr>
                  <w:tcW w:w="3302" w:type="dxa"/>
                  <w:vMerge w:val="restart"/>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lang w:val="en-US" w:eastAsia="zh-CN"/>
                    </w:rPr>
                  </w:pPr>
                  <w:r>
                    <w:rPr>
                      <w:rFonts w:hint="eastAsia"/>
                      <w:color w:val="auto"/>
                      <w:sz w:val="21"/>
                      <w:szCs w:val="21"/>
                    </w:rPr>
                    <w:t>江苏省《大气污染物综合排放标准》（DB32/4041-2021）表</w:t>
                  </w:r>
                  <w:r>
                    <w:rPr>
                      <w:rFonts w:hint="eastAsia" w:ascii="Times New Roman" w:eastAsia="宋体"/>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23" w:type="dxa"/>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sz w:val="21"/>
                      <w:szCs w:val="21"/>
                      <w:lang w:val="en-US" w:eastAsia="zh-CN"/>
                    </w:rPr>
                  </w:pPr>
                </w:p>
              </w:tc>
              <w:tc>
                <w:tcPr>
                  <w:tcW w:w="1530"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颗粒物</w:t>
                  </w:r>
                </w:p>
              </w:tc>
              <w:tc>
                <w:tcPr>
                  <w:tcW w:w="1471" w:type="dxa"/>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rPr>
                  </w:pPr>
                </w:p>
              </w:tc>
              <w:tc>
                <w:tcPr>
                  <w:tcW w:w="1178"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0.5</w:t>
                  </w:r>
                </w:p>
              </w:tc>
              <w:tc>
                <w:tcPr>
                  <w:tcW w:w="3302"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23" w:type="dxa"/>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cs="Times New Roman"/>
                      <w:sz w:val="21"/>
                      <w:szCs w:val="21"/>
                      <w:lang w:val="en-US" w:eastAsia="zh-CN"/>
                    </w:rPr>
                  </w:pPr>
                </w:p>
              </w:tc>
              <w:tc>
                <w:tcPr>
                  <w:tcW w:w="1530"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臭气浓度</w:t>
                  </w:r>
                </w:p>
              </w:tc>
              <w:tc>
                <w:tcPr>
                  <w:tcW w:w="2649" w:type="dxa"/>
                  <w:gridSpan w:val="2"/>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20（无量纲）</w:t>
                  </w:r>
                </w:p>
              </w:tc>
              <w:tc>
                <w:tcPr>
                  <w:tcW w:w="3302"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《恶臭污染物排放标准》（GB14554-93）表1</w:t>
                  </w:r>
                </w:p>
              </w:tc>
            </w:tr>
          </w:tbl>
          <w:p>
            <w:pPr>
              <w:pStyle w:val="4"/>
              <w:pageBreakBefore w:val="0"/>
              <w:kinsoku/>
              <w:wordWrap/>
              <w:overflowPunct/>
              <w:topLinePunct w:val="0"/>
              <w:bidi w:val="0"/>
              <w:snapToGrid/>
              <w:spacing w:before="0" w:after="0" w:line="500" w:lineRule="exact"/>
              <w:ind w:firstLine="480" w:firstLineChars="200"/>
              <w:textAlignment w:val="auto"/>
              <w:rPr>
                <w:rFonts w:hint="default" w:ascii="Times New Roman" w:hAnsi="Times New Roman" w:cs="Times New Roman"/>
                <w:b/>
                <w:bCs/>
                <w:color w:val="auto"/>
                <w:sz w:val="24"/>
                <w:szCs w:val="24"/>
              </w:rPr>
            </w:pPr>
            <w:r>
              <w:rPr>
                <w:rFonts w:hint="eastAsia"/>
                <w:b w:val="0"/>
                <w:bCs w:val="0"/>
                <w:sz w:val="24"/>
                <w:szCs w:val="24"/>
                <w:lang w:val="en-US" w:eastAsia="zh-CN"/>
              </w:rPr>
              <w:t>厂区内挥发性有机物无组织排放监控点浓度执行江苏省</w:t>
            </w:r>
            <w:r>
              <w:rPr>
                <w:rFonts w:hint="eastAsia" w:ascii="宋体" w:hAnsi="宋体" w:eastAsia="宋体" w:cs="宋体"/>
                <w:b w:val="0"/>
                <w:bCs w:val="0"/>
                <w:sz w:val="24"/>
                <w:szCs w:val="24"/>
                <w:lang w:val="en-US" w:eastAsia="zh-CN"/>
              </w:rPr>
              <w:t>《大气污染物综合排放标准》</w:t>
            </w:r>
            <w:r>
              <w:rPr>
                <w:rFonts w:hint="default" w:ascii="Times New Roman" w:hAnsi="Times New Roman" w:eastAsia="宋体" w:cs="Times New Roman"/>
                <w:b w:val="0"/>
                <w:bCs w:val="0"/>
                <w:sz w:val="24"/>
                <w:szCs w:val="24"/>
                <w:lang w:val="en-US" w:eastAsia="zh-CN"/>
              </w:rPr>
              <w:t>（DB32/4041-2021）</w:t>
            </w:r>
            <w:r>
              <w:rPr>
                <w:rFonts w:hint="eastAsia" w:ascii="宋体" w:hAnsi="宋体" w:eastAsia="宋体" w:cs="宋体"/>
                <w:b w:val="0"/>
                <w:bCs w:val="0"/>
                <w:sz w:val="24"/>
                <w:szCs w:val="24"/>
                <w:lang w:val="en-US" w:eastAsia="zh-CN"/>
              </w:rPr>
              <w:t>表</w:t>
            </w:r>
            <w:r>
              <w:rPr>
                <w:rFonts w:hint="eastAsia" w:ascii="Times New Roman" w:hAnsi="Times New Roman" w:eastAsia="宋体" w:cs="Times New Roman"/>
                <w:b w:val="0"/>
                <w:bCs w:val="0"/>
                <w:sz w:val="24"/>
                <w:szCs w:val="24"/>
                <w:lang w:val="en-US" w:eastAsia="zh-CN"/>
              </w:rPr>
              <w:t>2中</w:t>
            </w:r>
            <w:r>
              <w:rPr>
                <w:rFonts w:hint="eastAsia" w:ascii="宋体" w:hAnsi="宋体" w:eastAsia="宋体" w:cs="宋体"/>
                <w:b w:val="0"/>
                <w:bCs w:val="0"/>
                <w:sz w:val="24"/>
                <w:szCs w:val="24"/>
                <w:lang w:val="en-US" w:eastAsia="zh-CN"/>
              </w:rPr>
              <w:t>相关标准限值。具体排放限值见下表。</w:t>
            </w:r>
          </w:p>
          <w:p>
            <w:pPr>
              <w:keepNext w:val="0"/>
              <w:keepLines w:val="0"/>
              <w:pageBreakBefore w:val="0"/>
              <w:widowControl w:val="0"/>
              <w:numPr>
                <w:ilvl w:val="0"/>
                <w:numId w:val="3"/>
              </w:numPr>
              <w:tabs>
                <w:tab w:val="clear" w:pos="420"/>
              </w:tabs>
              <w:kinsoku/>
              <w:wordWrap/>
              <w:overflowPunct/>
              <w:topLinePunct w:val="0"/>
              <w:autoSpaceDE/>
              <w:autoSpaceDN/>
              <w:bidi w:val="0"/>
              <w:adjustRightInd w:val="0"/>
              <w:snapToGrid w:val="0"/>
              <w:spacing w:line="500" w:lineRule="exact"/>
              <w:ind w:left="0" w:leftChars="0" w:hanging="5" w:firstLineChars="0"/>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sz w:val="24"/>
                <w:szCs w:val="24"/>
              </w:rPr>
              <w:t>厂区内挥发性有机物排放执行标准限值</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441"/>
              <w:gridCol w:w="2093"/>
              <w:gridCol w:w="2654"/>
              <w:gridCol w:w="23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41" w:type="dxa"/>
                  <w:tcBorders>
                    <w:tl2br w:val="nil"/>
                    <w:tr2bl w:val="nil"/>
                  </w:tcBorders>
                  <w:noWrap w:val="0"/>
                  <w:vAlign w:val="center"/>
                </w:tcPr>
                <w:p>
                  <w:pPr>
                    <w:pageBreakBefore w:val="0"/>
                    <w:kinsoku/>
                    <w:wordWrap/>
                    <w:overflowPunct/>
                    <w:topLinePunct w:val="0"/>
                    <w:bidi w:val="0"/>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tc>
              <w:tc>
                <w:tcPr>
                  <w:tcW w:w="2093" w:type="dxa"/>
                  <w:tcBorders>
                    <w:tl2br w:val="nil"/>
                    <w:tr2bl w:val="nil"/>
                  </w:tcBorders>
                  <w:noWrap w:val="0"/>
                  <w:vAlign w:val="center"/>
                </w:tcPr>
                <w:p>
                  <w:pPr>
                    <w:pageBreakBefore w:val="0"/>
                    <w:kinsoku/>
                    <w:wordWrap/>
                    <w:overflowPunct/>
                    <w:topLinePunct w:val="0"/>
                    <w:bidi w:val="0"/>
                    <w:spacing w:line="240" w:lineRule="auto"/>
                    <w:jc w:val="center"/>
                    <w:textAlignment w:val="auto"/>
                    <w:rPr>
                      <w:rFonts w:hint="default" w:ascii="Times New Roman" w:hAnsi="Times New Roman" w:cs="Times New Roman"/>
                      <w:b/>
                      <w:bCs/>
                      <w:color w:val="auto"/>
                      <w:sz w:val="21"/>
                      <w:szCs w:val="21"/>
                    </w:rPr>
                  </w:pPr>
                  <w:r>
                    <w:rPr>
                      <w:rFonts w:hint="eastAsia" w:cs="Times New Roman"/>
                      <w:b/>
                      <w:bCs/>
                      <w:color w:val="auto"/>
                      <w:sz w:val="21"/>
                      <w:szCs w:val="21"/>
                      <w:lang w:val="en-US" w:eastAsia="zh-CN"/>
                    </w:rPr>
                    <w:t>监控点</w:t>
                  </w:r>
                  <w:r>
                    <w:rPr>
                      <w:rFonts w:hint="default" w:ascii="Times New Roman" w:hAnsi="Times New Roman" w:cs="Times New Roman"/>
                      <w:b/>
                      <w:bCs/>
                      <w:color w:val="auto"/>
                      <w:sz w:val="21"/>
                      <w:szCs w:val="21"/>
                    </w:rPr>
                    <w:t>限值（mg/m</w:t>
                  </w:r>
                  <w:r>
                    <w:rPr>
                      <w:rFonts w:hint="default" w:ascii="Times New Roman" w:hAnsi="Times New Roman" w:cs="Times New Roman"/>
                      <w:b/>
                      <w:bCs/>
                      <w:color w:val="auto"/>
                      <w:sz w:val="21"/>
                      <w:szCs w:val="21"/>
                      <w:vertAlign w:val="superscript"/>
                    </w:rPr>
                    <w:t>3</w:t>
                  </w:r>
                  <w:r>
                    <w:rPr>
                      <w:rFonts w:hint="default" w:ascii="Times New Roman" w:hAnsi="Times New Roman" w:cs="Times New Roman"/>
                      <w:b/>
                      <w:bCs/>
                      <w:color w:val="auto"/>
                      <w:sz w:val="21"/>
                      <w:szCs w:val="21"/>
                    </w:rPr>
                    <w:t>）</w:t>
                  </w:r>
                </w:p>
              </w:tc>
              <w:tc>
                <w:tcPr>
                  <w:tcW w:w="2654" w:type="dxa"/>
                  <w:tcBorders>
                    <w:tl2br w:val="nil"/>
                    <w:tr2bl w:val="nil"/>
                  </w:tcBorders>
                  <w:noWrap w:val="0"/>
                  <w:vAlign w:val="center"/>
                </w:tcPr>
                <w:p>
                  <w:pPr>
                    <w:pageBreakBefore w:val="0"/>
                    <w:kinsoku/>
                    <w:wordWrap/>
                    <w:overflowPunct/>
                    <w:topLinePunct w:val="0"/>
                    <w:bidi w:val="0"/>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限值含义</w:t>
                  </w:r>
                </w:p>
              </w:tc>
              <w:tc>
                <w:tcPr>
                  <w:tcW w:w="2316" w:type="dxa"/>
                  <w:tcBorders>
                    <w:tl2br w:val="nil"/>
                    <w:tr2bl w:val="nil"/>
                  </w:tcBorders>
                  <w:noWrap w:val="0"/>
                  <w:vAlign w:val="center"/>
                </w:tcPr>
                <w:p>
                  <w:pPr>
                    <w:pageBreakBefore w:val="0"/>
                    <w:kinsoku/>
                    <w:wordWrap/>
                    <w:overflowPunct/>
                    <w:topLinePunct w:val="0"/>
                    <w:bidi w:val="0"/>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无组织排放监控位置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41" w:type="dxa"/>
                  <w:vMerge w:val="restart"/>
                  <w:tcBorders>
                    <w:tl2br w:val="nil"/>
                    <w:tr2bl w:val="nil"/>
                  </w:tcBorders>
                  <w:noWrap w:val="0"/>
                  <w:vAlign w:val="center"/>
                </w:tcPr>
                <w:p>
                  <w:pPr>
                    <w:pStyle w:val="38"/>
                    <w:pageBreakBefore w:val="0"/>
                    <w:kinsoku/>
                    <w:wordWrap/>
                    <w:overflowPunct/>
                    <w:topLinePunct w:val="0"/>
                    <w:bidi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b w:val="0"/>
                      <w:bCs/>
                      <w:color w:val="auto"/>
                      <w:sz w:val="21"/>
                      <w:szCs w:val="21"/>
                    </w:rPr>
                    <w:t>NMHC</w:t>
                  </w:r>
                </w:p>
              </w:tc>
              <w:tc>
                <w:tcPr>
                  <w:tcW w:w="2093" w:type="dxa"/>
                  <w:tcBorders>
                    <w:tl2br w:val="nil"/>
                    <w:tr2bl w:val="nil"/>
                  </w:tcBorders>
                  <w:noWrap w:val="0"/>
                  <w:vAlign w:val="center"/>
                </w:tcPr>
                <w:p>
                  <w:pPr>
                    <w:pageBreakBefore w:val="0"/>
                    <w:kinsoku/>
                    <w:wordWrap/>
                    <w:overflowPunct/>
                    <w:topLinePunct w:val="0"/>
                    <w:bidi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654" w:type="dxa"/>
                  <w:tcBorders>
                    <w:tl2br w:val="nil"/>
                    <w:tr2bl w:val="nil"/>
                  </w:tcBorders>
                  <w:noWrap w:val="0"/>
                  <w:vAlign w:val="center"/>
                </w:tcPr>
                <w:p>
                  <w:pPr>
                    <w:pageBreakBefore w:val="0"/>
                    <w:kinsoku/>
                    <w:wordWrap/>
                    <w:overflowPunct/>
                    <w:topLinePunct w:val="0"/>
                    <w:bidi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监控点出1h平均浓度值</w:t>
                  </w:r>
                </w:p>
              </w:tc>
              <w:tc>
                <w:tcPr>
                  <w:tcW w:w="2316" w:type="dxa"/>
                  <w:vMerge w:val="restart"/>
                  <w:tcBorders>
                    <w:tl2br w:val="nil"/>
                    <w:tr2bl w:val="nil"/>
                  </w:tcBorders>
                  <w:noWrap w:val="0"/>
                  <w:vAlign w:val="center"/>
                </w:tcPr>
                <w:p>
                  <w:pPr>
                    <w:pageBreakBefore w:val="0"/>
                    <w:widowControl/>
                    <w:kinsoku/>
                    <w:wordWrap/>
                    <w:overflowPunct/>
                    <w:topLinePunct w:val="0"/>
                    <w:bidi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在厂房外设置监控点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41" w:type="dxa"/>
                  <w:vMerge w:val="continue"/>
                  <w:tcBorders>
                    <w:tl2br w:val="nil"/>
                    <w:tr2bl w:val="nil"/>
                  </w:tcBorders>
                  <w:noWrap w:val="0"/>
                  <w:vAlign w:val="center"/>
                </w:tcPr>
                <w:p>
                  <w:pPr>
                    <w:pStyle w:val="38"/>
                    <w:pageBreakBefore w:val="0"/>
                    <w:kinsoku/>
                    <w:wordWrap/>
                    <w:overflowPunct/>
                    <w:topLinePunct w:val="0"/>
                    <w:bidi w:val="0"/>
                    <w:spacing w:line="240" w:lineRule="auto"/>
                    <w:jc w:val="center"/>
                    <w:textAlignment w:val="auto"/>
                    <w:rPr>
                      <w:rFonts w:hint="default" w:ascii="Times New Roman" w:hAnsi="Times New Roman" w:cs="Times New Roman"/>
                      <w:color w:val="auto"/>
                      <w:sz w:val="21"/>
                      <w:szCs w:val="21"/>
                    </w:rPr>
                  </w:pPr>
                </w:p>
              </w:tc>
              <w:tc>
                <w:tcPr>
                  <w:tcW w:w="2093" w:type="dxa"/>
                  <w:tcBorders>
                    <w:tl2br w:val="nil"/>
                    <w:tr2bl w:val="nil"/>
                  </w:tcBorders>
                  <w:noWrap w:val="0"/>
                  <w:vAlign w:val="center"/>
                </w:tcPr>
                <w:p>
                  <w:pPr>
                    <w:pageBreakBefore w:val="0"/>
                    <w:kinsoku/>
                    <w:wordWrap/>
                    <w:overflowPunct/>
                    <w:topLinePunct w:val="0"/>
                    <w:bidi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2654" w:type="dxa"/>
                  <w:tcBorders>
                    <w:tl2br w:val="nil"/>
                    <w:tr2bl w:val="nil"/>
                  </w:tcBorders>
                  <w:noWrap w:val="0"/>
                  <w:vAlign w:val="center"/>
                </w:tcPr>
                <w:p>
                  <w:pPr>
                    <w:pageBreakBefore w:val="0"/>
                    <w:kinsoku/>
                    <w:wordWrap/>
                    <w:overflowPunct/>
                    <w:topLinePunct w:val="0"/>
                    <w:bidi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监控点处任意一次浓度值</w:t>
                  </w:r>
                </w:p>
              </w:tc>
              <w:tc>
                <w:tcPr>
                  <w:tcW w:w="2316" w:type="dxa"/>
                  <w:vMerge w:val="continue"/>
                  <w:tcBorders>
                    <w:tl2br w:val="nil"/>
                    <w:tr2bl w:val="nil"/>
                  </w:tcBorders>
                  <w:noWrap w:val="0"/>
                  <w:vAlign w:val="center"/>
                </w:tcPr>
                <w:p>
                  <w:pPr>
                    <w:pageBreakBefore w:val="0"/>
                    <w:widowControl/>
                    <w:kinsoku/>
                    <w:wordWrap/>
                    <w:overflowPunct/>
                    <w:topLinePunct w:val="0"/>
                    <w:bidi w:val="0"/>
                    <w:spacing w:line="240" w:lineRule="auto"/>
                    <w:jc w:val="center"/>
                    <w:textAlignment w:val="auto"/>
                    <w:rPr>
                      <w:rFonts w:hint="default" w:ascii="Times New Roman" w:hAnsi="Times New Roman" w:cs="Times New Roman"/>
                      <w:color w:val="auto"/>
                      <w:sz w:val="21"/>
                      <w:szCs w:val="21"/>
                    </w:rPr>
                  </w:pPr>
                </w:p>
              </w:tc>
            </w:tr>
          </w:tbl>
          <w:p>
            <w:pPr>
              <w:pageBreakBefore w:val="0"/>
              <w:numPr>
                <w:ilvl w:val="-1"/>
                <w:numId w:val="0"/>
              </w:numPr>
              <w:kinsoku/>
              <w:wordWrap/>
              <w:overflowPunct/>
              <w:topLinePunct w:val="0"/>
              <w:bidi w:val="0"/>
              <w:spacing w:line="500" w:lineRule="exact"/>
              <w:ind w:left="0" w:leftChars="0" w:firstLine="482" w:firstLineChars="200"/>
              <w:textAlignment w:val="auto"/>
              <w:rPr>
                <w:rFonts w:hint="eastAsia" w:ascii="宋体" w:hAnsi="宋体" w:eastAsia="宋体" w:cs="宋体"/>
                <w:b/>
                <w:bCs/>
                <w:sz w:val="24"/>
                <w:szCs w:val="24"/>
                <w:lang w:val="en-US" w:eastAsia="zh-CN"/>
              </w:rPr>
            </w:pPr>
            <w:r>
              <w:rPr>
                <w:rFonts w:hint="default" w:ascii="Times New Roman" w:hAnsi="Times New Roman" w:cs="Times New Roman"/>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污水排放标准</w:t>
            </w:r>
          </w:p>
          <w:p>
            <w:pPr>
              <w:keepNext w:val="0"/>
              <w:keepLines w:val="0"/>
              <w:pageBreakBefore w:val="0"/>
              <w:widowControl/>
              <w:numPr>
                <w:ilvl w:val="-1"/>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本项目</w:t>
            </w:r>
            <w:r>
              <w:rPr>
                <w:rFonts w:hint="eastAsia" w:ascii="Times New Roman" w:hAnsi="Times New Roman" w:cs="Times New Roman"/>
                <w:color w:val="auto"/>
                <w:sz w:val="24"/>
                <w:szCs w:val="24"/>
                <w:lang w:val="en-US" w:eastAsia="zh-CN"/>
              </w:rPr>
              <w:t>生活污水经化粪池处理后</w:t>
            </w:r>
            <w:r>
              <w:rPr>
                <w:rFonts w:hint="default" w:ascii="Times New Roman" w:hAnsi="Times New Roman" w:cs="Times New Roman"/>
                <w:color w:val="auto"/>
                <w:sz w:val="24"/>
                <w:szCs w:val="24"/>
              </w:rPr>
              <w:t>接管至</w:t>
            </w:r>
            <w:r>
              <w:rPr>
                <w:rFonts w:hint="eastAsia" w:ascii="Times New Roman" w:hAnsi="Times New Roman" w:cs="Times New Roman"/>
                <w:color w:val="auto"/>
                <w:sz w:val="24"/>
                <w:szCs w:val="24"/>
                <w:lang w:eastAsia="zh-CN"/>
              </w:rPr>
              <w:t>海安市惠泽净水有限公司</w:t>
            </w:r>
            <w:r>
              <w:rPr>
                <w:rFonts w:hint="default" w:ascii="Times New Roman" w:hAnsi="Times New Roman" w:cs="Times New Roman"/>
                <w:color w:val="auto"/>
                <w:sz w:val="24"/>
                <w:szCs w:val="24"/>
              </w:rPr>
              <w:t>，接管执行《污水综合排放标准》（GB8978-1996）表4中三级标准和《污水排入城镇下水道水质标准》（GB/T31962-2015）表1中A等级标准，同时达到</w:t>
            </w:r>
            <w:r>
              <w:rPr>
                <w:rFonts w:hint="eastAsia" w:ascii="Times New Roman" w:hAnsi="Times New Roman" w:cs="Times New Roman"/>
                <w:color w:val="auto"/>
                <w:sz w:val="24"/>
                <w:szCs w:val="24"/>
                <w:lang w:eastAsia="zh-CN"/>
              </w:rPr>
              <w:t>海安市惠泽净水有限公司</w:t>
            </w:r>
            <w:r>
              <w:rPr>
                <w:rFonts w:hint="default" w:ascii="Times New Roman" w:hAnsi="Times New Roman" w:cs="Times New Roman"/>
                <w:color w:val="auto"/>
                <w:sz w:val="24"/>
                <w:szCs w:val="24"/>
              </w:rPr>
              <w:t>设计进水标准要求。</w:t>
            </w:r>
            <w:r>
              <w:rPr>
                <w:rFonts w:hint="eastAsia" w:ascii="Times New Roman" w:hAnsi="Times New Roman" w:cs="Times New Roman"/>
                <w:color w:val="auto"/>
                <w:sz w:val="24"/>
                <w:szCs w:val="24"/>
                <w:lang w:eastAsia="zh-CN"/>
              </w:rPr>
              <w:t>海安市惠泽净水有限公司</w:t>
            </w:r>
            <w:r>
              <w:rPr>
                <w:rFonts w:hint="default" w:ascii="Times New Roman" w:hAnsi="Times New Roman" w:cs="Times New Roman"/>
                <w:color w:val="auto"/>
                <w:sz w:val="24"/>
                <w:szCs w:val="24"/>
              </w:rPr>
              <w:t>尾水排放执行《城镇污水处理厂污染物排放标准》（GB18918-2002）一级A标准</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具体标准限值见</w:t>
            </w:r>
            <w:r>
              <w:rPr>
                <w:rFonts w:hint="default" w:ascii="Times New Roman" w:hAnsi="Times New Roman" w:cs="Times New Roman"/>
                <w:color w:val="auto"/>
                <w:sz w:val="24"/>
                <w:szCs w:val="24"/>
                <w:lang w:val="en-US" w:eastAsia="zh-CN"/>
              </w:rPr>
              <w:t>下</w:t>
            </w:r>
            <w:r>
              <w:rPr>
                <w:rFonts w:hint="default" w:ascii="Times New Roman" w:hAnsi="Times New Roman" w:cs="Times New Roman"/>
                <w:color w:val="auto"/>
                <w:sz w:val="24"/>
                <w:szCs w:val="24"/>
              </w:rPr>
              <w:t>表。</w:t>
            </w:r>
          </w:p>
          <w:p>
            <w:pPr>
              <w:keepNext w:val="0"/>
              <w:keepLines w:val="0"/>
              <w:pageBreakBefore w:val="0"/>
              <w:widowControl w:val="0"/>
              <w:numPr>
                <w:ilvl w:val="0"/>
                <w:numId w:val="3"/>
              </w:numPr>
              <w:tabs>
                <w:tab w:val="clear" w:pos="420"/>
              </w:tabs>
              <w:kinsoku/>
              <w:wordWrap/>
              <w:overflowPunct/>
              <w:topLinePunct w:val="0"/>
              <w:autoSpaceDE/>
              <w:autoSpaceDN/>
              <w:bidi w:val="0"/>
              <w:adjustRightInd w:val="0"/>
              <w:snapToGrid w:val="0"/>
              <w:spacing w:line="500" w:lineRule="exact"/>
              <w:ind w:left="0" w:leftChars="0" w:hanging="5" w:firstLineChars="0"/>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本项目污水排放标准（单位：mg/L，pH无纲量）</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36"/>
              <w:gridCol w:w="1260"/>
              <w:gridCol w:w="3405"/>
              <w:gridCol w:w="29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36" w:type="dxa"/>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260" w:type="dxa"/>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污染物名称</w:t>
                  </w:r>
                </w:p>
              </w:tc>
              <w:tc>
                <w:tcPr>
                  <w:tcW w:w="3405" w:type="dxa"/>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lang w:eastAsia="zh-CN"/>
                    </w:rPr>
                    <w:t>海安市惠泽净水有限公司</w:t>
                  </w:r>
                  <w:r>
                    <w:rPr>
                      <w:rFonts w:hint="default" w:ascii="Times New Roman" w:hAnsi="Times New Roman" w:cs="Times New Roman"/>
                      <w:b/>
                      <w:bCs/>
                      <w:color w:val="auto"/>
                      <w:sz w:val="21"/>
                      <w:szCs w:val="21"/>
                    </w:rPr>
                    <w:t>接管要求</w:t>
                  </w:r>
                </w:p>
              </w:tc>
              <w:tc>
                <w:tcPr>
                  <w:tcW w:w="2903" w:type="dxa"/>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污水处理厂尾水排放标准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36"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60"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w:t>
                  </w:r>
                </w:p>
              </w:tc>
              <w:tc>
                <w:tcPr>
                  <w:tcW w:w="340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6~9</w:t>
                  </w:r>
                </w:p>
              </w:tc>
              <w:tc>
                <w:tcPr>
                  <w:tcW w:w="2903"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36"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60"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340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350</w:t>
                  </w:r>
                </w:p>
              </w:tc>
              <w:tc>
                <w:tcPr>
                  <w:tcW w:w="2903"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36"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260"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340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220</w:t>
                  </w:r>
                </w:p>
              </w:tc>
              <w:tc>
                <w:tcPr>
                  <w:tcW w:w="2903"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36"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260"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340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45</w:t>
                  </w:r>
                </w:p>
              </w:tc>
              <w:tc>
                <w:tcPr>
                  <w:tcW w:w="2903"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36"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260"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TP</w:t>
                  </w:r>
                </w:p>
              </w:tc>
              <w:tc>
                <w:tcPr>
                  <w:tcW w:w="3405"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5</w:t>
                  </w:r>
                </w:p>
              </w:tc>
              <w:tc>
                <w:tcPr>
                  <w:tcW w:w="2903"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36"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260"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TN</w:t>
                  </w:r>
                </w:p>
              </w:tc>
              <w:tc>
                <w:tcPr>
                  <w:tcW w:w="340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55</w:t>
                  </w:r>
                </w:p>
              </w:tc>
              <w:tc>
                <w:tcPr>
                  <w:tcW w:w="2903"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r>
          </w:tbl>
          <w:p>
            <w:pPr>
              <w:numPr>
                <w:ilvl w:val="-1"/>
                <w:numId w:val="0"/>
              </w:numPr>
              <w:bidi w:val="0"/>
              <w:adjustRightInd w:val="0"/>
              <w:snapToGrid w:val="0"/>
              <w:spacing w:line="500" w:lineRule="exact"/>
              <w:ind w:left="0" w:leftChars="0" w:firstLine="482" w:firstLineChars="200"/>
              <w:rPr>
                <w:rFonts w:hint="eastAsia" w:ascii="宋体" w:hAnsi="宋体" w:eastAsia="宋体" w:cs="宋体"/>
                <w:b/>
                <w:bCs/>
                <w:sz w:val="24"/>
                <w:szCs w:val="24"/>
                <w:lang w:val="en-US" w:eastAsia="zh-CN"/>
              </w:rPr>
            </w:pPr>
            <w:r>
              <w:rPr>
                <w:rFonts w:hint="default" w:ascii="Times New Roman" w:hAnsi="Times New Roman" w:cs="Times New Roman"/>
                <w:b/>
                <w:bCs/>
                <w:sz w:val="24"/>
                <w:szCs w:val="24"/>
                <w:lang w:val="en-US" w:eastAsia="zh-CN"/>
              </w:rPr>
              <w:t>3、</w:t>
            </w:r>
            <w:r>
              <w:rPr>
                <w:rFonts w:hint="eastAsia" w:ascii="宋体" w:hAnsi="宋体" w:eastAsia="宋体" w:cs="宋体"/>
                <w:b/>
                <w:bCs/>
                <w:sz w:val="24"/>
                <w:szCs w:val="24"/>
                <w:lang w:val="en-US" w:eastAsia="zh-CN"/>
              </w:rPr>
              <w:t>噪声排放标准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根据《海安市声环境功能区划分方案》（海正办发</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2020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en-US" w:eastAsia="zh-CN"/>
              </w:rPr>
              <w:t>216</w:t>
            </w:r>
            <w:r>
              <w:rPr>
                <w:rFonts w:hint="eastAsia" w:ascii="Times New Roman" w:hAnsi="Times New Roman" w:cs="Times New Roman"/>
                <w:color w:val="auto"/>
                <w:sz w:val="24"/>
                <w:szCs w:val="24"/>
                <w:lang w:val="en-US" w:eastAsia="zh-CN"/>
              </w:rPr>
              <w:t>号），本项目位于</w:t>
            </w:r>
            <w:r>
              <w:rPr>
                <w:rFonts w:hint="eastAsia" w:cs="Times New Roman"/>
                <w:color w:val="auto"/>
                <w:sz w:val="24"/>
                <w:szCs w:val="24"/>
                <w:lang w:val="en-US" w:eastAsia="zh-CN"/>
              </w:rPr>
              <w:t>3</w:t>
            </w:r>
            <w:r>
              <w:rPr>
                <w:rFonts w:hint="eastAsia" w:ascii="Times New Roman" w:hAnsi="Times New Roman" w:cs="Times New Roman"/>
                <w:color w:val="auto"/>
                <w:sz w:val="24"/>
                <w:szCs w:val="24"/>
                <w:lang w:val="en-US" w:eastAsia="zh-CN"/>
              </w:rPr>
              <w:t>类声环境功能区。运营期</w:t>
            </w:r>
            <w:r>
              <w:rPr>
                <w:rFonts w:hint="eastAsia" w:cs="Times New Roman"/>
                <w:color w:val="auto"/>
                <w:sz w:val="24"/>
                <w:szCs w:val="24"/>
                <w:lang w:val="en-US" w:eastAsia="zh-CN"/>
              </w:rPr>
              <w:t>本</w:t>
            </w:r>
            <w:r>
              <w:rPr>
                <w:rFonts w:hint="eastAsia" w:ascii="Times New Roman" w:hAnsi="Times New Roman" w:cs="Times New Roman"/>
                <w:color w:val="auto"/>
                <w:sz w:val="24"/>
                <w:szCs w:val="24"/>
                <w:lang w:val="en-US" w:eastAsia="zh-CN"/>
              </w:rPr>
              <w:t>项目厂界噪声执行《工业企业厂界环境噪声排放标准》</w:t>
            </w:r>
            <w:r>
              <w:rPr>
                <w:rFonts w:hint="default" w:ascii="Times New Roman" w:hAnsi="Times New Roman" w:cs="Times New Roman"/>
                <w:color w:val="auto"/>
                <w:sz w:val="24"/>
                <w:szCs w:val="24"/>
                <w:lang w:val="en-US" w:eastAsia="zh-CN"/>
              </w:rPr>
              <w:t>（GB12348-2008）</w:t>
            </w:r>
            <w:r>
              <w:rPr>
                <w:rFonts w:hint="eastAsia" w:ascii="Times New Roman" w:hAnsi="Times New Roman" w:cs="Times New Roman"/>
                <w:color w:val="auto"/>
                <w:sz w:val="24"/>
                <w:szCs w:val="24"/>
                <w:lang w:val="en-US" w:eastAsia="zh-CN"/>
              </w:rPr>
              <w:t>中</w:t>
            </w:r>
            <w:r>
              <w:rPr>
                <w:rFonts w:hint="eastAsia" w:cs="Times New Roman"/>
                <w:color w:val="auto"/>
                <w:sz w:val="24"/>
                <w:szCs w:val="24"/>
                <w:lang w:val="en-US" w:eastAsia="zh-CN"/>
              </w:rPr>
              <w:t>3</w:t>
            </w:r>
            <w:r>
              <w:rPr>
                <w:rFonts w:hint="eastAsia" w:ascii="Times New Roman" w:hAnsi="Times New Roman" w:cs="Times New Roman"/>
                <w:color w:val="auto"/>
                <w:sz w:val="24"/>
                <w:szCs w:val="24"/>
                <w:lang w:val="en-US" w:eastAsia="zh-CN"/>
              </w:rPr>
              <w:t>类标准，</w:t>
            </w:r>
            <w:r>
              <w:rPr>
                <w:rFonts w:hint="eastAsia" w:ascii="Times New Roman" w:hAnsi="Times New Roman" w:eastAsia="宋体" w:cs="宋体"/>
                <w:color w:val="auto"/>
                <w:kern w:val="2"/>
                <w:sz w:val="24"/>
                <w:szCs w:val="24"/>
                <w:lang w:val="en-US" w:eastAsia="zh-CN" w:bidi="ar"/>
              </w:rPr>
              <w:t>附近敏感点噪声执行</w:t>
            </w:r>
            <w:r>
              <w:rPr>
                <w:rFonts w:hint="default" w:ascii="Times New Roman" w:hAnsi="Times New Roman" w:eastAsia="宋体" w:cs="Times New Roman"/>
                <w:color w:val="auto"/>
                <w:sz w:val="24"/>
                <w:szCs w:val="24"/>
                <w:lang w:val="en-US" w:eastAsia="zh-CN"/>
              </w:rPr>
              <w:t>《声环境质量标准》（GB3096-2008）中的</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类标准</w:t>
            </w:r>
            <w:r>
              <w:rPr>
                <w:rFonts w:hint="eastAsia" w:ascii="Times New Roman" w:hAnsi="Times New Roman" w:eastAsia="宋体" w:cs="Times New Roman"/>
                <w:color w:val="auto"/>
                <w:sz w:val="24"/>
                <w:szCs w:val="24"/>
                <w:lang w:val="en-US" w:eastAsia="zh-CN"/>
              </w:rPr>
              <w:t>，</w:t>
            </w:r>
            <w:r>
              <w:rPr>
                <w:rFonts w:hint="eastAsia" w:ascii="Times New Roman" w:hAnsi="Times New Roman" w:cs="Times New Roman"/>
                <w:color w:val="auto"/>
                <w:sz w:val="24"/>
                <w:szCs w:val="24"/>
                <w:lang w:val="en-US" w:eastAsia="zh-CN"/>
              </w:rPr>
              <w:t>具体标准值见表。</w:t>
            </w:r>
          </w:p>
          <w:p>
            <w:pPr>
              <w:keepNext w:val="0"/>
              <w:keepLines w:val="0"/>
              <w:pageBreakBefore w:val="0"/>
              <w:widowControl w:val="0"/>
              <w:numPr>
                <w:ilvl w:val="0"/>
                <w:numId w:val="3"/>
              </w:numPr>
              <w:tabs>
                <w:tab w:val="clear" w:pos="420"/>
              </w:tabs>
              <w:kinsoku/>
              <w:wordWrap/>
              <w:overflowPunct/>
              <w:topLinePunct w:val="0"/>
              <w:autoSpaceDE/>
              <w:autoSpaceDN/>
              <w:bidi w:val="0"/>
              <w:adjustRightInd w:val="0"/>
              <w:snapToGrid w:val="0"/>
              <w:spacing w:line="500" w:lineRule="exact"/>
              <w:ind w:left="0" w:leftChars="0" w:hanging="5" w:firstLineChars="0"/>
              <w:jc w:val="center"/>
              <w:textAlignment w:val="auto"/>
              <w:rPr>
                <w:rFonts w:hint="default" w:ascii="Times New Roman" w:hAnsi="Times New Roman" w:cs="Times New Roman"/>
                <w:b/>
                <w:bCs/>
                <w:color w:val="auto"/>
                <w:sz w:val="24"/>
                <w:szCs w:val="24"/>
                <w:lang w:val="en-US" w:eastAsia="zh-CN"/>
              </w:rPr>
            </w:pPr>
            <w:r>
              <w:rPr>
                <w:rFonts w:ascii="Times New Roman" w:hAnsi="Times New Roman"/>
                <w:b/>
                <w:bCs/>
                <w:color w:val="auto"/>
                <w:sz w:val="24"/>
              </w:rPr>
              <w:t xml:space="preserve">工业企业厂界环境噪声排放标准 </w:t>
            </w:r>
            <w:r>
              <w:rPr>
                <w:rFonts w:ascii="Times New Roman" w:hAnsi="Times New Roman"/>
                <w:b/>
                <w:bCs/>
                <w:color w:val="auto"/>
              </w:rPr>
              <w:t xml:space="preserve"> </w:t>
            </w:r>
            <w:r>
              <w:rPr>
                <w:rFonts w:hint="eastAsia" w:ascii="Times New Roman" w:hAnsi="Times New Roman" w:cs="Times New Roman"/>
                <w:b/>
                <w:bCs/>
                <w:color w:val="auto"/>
                <w:sz w:val="24"/>
                <w:szCs w:val="24"/>
                <w:lang w:val="en-US" w:eastAsia="zh-CN"/>
              </w:rPr>
              <w:t>（单位：dB（A））</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837"/>
              <w:gridCol w:w="2832"/>
              <w:gridCol w:w="2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37" w:type="dxa"/>
                  <w:noWrap w:val="0"/>
                  <w:vAlign w:val="center"/>
                </w:tcPr>
                <w:p>
                  <w:pPr>
                    <w:jc w:val="center"/>
                    <w:rPr>
                      <w:rFonts w:ascii="Times New Roman" w:hAnsi="Times New Roman"/>
                      <w:b/>
                      <w:bCs/>
                      <w:color w:val="auto"/>
                      <w:sz w:val="21"/>
                      <w:szCs w:val="21"/>
                    </w:rPr>
                  </w:pPr>
                  <w:r>
                    <w:rPr>
                      <w:rFonts w:ascii="Times New Roman" w:hAnsi="Times New Roman"/>
                      <w:b/>
                      <w:bCs/>
                      <w:color w:val="auto"/>
                      <w:sz w:val="21"/>
                      <w:szCs w:val="21"/>
                    </w:rPr>
                    <w:t>类别</w:t>
                  </w:r>
                </w:p>
              </w:tc>
              <w:tc>
                <w:tcPr>
                  <w:tcW w:w="2832" w:type="dxa"/>
                  <w:noWrap w:val="0"/>
                  <w:vAlign w:val="center"/>
                </w:tcPr>
                <w:p>
                  <w:pPr>
                    <w:jc w:val="center"/>
                    <w:rPr>
                      <w:rFonts w:ascii="Times New Roman" w:hAnsi="Times New Roman"/>
                      <w:b/>
                      <w:bCs/>
                      <w:color w:val="auto"/>
                      <w:sz w:val="21"/>
                      <w:szCs w:val="21"/>
                    </w:rPr>
                  </w:pPr>
                  <w:r>
                    <w:rPr>
                      <w:rFonts w:ascii="Times New Roman" w:hAnsi="Times New Roman"/>
                      <w:b/>
                      <w:bCs/>
                      <w:color w:val="auto"/>
                      <w:sz w:val="21"/>
                      <w:szCs w:val="21"/>
                    </w:rPr>
                    <w:t>昼间</w:t>
                  </w:r>
                </w:p>
              </w:tc>
              <w:tc>
                <w:tcPr>
                  <w:tcW w:w="2835" w:type="dxa"/>
                  <w:noWrap w:val="0"/>
                  <w:vAlign w:val="center"/>
                </w:tcPr>
                <w:p>
                  <w:pPr>
                    <w:jc w:val="center"/>
                    <w:rPr>
                      <w:rFonts w:ascii="Times New Roman" w:hAnsi="Times New Roman"/>
                      <w:b/>
                      <w:bCs/>
                      <w:color w:val="auto"/>
                      <w:sz w:val="21"/>
                      <w:szCs w:val="21"/>
                    </w:rPr>
                  </w:pPr>
                  <w:r>
                    <w:rPr>
                      <w:rFonts w:ascii="Times New Roman" w:hAnsi="Times New Roman"/>
                      <w:b/>
                      <w:bCs/>
                      <w:color w:val="auto"/>
                      <w:sz w:val="21"/>
                      <w:szCs w:val="21"/>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37" w:type="dxa"/>
                  <w:noWrap w:val="0"/>
                  <w:vAlign w:val="center"/>
                </w:tcPr>
                <w:p>
                  <w:pPr>
                    <w:jc w:val="center"/>
                    <w:rPr>
                      <w:rFonts w:hint="eastAsia" w:ascii="Times New Roman" w:hAnsi="Times New Roman" w:eastAsia="宋体"/>
                      <w:color w:val="auto"/>
                      <w:sz w:val="21"/>
                      <w:szCs w:val="21"/>
                      <w:lang w:eastAsia="zh-CN"/>
                    </w:rPr>
                  </w:pPr>
                  <w:r>
                    <w:rPr>
                      <w:rFonts w:hint="eastAsia"/>
                      <w:color w:val="auto"/>
                      <w:sz w:val="21"/>
                      <w:szCs w:val="21"/>
                      <w:lang w:val="en-US" w:eastAsia="zh-CN"/>
                    </w:rPr>
                    <w:t>3</w:t>
                  </w:r>
                </w:p>
              </w:tc>
              <w:tc>
                <w:tcPr>
                  <w:tcW w:w="2832" w:type="dxa"/>
                  <w:noWrap w:val="0"/>
                  <w:vAlign w:val="center"/>
                </w:tcPr>
                <w:p>
                  <w:pPr>
                    <w:adjustRightInd w:val="0"/>
                    <w:snapToGrid w:val="0"/>
                    <w:jc w:val="center"/>
                    <w:rPr>
                      <w:rFonts w:hint="eastAsia" w:ascii="Times New Roman" w:hAnsi="Times New Roman" w:eastAsia="宋体"/>
                      <w:color w:val="auto"/>
                      <w:sz w:val="21"/>
                      <w:szCs w:val="21"/>
                      <w:lang w:eastAsia="zh-CN"/>
                    </w:rPr>
                  </w:pPr>
                  <w:r>
                    <w:rPr>
                      <w:rFonts w:ascii="Times New Roman" w:hAnsi="Times New Roman"/>
                      <w:color w:val="auto"/>
                      <w:sz w:val="21"/>
                      <w:szCs w:val="21"/>
                    </w:rPr>
                    <w:t>6</w:t>
                  </w:r>
                  <w:r>
                    <w:rPr>
                      <w:rFonts w:hint="eastAsia"/>
                      <w:color w:val="auto"/>
                      <w:sz w:val="21"/>
                      <w:szCs w:val="21"/>
                      <w:lang w:val="en-US" w:eastAsia="zh-CN"/>
                    </w:rPr>
                    <w:t>5</w:t>
                  </w:r>
                </w:p>
              </w:tc>
              <w:tc>
                <w:tcPr>
                  <w:tcW w:w="2835" w:type="dxa"/>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5</w:t>
                  </w:r>
                  <w:r>
                    <w:rPr>
                      <w:rFonts w:hint="eastAsia"/>
                      <w:color w:val="auto"/>
                      <w:sz w:val="21"/>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37" w:type="dxa"/>
                  <w:noWrap w:val="0"/>
                  <w:vAlign w:val="center"/>
                </w:tcPr>
                <w:p>
                  <w:pPr>
                    <w:jc w:val="center"/>
                    <w:rPr>
                      <w:rFonts w:hint="default"/>
                      <w:color w:val="auto"/>
                      <w:sz w:val="21"/>
                      <w:szCs w:val="21"/>
                      <w:lang w:val="en-US" w:eastAsia="zh-CN"/>
                    </w:rPr>
                  </w:pPr>
                  <w:r>
                    <w:rPr>
                      <w:rFonts w:hint="eastAsia"/>
                      <w:color w:val="auto"/>
                      <w:sz w:val="21"/>
                      <w:szCs w:val="21"/>
                      <w:lang w:val="en-US" w:eastAsia="zh-CN"/>
                    </w:rPr>
                    <w:t>2</w:t>
                  </w:r>
                </w:p>
              </w:tc>
              <w:tc>
                <w:tcPr>
                  <w:tcW w:w="2832" w:type="dxa"/>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60</w:t>
                  </w:r>
                </w:p>
              </w:tc>
              <w:tc>
                <w:tcPr>
                  <w:tcW w:w="2835" w:type="dxa"/>
                  <w:noWrap w:val="0"/>
                  <w:vAlign w:val="center"/>
                </w:tcPr>
                <w:p>
                  <w:pPr>
                    <w:adjustRightInd w:val="0"/>
                    <w:snapToGrid w:val="0"/>
                    <w:jc w:val="center"/>
                    <w:rPr>
                      <w:rFonts w:hint="default" w:ascii="Times New Roman" w:hAnsi="Times New Roman"/>
                      <w:color w:val="auto"/>
                      <w:sz w:val="21"/>
                      <w:szCs w:val="21"/>
                      <w:lang w:val="en-US" w:eastAsia="zh-CN"/>
                    </w:rPr>
                  </w:pPr>
                  <w:r>
                    <w:rPr>
                      <w:rFonts w:hint="eastAsia"/>
                      <w:color w:val="auto"/>
                      <w:sz w:val="21"/>
                      <w:szCs w:val="21"/>
                      <w:lang w:val="en-US" w:eastAsia="zh-CN"/>
                    </w:rPr>
                    <w:t>50</w:t>
                  </w:r>
                </w:p>
              </w:tc>
            </w:tr>
          </w:tbl>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hint="eastAsia"/>
                <w:b/>
                <w:bCs/>
                <w:sz w:val="24"/>
                <w:szCs w:val="24"/>
                <w:lang w:val="en-US" w:eastAsia="zh-CN"/>
              </w:rPr>
            </w:pPr>
            <w:r>
              <w:rPr>
                <w:rFonts w:hint="default" w:ascii="Times New Roman" w:hAnsi="Times New Roman" w:cs="Times New Roman"/>
                <w:b/>
                <w:bCs/>
                <w:sz w:val="24"/>
                <w:szCs w:val="24"/>
                <w:lang w:val="en-US" w:eastAsia="zh-CN"/>
              </w:rPr>
              <w:t>4、</w:t>
            </w:r>
            <w:r>
              <w:rPr>
                <w:rFonts w:hint="eastAsia"/>
                <w:b/>
                <w:bCs/>
                <w:sz w:val="24"/>
                <w:szCs w:val="24"/>
                <w:lang w:val="en-US" w:eastAsia="zh-CN"/>
              </w:rPr>
              <w:t>固废贮存</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default"/>
                <w:sz w:val="24"/>
                <w:szCs w:val="24"/>
                <w:lang w:val="en-US" w:eastAsia="zh-CN"/>
              </w:rPr>
            </w:pPr>
            <w:r>
              <w:rPr>
                <w:rFonts w:hint="eastAsia" w:ascii="Times New Roman" w:hAnsi="Times New Roman" w:cs="Times New Roman"/>
                <w:color w:val="auto"/>
                <w:sz w:val="24"/>
                <w:szCs w:val="24"/>
                <w:lang w:val="en-US" w:eastAsia="zh-CN"/>
              </w:rPr>
              <w:t>建设项目产生的一般工业固体废物贮存</w:t>
            </w:r>
            <w:r>
              <w:rPr>
                <w:rFonts w:hint="eastAsia" w:cs="Times New Roman"/>
                <w:color w:val="auto"/>
                <w:sz w:val="24"/>
                <w:szCs w:val="24"/>
                <w:lang w:val="en-US" w:eastAsia="zh-CN"/>
              </w:rPr>
              <w:t>参照</w:t>
            </w:r>
            <w:r>
              <w:rPr>
                <w:rFonts w:hint="eastAsia" w:ascii="Times New Roman" w:hAnsi="Times New Roman" w:cs="Times New Roman"/>
                <w:color w:val="auto"/>
                <w:sz w:val="24"/>
                <w:szCs w:val="24"/>
                <w:lang w:val="en-US" w:eastAsia="zh-CN"/>
              </w:rPr>
              <w:t>《一般工业固体废物贮存和填埋污染控制标准》</w:t>
            </w:r>
            <w:r>
              <w:rPr>
                <w:rFonts w:hint="default" w:ascii="Times New Roman" w:hAnsi="Times New Roman" w:cs="Times New Roman"/>
                <w:color w:val="auto"/>
                <w:sz w:val="24"/>
                <w:szCs w:val="24"/>
                <w:lang w:val="en-US" w:eastAsia="zh-CN"/>
              </w:rPr>
              <w:t>（GB18599-2020）</w:t>
            </w:r>
            <w:r>
              <w:rPr>
                <w:rFonts w:hint="eastAsia" w:cs="Times New Roman"/>
                <w:color w:val="auto"/>
                <w:sz w:val="24"/>
                <w:szCs w:val="24"/>
                <w:lang w:val="en-US" w:eastAsia="zh-CN"/>
              </w:rPr>
              <w:t>执行；</w:t>
            </w:r>
            <w:r>
              <w:rPr>
                <w:rFonts w:ascii="Times New Roman" w:hAnsi="Times New Roman"/>
                <w:color w:val="000000"/>
                <w:sz w:val="24"/>
              </w:rPr>
              <w:t>危险废物贮存执行</w:t>
            </w:r>
            <w:r>
              <w:rPr>
                <w:rFonts w:hint="default"/>
                <w:color w:val="000000"/>
                <w:sz w:val="24"/>
                <w:highlight w:val="none"/>
              </w:rPr>
              <w:t>《危险废物贮存污染控制标准》（GB18597-20</w:t>
            </w:r>
            <w:r>
              <w:rPr>
                <w:rFonts w:hint="eastAsia"/>
                <w:color w:val="000000"/>
                <w:sz w:val="24"/>
                <w:highlight w:val="none"/>
                <w:lang w:val="en-US" w:eastAsia="zh-CN"/>
              </w:rPr>
              <w:t>23</w:t>
            </w:r>
            <w:r>
              <w:rPr>
                <w:rFonts w:hint="default"/>
                <w:color w:val="000000"/>
                <w:sz w:val="24"/>
                <w:highlight w:val="none"/>
              </w:rPr>
              <w:t>）</w:t>
            </w:r>
            <w:r>
              <w:rPr>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30" w:hRule="atLeast"/>
          <w:jc w:val="center"/>
        </w:trPr>
        <w:tc>
          <w:tcPr>
            <w:tcW w:w="245" w:type="pct"/>
            <w:tcBorders>
              <w:tl2br w:val="nil"/>
              <w:tr2bl w:val="nil"/>
            </w:tcBorders>
            <w:vAlign w:val="center"/>
          </w:tcPr>
          <w:p>
            <w:pPr>
              <w:adjustRightInd w:val="0"/>
              <w:snapToGrid w:val="0"/>
              <w:jc w:val="center"/>
              <w:rPr>
                <w:kern w:val="0"/>
                <w:sz w:val="24"/>
              </w:rPr>
            </w:pPr>
            <w:r>
              <w:rPr>
                <w:kern w:val="0"/>
                <w:sz w:val="24"/>
              </w:rPr>
              <w:t>总量</w:t>
            </w:r>
          </w:p>
          <w:p>
            <w:pPr>
              <w:adjustRightInd w:val="0"/>
              <w:snapToGrid w:val="0"/>
              <w:jc w:val="center"/>
              <w:rPr>
                <w:kern w:val="0"/>
                <w:sz w:val="24"/>
              </w:rPr>
            </w:pPr>
            <w:r>
              <w:rPr>
                <w:kern w:val="0"/>
                <w:sz w:val="24"/>
              </w:rPr>
              <w:t>控制</w:t>
            </w:r>
          </w:p>
          <w:p>
            <w:pPr>
              <w:adjustRightInd w:val="0"/>
              <w:snapToGrid w:val="0"/>
              <w:jc w:val="center"/>
              <w:rPr>
                <w:kern w:val="0"/>
                <w:sz w:val="24"/>
              </w:rPr>
            </w:pPr>
            <w:r>
              <w:rPr>
                <w:kern w:val="0"/>
                <w:sz w:val="24"/>
              </w:rPr>
              <w:t>指标</w:t>
            </w:r>
          </w:p>
        </w:tc>
        <w:tc>
          <w:tcPr>
            <w:tcW w:w="4754" w:type="pct"/>
            <w:tcBorders>
              <w:tl2br w:val="nil"/>
              <w:tr2bl w:val="nil"/>
            </w:tcBorders>
            <w:vAlign w:val="center"/>
          </w:tcPr>
          <w:p>
            <w:pPr>
              <w:keepNext w:val="0"/>
              <w:keepLines w:val="0"/>
              <w:pageBreakBefore w:val="0"/>
              <w:widowControl w:val="0"/>
              <w:tabs>
                <w:tab w:val="left" w:pos="356"/>
              </w:tabs>
              <w:kinsoku/>
              <w:wordWrap/>
              <w:overflowPunct/>
              <w:topLinePunct w:val="0"/>
              <w:autoSpaceDE/>
              <w:autoSpaceDN/>
              <w:bidi w:val="0"/>
              <w:adjustRightInd w:val="0"/>
              <w:snapToGrid w:val="0"/>
              <w:spacing w:line="500" w:lineRule="exact"/>
              <w:ind w:firstLine="480" w:firstLineChars="200"/>
              <w:jc w:val="left"/>
              <w:textAlignment w:val="auto"/>
              <w:rPr>
                <w:rFonts w:hint="eastAsia"/>
                <w:kern w:val="0"/>
                <w:sz w:val="24"/>
                <w:lang w:val="en-US" w:eastAsia="zh-CN"/>
              </w:rPr>
            </w:pPr>
            <w:r>
              <w:rPr>
                <w:rFonts w:hint="eastAsia"/>
                <w:kern w:val="0"/>
                <w:sz w:val="24"/>
                <w:lang w:val="en-US" w:eastAsia="zh-CN"/>
              </w:rPr>
              <w:t>本项目污染物排放总量见下表</w:t>
            </w:r>
          </w:p>
          <w:p>
            <w:pPr>
              <w:keepNext w:val="0"/>
              <w:keepLines w:val="0"/>
              <w:pageBreakBefore w:val="0"/>
              <w:widowControl w:val="0"/>
              <w:numPr>
                <w:ilvl w:val="0"/>
                <w:numId w:val="3"/>
              </w:numPr>
              <w:tabs>
                <w:tab w:val="clear" w:pos="420"/>
              </w:tabs>
              <w:kinsoku/>
              <w:wordWrap/>
              <w:overflowPunct/>
              <w:topLinePunct w:val="0"/>
              <w:autoSpaceDE/>
              <w:autoSpaceDN/>
              <w:bidi w:val="0"/>
              <w:adjustRightInd w:val="0"/>
              <w:snapToGrid w:val="0"/>
              <w:spacing w:line="500" w:lineRule="exact"/>
              <w:ind w:left="0" w:leftChars="0" w:hanging="5" w:firstLineChars="0"/>
              <w:jc w:val="center"/>
              <w:textAlignment w:val="auto"/>
              <w:rPr>
                <w:rFonts w:hint="default"/>
                <w:kern w:val="0"/>
                <w:sz w:val="24"/>
                <w:lang w:val="en-US" w:eastAsia="zh-CN"/>
              </w:rPr>
            </w:pPr>
            <w:r>
              <w:rPr>
                <w:rFonts w:hint="eastAsia"/>
                <w:b/>
                <w:bCs/>
                <w:kern w:val="0"/>
                <w:sz w:val="24"/>
                <w:lang w:val="en-US" w:eastAsia="zh-CN"/>
              </w:rPr>
              <w:t>本项目污染物排放汇总表      单位：t/a</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930"/>
              <w:gridCol w:w="1530"/>
              <w:gridCol w:w="1021"/>
              <w:gridCol w:w="1078"/>
              <w:gridCol w:w="941"/>
              <w:gridCol w:w="1159"/>
              <w:gridCol w:w="14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gridSpan w:val="2"/>
                  <w:noWrap w:val="0"/>
                  <w:vAlign w:val="center"/>
                </w:tcPr>
                <w:p>
                  <w:pPr>
                    <w:widowControl/>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类别</w:t>
                  </w:r>
                </w:p>
              </w:tc>
              <w:tc>
                <w:tcPr>
                  <w:tcW w:w="1530" w:type="dxa"/>
                  <w:noWrap w:val="0"/>
                  <w:vAlign w:val="center"/>
                </w:tcPr>
                <w:p>
                  <w:pPr>
                    <w:widowControl/>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污染物名称</w:t>
                  </w:r>
                </w:p>
              </w:tc>
              <w:tc>
                <w:tcPr>
                  <w:tcW w:w="1021" w:type="dxa"/>
                  <w:noWrap w:val="0"/>
                  <w:vAlign w:val="center"/>
                </w:tcPr>
                <w:p>
                  <w:pPr>
                    <w:widowControl/>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产生量</w:t>
                  </w:r>
                </w:p>
              </w:tc>
              <w:tc>
                <w:tcPr>
                  <w:tcW w:w="1078" w:type="dxa"/>
                  <w:noWrap w:val="0"/>
                  <w:vAlign w:val="center"/>
                </w:tcPr>
                <w:p>
                  <w:pPr>
                    <w:widowControl/>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削减量</w:t>
                  </w:r>
                </w:p>
              </w:tc>
              <w:tc>
                <w:tcPr>
                  <w:tcW w:w="941" w:type="dxa"/>
                  <w:noWrap w:val="0"/>
                  <w:vAlign w:val="center"/>
                </w:tcPr>
                <w:p>
                  <w:pPr>
                    <w:widowControl/>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接管量</w:t>
                  </w:r>
                </w:p>
              </w:tc>
              <w:tc>
                <w:tcPr>
                  <w:tcW w:w="1159" w:type="dxa"/>
                  <w:noWrap w:val="0"/>
                  <w:vAlign w:val="center"/>
                </w:tcPr>
                <w:p>
                  <w:pPr>
                    <w:widowControl/>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排入</w:t>
                  </w:r>
                </w:p>
                <w:p>
                  <w:pPr>
                    <w:widowControl/>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环境量</w:t>
                  </w:r>
                </w:p>
              </w:tc>
              <w:tc>
                <w:tcPr>
                  <w:tcW w:w="1404" w:type="dxa"/>
                  <w:noWrap w:val="0"/>
                  <w:vAlign w:val="center"/>
                </w:tcPr>
                <w:p>
                  <w:pPr>
                    <w:widowControl/>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需要替代的污染物量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gridSpan w:val="2"/>
                  <w:vMerge w:val="restart"/>
                  <w:noWrap w:val="0"/>
                  <w:vAlign w:val="center"/>
                </w:tcPr>
                <w:p>
                  <w:pPr>
                    <w:widowControl/>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w:t>
                  </w:r>
                </w:p>
              </w:tc>
              <w:tc>
                <w:tcPr>
                  <w:tcW w:w="1530" w:type="dxa"/>
                  <w:noWrap w:val="0"/>
                  <w:vAlign w:val="center"/>
                </w:tcPr>
                <w:p>
                  <w:pPr>
                    <w:widowControl/>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废水量</w:t>
                  </w:r>
                </w:p>
              </w:tc>
              <w:tc>
                <w:tcPr>
                  <w:tcW w:w="1021" w:type="dxa"/>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250</w:t>
                  </w:r>
                </w:p>
              </w:tc>
              <w:tc>
                <w:tcPr>
                  <w:tcW w:w="1078" w:type="dxa"/>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941"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250</w:t>
                  </w:r>
                </w:p>
              </w:tc>
              <w:tc>
                <w:tcPr>
                  <w:tcW w:w="1159"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250</w:t>
                  </w:r>
                </w:p>
              </w:tc>
              <w:tc>
                <w:tcPr>
                  <w:tcW w:w="1404" w:type="dxa"/>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gridSpan w:val="2"/>
                  <w:vMerge w:val="continue"/>
                  <w:noWrap w:val="0"/>
                  <w:vAlign w:val="center"/>
                </w:tcPr>
                <w:p>
                  <w:pPr>
                    <w:widowControl/>
                    <w:jc w:val="center"/>
                    <w:rPr>
                      <w:rFonts w:hint="default" w:ascii="Times New Roman" w:hAnsi="Times New Roman" w:cs="Times New Roman"/>
                      <w:color w:val="auto"/>
                      <w:sz w:val="21"/>
                      <w:szCs w:val="21"/>
                      <w:highlight w:val="none"/>
                    </w:rPr>
                  </w:pPr>
                </w:p>
              </w:tc>
              <w:tc>
                <w:tcPr>
                  <w:tcW w:w="1530" w:type="dxa"/>
                  <w:noWrap w:val="0"/>
                  <w:vAlign w:val="center"/>
                </w:tcPr>
                <w:p>
                  <w:pPr>
                    <w:widowControl/>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COD</w:t>
                  </w:r>
                </w:p>
              </w:tc>
              <w:tc>
                <w:tcPr>
                  <w:tcW w:w="1021" w:type="dxa"/>
                  <w:noWrap w:val="0"/>
                  <w:vAlign w:val="center"/>
                </w:tcPr>
                <w:p>
                  <w:pPr>
                    <w:pStyle w:val="25"/>
                    <w:tabs>
                      <w:tab w:val="left" w:pos="940"/>
                    </w:tabs>
                    <w:spacing w:beforeLines="0" w:afterLines="0" w:line="24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w:t>
                  </w:r>
                  <w:r>
                    <w:rPr>
                      <w:rFonts w:hint="eastAsia" w:ascii="Times New Roman" w:cs="Times New Roman"/>
                      <w:color w:val="auto"/>
                      <w:kern w:val="2"/>
                      <w:sz w:val="21"/>
                      <w:szCs w:val="21"/>
                      <w:lang w:val="en-US" w:eastAsia="zh-CN" w:bidi="ar-SA"/>
                    </w:rPr>
                    <w:t>1125</w:t>
                  </w:r>
                </w:p>
              </w:tc>
              <w:tc>
                <w:tcPr>
                  <w:tcW w:w="1078" w:type="dxa"/>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.025</w:t>
                  </w:r>
                </w:p>
              </w:tc>
              <w:tc>
                <w:tcPr>
                  <w:tcW w:w="941" w:type="dxa"/>
                  <w:noWrap w:val="0"/>
                  <w:vAlign w:val="center"/>
                </w:tcPr>
                <w:p>
                  <w:pPr>
                    <w:pStyle w:val="25"/>
                    <w:tabs>
                      <w:tab w:val="left" w:pos="940"/>
                    </w:tabs>
                    <w:spacing w:beforeLines="0" w:afterLines="0" w:line="24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w:t>
                  </w:r>
                  <w:r>
                    <w:rPr>
                      <w:rFonts w:hint="eastAsia" w:ascii="Times New Roman" w:cs="Times New Roman"/>
                      <w:color w:val="auto"/>
                      <w:kern w:val="2"/>
                      <w:sz w:val="21"/>
                      <w:szCs w:val="21"/>
                      <w:lang w:val="en-US" w:eastAsia="zh-CN" w:bidi="ar-SA"/>
                    </w:rPr>
                    <w:t>0875</w:t>
                  </w:r>
                </w:p>
              </w:tc>
              <w:tc>
                <w:tcPr>
                  <w:tcW w:w="11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w:t>
                  </w:r>
                  <w:r>
                    <w:rPr>
                      <w:rFonts w:hint="eastAsia" w:cs="Times New Roman"/>
                      <w:color w:val="auto"/>
                      <w:kern w:val="2"/>
                      <w:sz w:val="21"/>
                      <w:szCs w:val="21"/>
                      <w:lang w:val="en-US" w:eastAsia="zh-CN" w:bidi="ar-SA"/>
                    </w:rPr>
                    <w:t>125</w:t>
                  </w:r>
                </w:p>
              </w:tc>
              <w:tc>
                <w:tcPr>
                  <w:tcW w:w="1404" w:type="dxa"/>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gridSpan w:val="2"/>
                  <w:vMerge w:val="continue"/>
                  <w:noWrap w:val="0"/>
                  <w:vAlign w:val="center"/>
                </w:tcPr>
                <w:p>
                  <w:pPr>
                    <w:widowControl/>
                    <w:jc w:val="center"/>
                    <w:rPr>
                      <w:rFonts w:hint="default" w:ascii="Times New Roman" w:hAnsi="Times New Roman" w:cs="Times New Roman"/>
                      <w:color w:val="auto"/>
                      <w:sz w:val="21"/>
                      <w:szCs w:val="21"/>
                      <w:highlight w:val="none"/>
                    </w:rPr>
                  </w:pPr>
                </w:p>
              </w:tc>
              <w:tc>
                <w:tcPr>
                  <w:tcW w:w="1530" w:type="dxa"/>
                  <w:noWrap w:val="0"/>
                  <w:vAlign w:val="center"/>
                </w:tcPr>
                <w:p>
                  <w:pPr>
                    <w:widowControl/>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SS</w:t>
                  </w:r>
                </w:p>
              </w:tc>
              <w:tc>
                <w:tcPr>
                  <w:tcW w:w="1021" w:type="dxa"/>
                  <w:noWrap w:val="0"/>
                  <w:vAlign w:val="center"/>
                </w:tcPr>
                <w:p>
                  <w:pPr>
                    <w:pStyle w:val="25"/>
                    <w:tabs>
                      <w:tab w:val="left" w:pos="940"/>
                    </w:tabs>
                    <w:spacing w:beforeLines="0" w:afterLines="0" w:line="24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w:t>
                  </w:r>
                  <w:r>
                    <w:rPr>
                      <w:rFonts w:hint="eastAsia" w:ascii="Times New Roman" w:eastAsia="宋体" w:cs="Times New Roman"/>
                      <w:color w:val="auto"/>
                      <w:kern w:val="2"/>
                      <w:sz w:val="21"/>
                      <w:szCs w:val="21"/>
                      <w:lang w:val="en-US" w:eastAsia="zh-CN" w:bidi="ar-SA"/>
                    </w:rPr>
                    <w:t>7</w:t>
                  </w:r>
                  <w:r>
                    <w:rPr>
                      <w:rFonts w:hint="eastAsia" w:ascii="Times New Roman" w:cs="Times New Roman"/>
                      <w:color w:val="auto"/>
                      <w:kern w:val="2"/>
                      <w:sz w:val="21"/>
                      <w:szCs w:val="21"/>
                      <w:lang w:val="en-US" w:eastAsia="zh-CN" w:bidi="ar-SA"/>
                    </w:rPr>
                    <w:t>5</w:t>
                  </w:r>
                </w:p>
              </w:tc>
              <w:tc>
                <w:tcPr>
                  <w:tcW w:w="1078" w:type="dxa"/>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.025</w:t>
                  </w:r>
                </w:p>
              </w:tc>
              <w:tc>
                <w:tcPr>
                  <w:tcW w:w="941" w:type="dxa"/>
                  <w:noWrap w:val="0"/>
                  <w:vAlign w:val="center"/>
                </w:tcPr>
                <w:p>
                  <w:pPr>
                    <w:pStyle w:val="25"/>
                    <w:tabs>
                      <w:tab w:val="left" w:pos="940"/>
                    </w:tabs>
                    <w:spacing w:beforeLines="0" w:afterLines="0" w:line="24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w:t>
                  </w:r>
                  <w:r>
                    <w:rPr>
                      <w:rFonts w:hint="eastAsia" w:ascii="Times New Roman" w:cs="Times New Roman"/>
                      <w:color w:val="auto"/>
                      <w:kern w:val="2"/>
                      <w:sz w:val="21"/>
                      <w:szCs w:val="21"/>
                      <w:lang w:val="en-US" w:eastAsia="zh-CN" w:bidi="ar-SA"/>
                    </w:rPr>
                    <w:t>5</w:t>
                  </w:r>
                </w:p>
              </w:tc>
              <w:tc>
                <w:tcPr>
                  <w:tcW w:w="11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w:t>
                  </w:r>
                  <w:r>
                    <w:rPr>
                      <w:rFonts w:hint="eastAsia" w:cs="Times New Roman"/>
                      <w:color w:val="auto"/>
                      <w:kern w:val="2"/>
                      <w:sz w:val="21"/>
                      <w:szCs w:val="21"/>
                      <w:lang w:val="en-US" w:eastAsia="zh-CN" w:bidi="ar-SA"/>
                    </w:rPr>
                    <w:t>25</w:t>
                  </w:r>
                </w:p>
              </w:tc>
              <w:tc>
                <w:tcPr>
                  <w:tcW w:w="1404" w:type="dxa"/>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gridSpan w:val="2"/>
                  <w:vMerge w:val="continue"/>
                  <w:noWrap w:val="0"/>
                  <w:vAlign w:val="center"/>
                </w:tcPr>
                <w:p>
                  <w:pPr>
                    <w:widowControl/>
                    <w:jc w:val="center"/>
                    <w:rPr>
                      <w:rFonts w:hint="default" w:ascii="Times New Roman" w:hAnsi="Times New Roman" w:cs="Times New Roman"/>
                      <w:color w:val="auto"/>
                      <w:sz w:val="21"/>
                      <w:szCs w:val="21"/>
                      <w:highlight w:val="none"/>
                    </w:rPr>
                  </w:pPr>
                </w:p>
              </w:tc>
              <w:tc>
                <w:tcPr>
                  <w:tcW w:w="1530" w:type="dxa"/>
                  <w:noWrap w:val="0"/>
                  <w:vAlign w:val="center"/>
                </w:tcPr>
                <w:p>
                  <w:pPr>
                    <w:widowControl/>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氨氮</w:t>
                  </w:r>
                </w:p>
              </w:tc>
              <w:tc>
                <w:tcPr>
                  <w:tcW w:w="1021" w:type="dxa"/>
                  <w:noWrap w:val="0"/>
                  <w:vAlign w:val="center"/>
                </w:tcPr>
                <w:p>
                  <w:pPr>
                    <w:pStyle w:val="25"/>
                    <w:tabs>
                      <w:tab w:val="left" w:pos="940"/>
                    </w:tabs>
                    <w:spacing w:beforeLines="0" w:afterLines="0" w:line="24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w:t>
                  </w:r>
                  <w:r>
                    <w:rPr>
                      <w:rFonts w:hint="eastAsia" w:ascii="Times New Roman" w:cs="Times New Roman"/>
                      <w:color w:val="auto"/>
                      <w:kern w:val="2"/>
                      <w:sz w:val="21"/>
                      <w:szCs w:val="21"/>
                      <w:lang w:val="en-US" w:eastAsia="zh-CN" w:bidi="ar-SA"/>
                    </w:rPr>
                    <w:t>75</w:t>
                  </w:r>
                </w:p>
              </w:tc>
              <w:tc>
                <w:tcPr>
                  <w:tcW w:w="1078" w:type="dxa"/>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941" w:type="dxa"/>
                  <w:noWrap w:val="0"/>
                  <w:vAlign w:val="center"/>
                </w:tcPr>
                <w:p>
                  <w:pPr>
                    <w:pStyle w:val="25"/>
                    <w:tabs>
                      <w:tab w:val="left" w:pos="940"/>
                    </w:tabs>
                    <w:spacing w:beforeLines="0" w:afterLines="0" w:line="24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w:t>
                  </w:r>
                  <w:r>
                    <w:rPr>
                      <w:rFonts w:hint="eastAsia" w:ascii="Times New Roman" w:cs="Times New Roman"/>
                      <w:color w:val="auto"/>
                      <w:kern w:val="2"/>
                      <w:sz w:val="21"/>
                      <w:szCs w:val="21"/>
                      <w:lang w:val="en-US" w:eastAsia="zh-CN" w:bidi="ar-SA"/>
                    </w:rPr>
                    <w:t>75</w:t>
                  </w:r>
                </w:p>
              </w:tc>
              <w:tc>
                <w:tcPr>
                  <w:tcW w:w="11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w:t>
                  </w:r>
                  <w:r>
                    <w:rPr>
                      <w:rFonts w:hint="eastAsia" w:cs="Times New Roman"/>
                      <w:color w:val="auto"/>
                      <w:kern w:val="2"/>
                      <w:sz w:val="21"/>
                      <w:szCs w:val="21"/>
                      <w:lang w:val="en-US" w:eastAsia="zh-CN" w:bidi="ar-SA"/>
                    </w:rPr>
                    <w:t>175</w:t>
                  </w:r>
                </w:p>
              </w:tc>
              <w:tc>
                <w:tcPr>
                  <w:tcW w:w="1404" w:type="dxa"/>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gridSpan w:val="2"/>
                  <w:vMerge w:val="continue"/>
                  <w:noWrap w:val="0"/>
                  <w:vAlign w:val="center"/>
                </w:tcPr>
                <w:p>
                  <w:pPr>
                    <w:widowControl/>
                    <w:jc w:val="center"/>
                    <w:rPr>
                      <w:rFonts w:hint="default" w:ascii="Times New Roman" w:hAnsi="Times New Roman" w:cs="Times New Roman"/>
                      <w:color w:val="auto"/>
                      <w:sz w:val="21"/>
                      <w:szCs w:val="21"/>
                    </w:rPr>
                  </w:pPr>
                </w:p>
              </w:tc>
              <w:tc>
                <w:tcPr>
                  <w:tcW w:w="1530" w:type="dxa"/>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总氮</w:t>
                  </w:r>
                </w:p>
              </w:tc>
              <w:tc>
                <w:tcPr>
                  <w:tcW w:w="1021" w:type="dxa"/>
                  <w:noWrap w:val="0"/>
                  <w:vAlign w:val="center"/>
                </w:tcPr>
                <w:p>
                  <w:pPr>
                    <w:pStyle w:val="25"/>
                    <w:tabs>
                      <w:tab w:val="left" w:pos="940"/>
                    </w:tabs>
                    <w:spacing w:beforeLines="0" w:afterLines="0" w:line="24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w:t>
                  </w:r>
                  <w:r>
                    <w:rPr>
                      <w:rFonts w:hint="eastAsia" w:ascii="Times New Roman" w:cs="Times New Roman"/>
                      <w:color w:val="auto"/>
                      <w:kern w:val="2"/>
                      <w:sz w:val="21"/>
                      <w:szCs w:val="21"/>
                      <w:lang w:val="en-US" w:eastAsia="zh-CN" w:bidi="ar-SA"/>
                    </w:rPr>
                    <w:t>1</w:t>
                  </w:r>
                </w:p>
              </w:tc>
              <w:tc>
                <w:tcPr>
                  <w:tcW w:w="1078" w:type="dxa"/>
                  <w:noWrap w:val="0"/>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941" w:type="dxa"/>
                  <w:noWrap w:val="0"/>
                  <w:vAlign w:val="center"/>
                </w:tcPr>
                <w:p>
                  <w:pPr>
                    <w:pStyle w:val="25"/>
                    <w:tabs>
                      <w:tab w:val="left" w:pos="940"/>
                    </w:tabs>
                    <w:spacing w:beforeLines="0" w:afterLines="0" w:line="24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w:t>
                  </w:r>
                  <w:r>
                    <w:rPr>
                      <w:rFonts w:hint="eastAsia" w:ascii="Times New Roman" w:cs="Times New Roman"/>
                      <w:color w:val="auto"/>
                      <w:kern w:val="2"/>
                      <w:sz w:val="21"/>
                      <w:szCs w:val="21"/>
                      <w:lang w:val="en-US" w:eastAsia="zh-CN" w:bidi="ar-SA"/>
                    </w:rPr>
                    <w:t>1</w:t>
                  </w:r>
                </w:p>
              </w:tc>
              <w:tc>
                <w:tcPr>
                  <w:tcW w:w="11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w:t>
                  </w:r>
                  <w:r>
                    <w:rPr>
                      <w:rFonts w:hint="eastAsia" w:cs="Times New Roman"/>
                      <w:color w:val="auto"/>
                      <w:kern w:val="2"/>
                      <w:sz w:val="21"/>
                      <w:szCs w:val="21"/>
                      <w:lang w:val="en-US" w:eastAsia="zh-CN" w:bidi="ar-SA"/>
                    </w:rPr>
                    <w:t>375</w:t>
                  </w:r>
                </w:p>
              </w:tc>
              <w:tc>
                <w:tcPr>
                  <w:tcW w:w="1404" w:type="dxa"/>
                  <w:noWrap w:val="0"/>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gridSpan w:val="2"/>
                  <w:vMerge w:val="continue"/>
                  <w:noWrap w:val="0"/>
                  <w:vAlign w:val="center"/>
                </w:tcPr>
                <w:p>
                  <w:pPr>
                    <w:widowControl/>
                    <w:jc w:val="center"/>
                    <w:rPr>
                      <w:rFonts w:hint="default" w:ascii="Times New Roman" w:hAnsi="Times New Roman" w:cs="Times New Roman"/>
                      <w:color w:val="auto"/>
                      <w:sz w:val="21"/>
                      <w:szCs w:val="21"/>
                    </w:rPr>
                  </w:pPr>
                </w:p>
              </w:tc>
              <w:tc>
                <w:tcPr>
                  <w:tcW w:w="1530" w:type="dxa"/>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总磷</w:t>
                  </w:r>
                </w:p>
              </w:tc>
              <w:tc>
                <w:tcPr>
                  <w:tcW w:w="1021" w:type="dxa"/>
                  <w:noWrap w:val="0"/>
                  <w:vAlign w:val="center"/>
                </w:tcPr>
                <w:p>
                  <w:pPr>
                    <w:pStyle w:val="25"/>
                    <w:tabs>
                      <w:tab w:val="left" w:pos="940"/>
                    </w:tabs>
                    <w:spacing w:beforeLines="0" w:afterLines="0" w:line="24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w:t>
                  </w:r>
                  <w:r>
                    <w:rPr>
                      <w:rFonts w:hint="eastAsia" w:ascii="Times New Roman" w:cs="Times New Roman"/>
                      <w:color w:val="auto"/>
                      <w:kern w:val="2"/>
                      <w:sz w:val="21"/>
                      <w:szCs w:val="21"/>
                      <w:lang w:val="en-US" w:eastAsia="zh-CN" w:bidi="ar-SA"/>
                    </w:rPr>
                    <w:t>1</w:t>
                  </w:r>
                </w:p>
              </w:tc>
              <w:tc>
                <w:tcPr>
                  <w:tcW w:w="1078" w:type="dxa"/>
                  <w:noWrap w:val="0"/>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941" w:type="dxa"/>
                  <w:noWrap w:val="0"/>
                  <w:vAlign w:val="center"/>
                </w:tcPr>
                <w:p>
                  <w:pPr>
                    <w:pStyle w:val="25"/>
                    <w:tabs>
                      <w:tab w:val="left" w:pos="940"/>
                    </w:tabs>
                    <w:spacing w:beforeLines="0" w:afterLines="0" w:line="24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w:t>
                  </w:r>
                  <w:r>
                    <w:rPr>
                      <w:rFonts w:hint="eastAsia" w:ascii="Times New Roman" w:cs="Times New Roman"/>
                      <w:color w:val="auto"/>
                      <w:kern w:val="2"/>
                      <w:sz w:val="21"/>
                      <w:szCs w:val="21"/>
                      <w:lang w:val="en-US" w:eastAsia="zh-CN" w:bidi="ar-SA"/>
                    </w:rPr>
                    <w:t>1</w:t>
                  </w:r>
                </w:p>
              </w:tc>
              <w:tc>
                <w:tcPr>
                  <w:tcW w:w="11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0.000</w:t>
                  </w:r>
                  <w:r>
                    <w:rPr>
                      <w:rFonts w:hint="eastAsia" w:cs="Times New Roman"/>
                      <w:color w:val="auto"/>
                      <w:kern w:val="2"/>
                      <w:sz w:val="21"/>
                      <w:szCs w:val="21"/>
                      <w:lang w:val="en-US" w:eastAsia="zh-CN" w:bidi="ar-SA"/>
                    </w:rPr>
                    <w:t>2</w:t>
                  </w:r>
                </w:p>
              </w:tc>
              <w:tc>
                <w:tcPr>
                  <w:tcW w:w="1404" w:type="dxa"/>
                  <w:noWrap w:val="0"/>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dxa"/>
                  <w:vMerge w:val="restart"/>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930" w:type="dxa"/>
                  <w:vMerge w:val="restart"/>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w:t>
                  </w:r>
                </w:p>
              </w:tc>
              <w:tc>
                <w:tcPr>
                  <w:tcW w:w="1530" w:type="dxa"/>
                  <w:noWrap w:val="0"/>
                  <w:vAlign w:val="center"/>
                </w:tcPr>
                <w:p>
                  <w:pPr>
                    <w:widowControl/>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非甲烷总烃</w:t>
                  </w:r>
                </w:p>
              </w:tc>
              <w:tc>
                <w:tcPr>
                  <w:tcW w:w="102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w:t>
                  </w:r>
                  <w:r>
                    <w:rPr>
                      <w:rFonts w:hint="eastAsia" w:cs="Times New Roman"/>
                      <w:color w:val="auto"/>
                      <w:kern w:val="2"/>
                      <w:sz w:val="21"/>
                      <w:szCs w:val="21"/>
                      <w:lang w:val="en-US" w:eastAsia="zh-CN" w:bidi="ar-SA"/>
                    </w:rPr>
                    <w:t>1088</w:t>
                  </w:r>
                </w:p>
              </w:tc>
              <w:tc>
                <w:tcPr>
                  <w:tcW w:w="10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0.009792</w:t>
                  </w:r>
                </w:p>
              </w:tc>
              <w:tc>
                <w:tcPr>
                  <w:tcW w:w="210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0.001088</w:t>
                  </w:r>
                </w:p>
              </w:tc>
              <w:tc>
                <w:tcPr>
                  <w:tcW w:w="14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w:t>
                  </w:r>
                  <w:r>
                    <w:rPr>
                      <w:rFonts w:hint="eastAsia" w:cs="Times New Roman"/>
                      <w:color w:val="auto"/>
                      <w:kern w:val="2"/>
                      <w:sz w:val="21"/>
                      <w:szCs w:val="21"/>
                      <w:lang w:val="en-US" w:eastAsia="zh-CN" w:bidi="ar-SA"/>
                    </w:rPr>
                    <w:t>1088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dxa"/>
                  <w:vMerge w:val="continue"/>
                  <w:noWrap w:val="0"/>
                  <w:vAlign w:val="center"/>
                </w:tcPr>
                <w:p>
                  <w:pPr>
                    <w:widowControl/>
                    <w:jc w:val="center"/>
                    <w:rPr>
                      <w:rFonts w:hint="default" w:ascii="Times New Roman" w:hAnsi="Times New Roman" w:cs="Times New Roman"/>
                      <w:color w:val="auto"/>
                      <w:sz w:val="21"/>
                      <w:szCs w:val="21"/>
                    </w:rPr>
                  </w:pPr>
                </w:p>
              </w:tc>
              <w:tc>
                <w:tcPr>
                  <w:tcW w:w="930" w:type="dxa"/>
                  <w:vMerge w:val="continue"/>
                  <w:noWrap w:val="0"/>
                  <w:vAlign w:val="center"/>
                </w:tcPr>
                <w:p>
                  <w:pPr>
                    <w:widowControl/>
                    <w:jc w:val="center"/>
                    <w:rPr>
                      <w:rFonts w:hint="default" w:ascii="Times New Roman" w:hAnsi="Times New Roman" w:cs="Times New Roman"/>
                      <w:color w:val="auto"/>
                      <w:sz w:val="21"/>
                      <w:szCs w:val="21"/>
                    </w:rPr>
                  </w:pPr>
                </w:p>
              </w:tc>
              <w:tc>
                <w:tcPr>
                  <w:tcW w:w="1530" w:type="dxa"/>
                  <w:noWrap w:val="0"/>
                  <w:vAlign w:val="center"/>
                </w:tcPr>
                <w:p>
                  <w:pPr>
                    <w:widowControl/>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颗粒物</w:t>
                  </w:r>
                </w:p>
              </w:tc>
              <w:tc>
                <w:tcPr>
                  <w:tcW w:w="102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0.5472</w:t>
                  </w:r>
                </w:p>
              </w:tc>
              <w:tc>
                <w:tcPr>
                  <w:tcW w:w="10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0.5198</w:t>
                  </w:r>
                </w:p>
              </w:tc>
              <w:tc>
                <w:tcPr>
                  <w:tcW w:w="210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0.0274</w:t>
                  </w:r>
                </w:p>
              </w:tc>
              <w:tc>
                <w:tcPr>
                  <w:tcW w:w="14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0.0274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dxa"/>
                  <w:vMerge w:val="continue"/>
                  <w:noWrap w:val="0"/>
                  <w:vAlign w:val="center"/>
                </w:tcPr>
                <w:p>
                  <w:pPr>
                    <w:widowControl/>
                    <w:jc w:val="center"/>
                    <w:rPr>
                      <w:rFonts w:hint="default" w:ascii="Times New Roman" w:hAnsi="Times New Roman" w:cs="Times New Roman"/>
                      <w:color w:val="auto"/>
                      <w:sz w:val="21"/>
                      <w:szCs w:val="21"/>
                    </w:rPr>
                  </w:pPr>
                </w:p>
              </w:tc>
              <w:tc>
                <w:tcPr>
                  <w:tcW w:w="930" w:type="dxa"/>
                  <w:vMerge w:val="restart"/>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w:t>
                  </w:r>
                </w:p>
              </w:tc>
              <w:tc>
                <w:tcPr>
                  <w:tcW w:w="1530" w:type="dxa"/>
                  <w:noWrap w:val="0"/>
                  <w:vAlign w:val="center"/>
                </w:tcPr>
                <w:p>
                  <w:pPr>
                    <w:widowControl/>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非甲烷总烃</w:t>
                  </w:r>
                </w:p>
              </w:tc>
              <w:tc>
                <w:tcPr>
                  <w:tcW w:w="102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w:t>
                  </w:r>
                  <w:r>
                    <w:rPr>
                      <w:rFonts w:hint="eastAsia" w:cs="Times New Roman"/>
                      <w:color w:val="auto"/>
                      <w:kern w:val="2"/>
                      <w:sz w:val="21"/>
                      <w:szCs w:val="21"/>
                      <w:lang w:val="en-US" w:eastAsia="zh-CN" w:bidi="ar-SA"/>
                    </w:rPr>
                    <w:t>0272</w:t>
                  </w:r>
                </w:p>
              </w:tc>
              <w:tc>
                <w:tcPr>
                  <w:tcW w:w="10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w:t>
                  </w:r>
                </w:p>
              </w:tc>
              <w:tc>
                <w:tcPr>
                  <w:tcW w:w="210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0.00272</w:t>
                  </w:r>
                </w:p>
              </w:tc>
              <w:tc>
                <w:tcPr>
                  <w:tcW w:w="14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00272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dxa"/>
                  <w:vMerge w:val="continue"/>
                  <w:noWrap w:val="0"/>
                  <w:vAlign w:val="center"/>
                </w:tcPr>
                <w:p>
                  <w:pPr>
                    <w:widowControl/>
                    <w:jc w:val="center"/>
                    <w:rPr>
                      <w:rFonts w:hint="default" w:ascii="Times New Roman" w:hAnsi="Times New Roman" w:cs="Times New Roman"/>
                      <w:color w:val="auto"/>
                      <w:sz w:val="21"/>
                      <w:szCs w:val="21"/>
                    </w:rPr>
                  </w:pPr>
                </w:p>
              </w:tc>
              <w:tc>
                <w:tcPr>
                  <w:tcW w:w="930" w:type="dxa"/>
                  <w:vMerge w:val="continue"/>
                  <w:noWrap w:val="0"/>
                  <w:vAlign w:val="center"/>
                </w:tcPr>
                <w:p>
                  <w:pPr>
                    <w:widowControl/>
                    <w:jc w:val="center"/>
                    <w:rPr>
                      <w:rFonts w:hint="default" w:ascii="Times New Roman" w:hAnsi="Times New Roman" w:cs="Times New Roman"/>
                      <w:color w:val="auto"/>
                      <w:sz w:val="21"/>
                      <w:szCs w:val="21"/>
                    </w:rPr>
                  </w:pPr>
                </w:p>
              </w:tc>
              <w:tc>
                <w:tcPr>
                  <w:tcW w:w="1530" w:type="dxa"/>
                  <w:noWrap w:val="0"/>
                  <w:vAlign w:val="center"/>
                </w:tcPr>
                <w:p>
                  <w:pPr>
                    <w:widowControl/>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颗粒物</w:t>
                  </w:r>
                </w:p>
              </w:tc>
              <w:tc>
                <w:tcPr>
                  <w:tcW w:w="102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0.0608</w:t>
                  </w:r>
                </w:p>
              </w:tc>
              <w:tc>
                <w:tcPr>
                  <w:tcW w:w="10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210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0.0608</w:t>
                  </w:r>
                </w:p>
              </w:tc>
              <w:tc>
                <w:tcPr>
                  <w:tcW w:w="14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0.0608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gridSpan w:val="2"/>
                  <w:vMerge w:val="restart"/>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530" w:type="dxa"/>
                  <w:noWrap w:val="0"/>
                  <w:vAlign w:val="center"/>
                </w:tcPr>
                <w:p>
                  <w:pPr>
                    <w:widowControl/>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一般工业固废</w:t>
                  </w:r>
                </w:p>
              </w:tc>
              <w:tc>
                <w:tcPr>
                  <w:tcW w:w="1021" w:type="dxa"/>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15.5198</w:t>
                  </w:r>
                </w:p>
              </w:tc>
              <w:tc>
                <w:tcPr>
                  <w:tcW w:w="1078"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15.5198</w:t>
                  </w:r>
                </w:p>
              </w:tc>
              <w:tc>
                <w:tcPr>
                  <w:tcW w:w="2100" w:type="dxa"/>
                  <w:gridSpan w:val="2"/>
                  <w:noWrap w:val="0"/>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404" w:type="dxa"/>
                  <w:noWrap w:val="0"/>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gridSpan w:val="2"/>
                  <w:vMerge w:val="continue"/>
                  <w:noWrap w:val="0"/>
                  <w:vAlign w:val="center"/>
                </w:tcPr>
                <w:p>
                  <w:pPr>
                    <w:widowControl/>
                    <w:jc w:val="center"/>
                    <w:rPr>
                      <w:rFonts w:hint="default" w:ascii="Times New Roman" w:hAnsi="Times New Roman" w:cs="Times New Roman"/>
                      <w:color w:val="auto"/>
                      <w:sz w:val="21"/>
                      <w:szCs w:val="21"/>
                    </w:rPr>
                  </w:pPr>
                </w:p>
              </w:tc>
              <w:tc>
                <w:tcPr>
                  <w:tcW w:w="1530" w:type="dxa"/>
                  <w:noWrap w:val="0"/>
                  <w:vAlign w:val="center"/>
                </w:tcPr>
                <w:p>
                  <w:pPr>
                    <w:widowControl/>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危险固废</w:t>
                  </w:r>
                </w:p>
              </w:tc>
              <w:tc>
                <w:tcPr>
                  <w:tcW w:w="1021" w:type="dxa"/>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9.4096</w:t>
                  </w:r>
                </w:p>
              </w:tc>
              <w:tc>
                <w:tcPr>
                  <w:tcW w:w="1078"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9.4096</w:t>
                  </w:r>
                </w:p>
              </w:tc>
              <w:tc>
                <w:tcPr>
                  <w:tcW w:w="2100" w:type="dxa"/>
                  <w:gridSpan w:val="2"/>
                  <w:noWrap w:val="0"/>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404" w:type="dxa"/>
                  <w:noWrap w:val="0"/>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1" w:type="dxa"/>
                  <w:gridSpan w:val="2"/>
                  <w:vMerge w:val="continue"/>
                  <w:noWrap w:val="0"/>
                  <w:vAlign w:val="center"/>
                </w:tcPr>
                <w:p>
                  <w:pPr>
                    <w:widowControl/>
                    <w:jc w:val="center"/>
                    <w:rPr>
                      <w:rFonts w:hint="default" w:ascii="Times New Roman" w:hAnsi="Times New Roman" w:cs="Times New Roman"/>
                      <w:color w:val="auto"/>
                      <w:sz w:val="21"/>
                      <w:szCs w:val="21"/>
                    </w:rPr>
                  </w:pPr>
                </w:p>
              </w:tc>
              <w:tc>
                <w:tcPr>
                  <w:tcW w:w="1530" w:type="dxa"/>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生活垃圾</w:t>
                  </w:r>
                </w:p>
              </w:tc>
              <w:tc>
                <w:tcPr>
                  <w:tcW w:w="1021" w:type="dxa"/>
                  <w:noWrap w:val="0"/>
                  <w:vAlign w:val="center"/>
                </w:tcPr>
                <w:p>
                  <w:pPr>
                    <w:widowControl/>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3.125</w:t>
                  </w:r>
                </w:p>
              </w:tc>
              <w:tc>
                <w:tcPr>
                  <w:tcW w:w="1078" w:type="dxa"/>
                  <w:noWrap w:val="0"/>
                  <w:vAlign w:val="center"/>
                </w:tcPr>
                <w:p>
                  <w:pPr>
                    <w:widowControl/>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3.125</w:t>
                  </w:r>
                </w:p>
              </w:tc>
              <w:tc>
                <w:tcPr>
                  <w:tcW w:w="2100" w:type="dxa"/>
                  <w:gridSpan w:val="2"/>
                  <w:noWrap w:val="0"/>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404" w:type="dxa"/>
                  <w:noWrap w:val="0"/>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bl>
          <w:p>
            <w:pPr>
              <w:tabs>
                <w:tab w:val="left" w:pos="5142"/>
              </w:tabs>
              <w:adjustRightInd w:val="0"/>
              <w:snapToGrid w:val="0"/>
              <w:spacing w:line="500" w:lineRule="exact"/>
              <w:ind w:firstLine="480" w:firstLineChars="200"/>
              <w:rPr>
                <w:rFonts w:ascii="Times New Roman" w:hAnsi="Times New Roman"/>
                <w:color w:val="auto"/>
                <w:sz w:val="24"/>
                <w:highlight w:val="none"/>
              </w:rPr>
            </w:pPr>
            <w:r>
              <w:rPr>
                <w:rFonts w:hint="default" w:ascii="Times New Roman" w:hAnsi="Times New Roman" w:eastAsia="宋体" w:cs="Times New Roman"/>
                <w:color w:val="auto"/>
                <w:kern w:val="2"/>
                <w:sz w:val="24"/>
                <w:szCs w:val="24"/>
                <w:lang w:val="en-US" w:eastAsia="zh-CN" w:bidi="ar-SA"/>
              </w:rPr>
              <w:t>根据南通市《关于进一步优化建设项目排污总量指标管理提升环评审批效能的意见（试行）》（通环办〔2023〕132号）</w:t>
            </w:r>
            <w:r>
              <w:rPr>
                <w:rFonts w:ascii="Times New Roman" w:hAnsi="Times New Roman"/>
                <w:color w:val="auto"/>
                <w:sz w:val="24"/>
                <w:highlight w:val="none"/>
              </w:rPr>
              <w:t>，</w:t>
            </w:r>
            <w:r>
              <w:rPr>
                <w:rFonts w:hint="eastAsia" w:ascii="Times New Roman" w:hAnsi="Times New Roman"/>
                <w:color w:val="auto"/>
                <w:sz w:val="24"/>
                <w:highlight w:val="none"/>
              </w:rPr>
              <w:t>建设项目总量控制因子为</w:t>
            </w:r>
            <w:r>
              <w:rPr>
                <w:rFonts w:hint="eastAsia"/>
                <w:color w:val="auto"/>
                <w:sz w:val="24"/>
                <w:highlight w:val="none"/>
                <w:lang w:eastAsia="zh-CN"/>
              </w:rPr>
              <w:t>烟粉尘</w:t>
            </w:r>
            <w:r>
              <w:rPr>
                <w:rFonts w:hint="eastAsia"/>
                <w:color w:val="auto"/>
                <w:sz w:val="24"/>
                <w:lang w:val="en-US" w:eastAsia="zh-CN"/>
              </w:rPr>
              <w:t>、</w:t>
            </w:r>
            <w:r>
              <w:rPr>
                <w:rFonts w:hint="eastAsia" w:ascii="Times New Roman" w:hAnsi="Times New Roman"/>
                <w:color w:val="auto"/>
                <w:sz w:val="24"/>
                <w:highlight w:val="none"/>
              </w:rPr>
              <w:t>VOCs</w:t>
            </w:r>
            <w:r>
              <w:rPr>
                <w:rFonts w:ascii="Times New Roman" w:hAnsi="Times New Roman"/>
                <w:color w:val="auto"/>
                <w:sz w:val="24"/>
                <w:highlight w:val="none"/>
              </w:rPr>
              <w:t>。</w:t>
            </w:r>
          </w:p>
          <w:p>
            <w:pPr>
              <w:tabs>
                <w:tab w:val="left" w:pos="5142"/>
              </w:tabs>
              <w:adjustRightInd w:val="0"/>
              <w:snapToGrid w:val="0"/>
              <w:spacing w:line="500" w:lineRule="exact"/>
              <w:ind w:firstLine="480" w:firstLineChars="200"/>
              <w:rPr>
                <w:rFonts w:hint="eastAsia"/>
                <w:color w:val="auto"/>
                <w:sz w:val="24"/>
                <w:highlight w:val="none"/>
                <w:lang w:val="en-US" w:eastAsia="zh-CN"/>
              </w:rPr>
            </w:pPr>
            <w:r>
              <w:rPr>
                <w:rFonts w:hint="eastAsia" w:ascii="Times New Roman" w:hAnsi="Times New Roman"/>
                <w:color w:val="auto"/>
                <w:sz w:val="24"/>
                <w:highlight w:val="none"/>
              </w:rPr>
              <w:t>本项目新增污染物排放量</w:t>
            </w:r>
            <w:r>
              <w:rPr>
                <w:rFonts w:hint="eastAsia"/>
                <w:color w:val="auto"/>
                <w:sz w:val="24"/>
                <w:highlight w:val="none"/>
                <w:lang w:val="en-US" w:eastAsia="zh-CN"/>
              </w:rPr>
              <w:t>海安市大公镇区</w:t>
            </w:r>
            <w:r>
              <w:rPr>
                <w:rFonts w:hint="eastAsia" w:ascii="Times New Roman" w:hAnsi="Times New Roman"/>
                <w:color w:val="auto"/>
                <w:sz w:val="24"/>
                <w:highlight w:val="none"/>
              </w:rPr>
              <w:t>范围内平衡，经核定的总量控制指标</w:t>
            </w:r>
            <w:r>
              <w:rPr>
                <w:rFonts w:hint="eastAsia"/>
                <w:color w:val="auto"/>
                <w:sz w:val="24"/>
                <w:highlight w:val="none"/>
                <w:lang w:val="en-US" w:eastAsia="zh-CN"/>
              </w:rPr>
              <w:t>如下：</w:t>
            </w:r>
          </w:p>
          <w:p>
            <w:pPr>
              <w:tabs>
                <w:tab w:val="left" w:pos="5142"/>
              </w:tabs>
              <w:adjustRightInd w:val="0"/>
              <w:snapToGrid w:val="0"/>
              <w:spacing w:line="500" w:lineRule="exact"/>
              <w:ind w:firstLine="480" w:firstLineChars="200"/>
              <w:rPr>
                <w:rFonts w:ascii="Times New Roman" w:hAnsi="Times New Roman"/>
                <w:color w:val="auto"/>
                <w:sz w:val="24"/>
                <w:highlight w:val="none"/>
              </w:rPr>
            </w:pPr>
            <w:r>
              <w:rPr>
                <w:rFonts w:hint="eastAsia"/>
                <w:color w:val="auto"/>
                <w:sz w:val="24"/>
                <w:highlight w:val="none"/>
                <w:lang w:val="en-US" w:eastAsia="zh-CN"/>
              </w:rPr>
              <w:t>①</w:t>
            </w:r>
            <w:r>
              <w:rPr>
                <w:rFonts w:hint="eastAsia" w:ascii="Times New Roman" w:hAnsi="Times New Roman"/>
                <w:color w:val="auto"/>
                <w:sz w:val="24"/>
                <w:highlight w:val="none"/>
              </w:rPr>
              <w:t>大气</w:t>
            </w:r>
            <w:r>
              <w:rPr>
                <w:rFonts w:ascii="Times New Roman" w:hAnsi="Times New Roman"/>
                <w:color w:val="auto"/>
                <w:sz w:val="24"/>
                <w:highlight w:val="none"/>
              </w:rPr>
              <w:t>污染物排放量为：</w:t>
            </w:r>
          </w:p>
          <w:p>
            <w:pPr>
              <w:tabs>
                <w:tab w:val="left" w:pos="5142"/>
              </w:tabs>
              <w:adjustRightInd w:val="0"/>
              <w:snapToGrid w:val="0"/>
              <w:spacing w:line="500" w:lineRule="exact"/>
              <w:ind w:firstLine="480" w:firstLineChars="200"/>
              <w:rPr>
                <w:rFonts w:ascii="Times New Roman" w:hAnsi="Times New Roman"/>
                <w:color w:val="auto"/>
                <w:sz w:val="24"/>
                <w:szCs w:val="24"/>
                <w:highlight w:val="none"/>
              </w:rPr>
            </w:pPr>
            <w:r>
              <w:rPr>
                <w:rFonts w:hint="eastAsia"/>
                <w:color w:val="auto"/>
                <w:sz w:val="24"/>
                <w:highlight w:val="none"/>
                <w:lang w:val="en-US" w:eastAsia="zh-CN"/>
              </w:rPr>
              <w:t>有组织：</w:t>
            </w:r>
            <w:r>
              <w:rPr>
                <w:rFonts w:hint="eastAsia"/>
                <w:color w:val="auto"/>
                <w:sz w:val="24"/>
                <w:lang w:val="en-US" w:eastAsia="zh-CN"/>
              </w:rPr>
              <w:t>颗粒物0.0274</w:t>
            </w:r>
            <w:r>
              <w:rPr>
                <w:color w:val="auto"/>
                <w:sz w:val="24"/>
              </w:rPr>
              <w:t>t/a</w:t>
            </w:r>
            <w:r>
              <w:rPr>
                <w:rFonts w:hint="eastAsia"/>
                <w:color w:val="auto"/>
                <w:sz w:val="24"/>
                <w:lang w:val="en-US" w:eastAsia="zh-CN"/>
              </w:rPr>
              <w:t>、</w:t>
            </w:r>
            <w:r>
              <w:rPr>
                <w:rFonts w:ascii="Times New Roman" w:hAnsi="Times New Roman"/>
                <w:color w:val="auto"/>
                <w:sz w:val="24"/>
                <w:highlight w:val="none"/>
              </w:rPr>
              <w:t>VOCs</w:t>
            </w:r>
            <w:r>
              <w:rPr>
                <w:rFonts w:hint="eastAsia" w:ascii="Times New Roman" w:hAnsi="Times New Roman"/>
                <w:color w:val="auto"/>
                <w:sz w:val="24"/>
                <w:highlight w:val="none"/>
              </w:rPr>
              <w:t>（非甲烷总烃）</w:t>
            </w:r>
            <w:r>
              <w:rPr>
                <w:rFonts w:hint="eastAsia"/>
                <w:color w:val="auto"/>
                <w:sz w:val="24"/>
                <w:highlight w:val="none"/>
                <w:lang w:val="en-US" w:eastAsia="zh-CN"/>
              </w:rPr>
              <w:t>0.001088</w:t>
            </w:r>
            <w:r>
              <w:rPr>
                <w:rFonts w:ascii="Times New Roman" w:hAnsi="Times New Roman"/>
                <w:color w:val="auto"/>
                <w:sz w:val="24"/>
                <w:highlight w:val="none"/>
              </w:rPr>
              <w:t>t/a</w:t>
            </w:r>
            <w:r>
              <w:rPr>
                <w:rFonts w:ascii="Times New Roman" w:hAnsi="Times New Roman"/>
                <w:color w:val="auto"/>
                <w:sz w:val="24"/>
                <w:szCs w:val="24"/>
                <w:highlight w:val="none"/>
              </w:rPr>
              <w:t>。</w:t>
            </w:r>
          </w:p>
          <w:p>
            <w:pPr>
              <w:tabs>
                <w:tab w:val="left" w:pos="5142"/>
              </w:tabs>
              <w:adjustRightInd w:val="0"/>
              <w:snapToGrid w:val="0"/>
              <w:spacing w:line="500" w:lineRule="exact"/>
              <w:ind w:firstLine="480" w:firstLineChars="200"/>
              <w:rPr>
                <w:rFonts w:ascii="Times New Roman" w:hAnsi="Times New Roman" w:eastAsia="宋体"/>
                <w:color w:val="auto"/>
                <w:sz w:val="24"/>
                <w:szCs w:val="24"/>
                <w:highlight w:val="none"/>
              </w:rPr>
            </w:pPr>
            <w:r>
              <w:rPr>
                <w:rFonts w:hint="eastAsia"/>
                <w:color w:val="auto"/>
                <w:sz w:val="24"/>
                <w:szCs w:val="24"/>
                <w:highlight w:val="none"/>
                <w:lang w:val="en-US" w:eastAsia="zh-CN"/>
              </w:rPr>
              <w:t>无组织：</w:t>
            </w:r>
            <w:r>
              <w:rPr>
                <w:rFonts w:hint="eastAsia" w:eastAsia="宋体"/>
                <w:color w:val="auto"/>
                <w:sz w:val="24"/>
                <w:lang w:val="en-US" w:eastAsia="zh-CN"/>
              </w:rPr>
              <w:t>颗粒物0.0608</w:t>
            </w:r>
            <w:r>
              <w:rPr>
                <w:rFonts w:eastAsia="宋体"/>
                <w:color w:val="auto"/>
                <w:sz w:val="24"/>
              </w:rPr>
              <w:t>t/a</w:t>
            </w:r>
            <w:r>
              <w:rPr>
                <w:rFonts w:hint="eastAsia" w:eastAsia="宋体"/>
                <w:color w:val="auto"/>
                <w:sz w:val="24"/>
                <w:lang w:val="en-US" w:eastAsia="zh-CN"/>
              </w:rPr>
              <w:t>、</w:t>
            </w:r>
            <w:r>
              <w:rPr>
                <w:rFonts w:ascii="Times New Roman" w:hAnsi="Times New Roman" w:eastAsia="宋体"/>
                <w:color w:val="auto"/>
                <w:sz w:val="24"/>
                <w:highlight w:val="none"/>
              </w:rPr>
              <w:t>VOCs</w:t>
            </w:r>
            <w:r>
              <w:rPr>
                <w:rFonts w:hint="eastAsia" w:ascii="Times New Roman" w:hAnsi="Times New Roman" w:eastAsia="宋体"/>
                <w:color w:val="auto"/>
                <w:sz w:val="24"/>
                <w:highlight w:val="none"/>
              </w:rPr>
              <w:t>（非甲烷总烃）</w:t>
            </w:r>
            <w:r>
              <w:rPr>
                <w:rFonts w:hint="eastAsia" w:eastAsia="宋体"/>
                <w:color w:val="auto"/>
                <w:sz w:val="24"/>
                <w:highlight w:val="none"/>
                <w:lang w:val="en-US" w:eastAsia="zh-CN"/>
              </w:rPr>
              <w:t>0.00272</w:t>
            </w:r>
            <w:r>
              <w:rPr>
                <w:rFonts w:ascii="Times New Roman" w:hAnsi="Times New Roman" w:eastAsia="宋体"/>
                <w:color w:val="auto"/>
                <w:sz w:val="24"/>
                <w:highlight w:val="none"/>
              </w:rPr>
              <w:t>t/a</w:t>
            </w:r>
            <w:r>
              <w:rPr>
                <w:rFonts w:ascii="Times New Roman" w:hAnsi="Times New Roman" w:eastAsia="宋体"/>
                <w:color w:val="auto"/>
                <w:sz w:val="24"/>
                <w:szCs w:val="24"/>
                <w:highlight w:val="none"/>
              </w:rPr>
              <w:t>。</w:t>
            </w:r>
          </w:p>
          <w:p>
            <w:pPr>
              <w:tabs>
                <w:tab w:val="left" w:pos="5142"/>
              </w:tabs>
              <w:adjustRightInd w:val="0"/>
              <w:snapToGrid w:val="0"/>
              <w:spacing w:line="500" w:lineRule="exact"/>
              <w:ind w:firstLine="480" w:firstLineChars="200"/>
              <w:rPr>
                <w:rFonts w:hint="eastAsia"/>
                <w:color w:val="auto"/>
                <w:sz w:val="24"/>
                <w:szCs w:val="24"/>
                <w:lang w:val="en-US" w:eastAsia="zh-CN"/>
              </w:rPr>
            </w:pPr>
            <w:r>
              <w:rPr>
                <w:rFonts w:hint="eastAsia"/>
                <w:color w:val="auto"/>
                <w:sz w:val="24"/>
                <w:szCs w:val="24"/>
                <w:lang w:val="en-US" w:eastAsia="zh-CN"/>
              </w:rPr>
              <w:t>②本项目废水仅生活污水间接排放，无需进行总量平衡。</w:t>
            </w:r>
          </w:p>
          <w:p>
            <w:pPr>
              <w:tabs>
                <w:tab w:val="left" w:pos="5142"/>
              </w:tabs>
              <w:adjustRightInd w:val="0"/>
              <w:snapToGrid w:val="0"/>
              <w:spacing w:line="500" w:lineRule="exact"/>
              <w:ind w:firstLine="480" w:firstLineChars="200"/>
              <w:rPr>
                <w:rFonts w:hint="default"/>
                <w:color w:val="auto"/>
                <w:sz w:val="24"/>
                <w:szCs w:val="24"/>
                <w:lang w:val="en-US" w:eastAsia="zh-CN"/>
              </w:rPr>
            </w:pPr>
            <w:r>
              <w:rPr>
                <w:rFonts w:hint="eastAsia"/>
                <w:color w:val="auto"/>
                <w:sz w:val="24"/>
                <w:szCs w:val="24"/>
                <w:lang w:val="en-US" w:eastAsia="zh-CN"/>
              </w:rPr>
              <w:t>③固体废弃物零排放。</w:t>
            </w:r>
          </w:p>
        </w:tc>
      </w:tr>
    </w:tbl>
    <w:p>
      <w:pPr>
        <w:pStyle w:val="16"/>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jc w:val="center"/>
        <w:textAlignment w:val="auto"/>
        <w:outlineLvl w:val="0"/>
        <w:rPr>
          <w:rFonts w:hint="eastAsia"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1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87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 w:type="pct"/>
            <w:tcBorders>
              <w:tl2br w:val="nil"/>
              <w:tr2bl w:val="nil"/>
            </w:tcBorders>
            <w:tcMar>
              <w:left w:w="28" w:type="dxa"/>
              <w:right w:w="28" w:type="dxa"/>
            </w:tcMar>
            <w:vAlign w:val="center"/>
          </w:tcPr>
          <w:p>
            <w:pPr>
              <w:pStyle w:val="16"/>
              <w:adjustRightInd w:val="0"/>
              <w:snapToGrid w:val="0"/>
              <w:spacing w:before="0" w:beforeAutospacing="0" w:after="0" w:afterAutospacing="0"/>
              <w:jc w:val="center"/>
              <w:rPr>
                <w:rFonts w:cs="宋体"/>
                <w:kern w:val="2"/>
                <w:szCs w:val="24"/>
              </w:rPr>
            </w:pPr>
            <w:r>
              <w:rPr>
                <w:rFonts w:hint="eastAsia" w:cs="宋体"/>
                <w:kern w:val="2"/>
                <w:szCs w:val="24"/>
              </w:rPr>
              <w:t>施工</w:t>
            </w:r>
          </w:p>
          <w:p>
            <w:pPr>
              <w:pStyle w:val="16"/>
              <w:adjustRightInd w:val="0"/>
              <w:snapToGrid w:val="0"/>
              <w:spacing w:before="0" w:beforeAutospacing="0" w:after="0" w:afterAutospacing="0"/>
              <w:jc w:val="center"/>
              <w:rPr>
                <w:rFonts w:cs="宋体"/>
                <w:kern w:val="2"/>
                <w:szCs w:val="24"/>
              </w:rPr>
            </w:pPr>
            <w:r>
              <w:rPr>
                <w:rFonts w:hint="eastAsia" w:cs="宋体"/>
                <w:kern w:val="2"/>
                <w:szCs w:val="24"/>
              </w:rPr>
              <w:t>期环</w:t>
            </w:r>
          </w:p>
          <w:p>
            <w:pPr>
              <w:pStyle w:val="16"/>
              <w:adjustRightInd w:val="0"/>
              <w:snapToGrid w:val="0"/>
              <w:spacing w:before="0" w:beforeAutospacing="0" w:after="0" w:afterAutospacing="0"/>
              <w:jc w:val="center"/>
              <w:rPr>
                <w:rFonts w:cs="宋体"/>
                <w:kern w:val="2"/>
                <w:szCs w:val="24"/>
              </w:rPr>
            </w:pPr>
            <w:r>
              <w:rPr>
                <w:rFonts w:hint="eastAsia" w:cs="宋体"/>
                <w:kern w:val="2"/>
                <w:szCs w:val="24"/>
              </w:rPr>
              <w:t>境保</w:t>
            </w:r>
          </w:p>
          <w:p>
            <w:pPr>
              <w:pStyle w:val="16"/>
              <w:adjustRightInd w:val="0"/>
              <w:snapToGrid w:val="0"/>
              <w:spacing w:before="0" w:beforeAutospacing="0" w:after="0" w:afterAutospacing="0"/>
              <w:jc w:val="center"/>
              <w:rPr>
                <w:rFonts w:cs="宋体"/>
                <w:kern w:val="2"/>
                <w:szCs w:val="24"/>
              </w:rPr>
            </w:pPr>
            <w:r>
              <w:rPr>
                <w:rFonts w:hint="eastAsia" w:cs="宋体"/>
                <w:kern w:val="2"/>
                <w:szCs w:val="24"/>
              </w:rPr>
              <w:t>护措</w:t>
            </w:r>
          </w:p>
          <w:p>
            <w:pPr>
              <w:pStyle w:val="16"/>
              <w:adjustRightInd w:val="0"/>
              <w:snapToGrid w:val="0"/>
              <w:spacing w:before="0" w:beforeAutospacing="0" w:after="0" w:afterAutospacing="0"/>
              <w:jc w:val="center"/>
              <w:rPr>
                <w:rFonts w:cs="宋体"/>
                <w:bCs/>
                <w:kern w:val="2"/>
                <w:szCs w:val="24"/>
              </w:rPr>
            </w:pPr>
            <w:r>
              <w:rPr>
                <w:rFonts w:hint="eastAsia" w:cs="宋体"/>
                <w:kern w:val="2"/>
                <w:szCs w:val="24"/>
              </w:rPr>
              <w:t>施</w:t>
            </w:r>
          </w:p>
        </w:tc>
        <w:tc>
          <w:tcPr>
            <w:tcW w:w="47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Cs/>
                <w:spacing w:val="-10"/>
                <w:sz w:val="24"/>
                <w:lang w:val="en-US" w:eastAsia="zh-CN"/>
              </w:rPr>
            </w:pPr>
            <w:r>
              <w:rPr>
                <w:rFonts w:hint="eastAsia" w:ascii="宋体" w:hAnsi="宋体" w:cs="宋体"/>
                <w:bCs/>
                <w:spacing w:val="-10"/>
                <w:sz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 w:type="pct"/>
            <w:tcBorders>
              <w:tl2br w:val="nil"/>
              <w:tr2bl w:val="nil"/>
            </w:tcBorders>
            <w:tcMar>
              <w:left w:w="28" w:type="dxa"/>
              <w:right w:w="28" w:type="dxa"/>
            </w:tcMar>
            <w:vAlign w:val="center"/>
          </w:tcPr>
          <w:p>
            <w:pPr>
              <w:adjustRightInd w:val="0"/>
              <w:snapToGrid w:val="0"/>
              <w:jc w:val="center"/>
              <w:rPr>
                <w:rFonts w:ascii="宋体" w:hAnsi="宋体" w:cs="宋体"/>
                <w:bCs/>
                <w:sz w:val="24"/>
              </w:rPr>
            </w:pPr>
            <w:r>
              <w:rPr>
                <w:rFonts w:hint="eastAsia" w:ascii="宋体" w:hAnsi="宋体" w:cs="宋体"/>
                <w:bCs/>
                <w:sz w:val="24"/>
              </w:rPr>
              <w:t>运营</w:t>
            </w:r>
          </w:p>
          <w:p>
            <w:pPr>
              <w:adjustRightInd w:val="0"/>
              <w:snapToGrid w:val="0"/>
              <w:jc w:val="center"/>
              <w:rPr>
                <w:rFonts w:ascii="宋体" w:hAnsi="宋体" w:cs="宋体"/>
                <w:bCs/>
                <w:sz w:val="24"/>
              </w:rPr>
            </w:pPr>
            <w:r>
              <w:rPr>
                <w:rFonts w:hint="eastAsia" w:ascii="宋体" w:hAnsi="宋体" w:cs="宋体"/>
                <w:bCs/>
                <w:sz w:val="24"/>
              </w:rPr>
              <w:t>期环</w:t>
            </w:r>
          </w:p>
          <w:p>
            <w:pPr>
              <w:adjustRightInd w:val="0"/>
              <w:snapToGrid w:val="0"/>
              <w:jc w:val="center"/>
              <w:rPr>
                <w:rFonts w:ascii="宋体" w:hAnsi="宋体" w:cs="宋体"/>
                <w:bCs/>
                <w:sz w:val="24"/>
              </w:rPr>
            </w:pPr>
            <w:r>
              <w:rPr>
                <w:rFonts w:hint="eastAsia" w:ascii="宋体" w:hAnsi="宋体" w:cs="宋体"/>
                <w:bCs/>
                <w:sz w:val="24"/>
              </w:rPr>
              <w:t>境影</w:t>
            </w:r>
          </w:p>
          <w:p>
            <w:pPr>
              <w:adjustRightInd w:val="0"/>
              <w:snapToGrid w:val="0"/>
              <w:jc w:val="center"/>
              <w:rPr>
                <w:rFonts w:ascii="宋体" w:hAnsi="宋体" w:cs="宋体"/>
                <w:bCs/>
                <w:sz w:val="24"/>
              </w:rPr>
            </w:pPr>
            <w:r>
              <w:rPr>
                <w:rFonts w:hint="eastAsia" w:ascii="宋体" w:hAnsi="宋体" w:cs="宋体"/>
                <w:bCs/>
                <w:sz w:val="24"/>
              </w:rPr>
              <w:t>响和</w:t>
            </w:r>
          </w:p>
          <w:p>
            <w:pPr>
              <w:adjustRightInd w:val="0"/>
              <w:snapToGrid w:val="0"/>
              <w:jc w:val="center"/>
              <w:rPr>
                <w:rFonts w:ascii="宋体" w:hAnsi="宋体" w:cs="宋体"/>
                <w:bCs/>
                <w:sz w:val="24"/>
              </w:rPr>
            </w:pPr>
            <w:r>
              <w:rPr>
                <w:rFonts w:hint="eastAsia" w:ascii="宋体" w:hAnsi="宋体" w:cs="宋体"/>
                <w:bCs/>
                <w:sz w:val="24"/>
              </w:rPr>
              <w:t>保护</w:t>
            </w:r>
          </w:p>
          <w:p>
            <w:pPr>
              <w:adjustRightInd w:val="0"/>
              <w:snapToGrid w:val="0"/>
              <w:jc w:val="center"/>
              <w:rPr>
                <w:rFonts w:ascii="宋体" w:hAnsi="宋体" w:cs="宋体"/>
                <w:bCs/>
                <w:sz w:val="24"/>
              </w:rPr>
            </w:pPr>
            <w:r>
              <w:rPr>
                <w:rFonts w:hint="eastAsia" w:ascii="宋体" w:hAnsi="宋体" w:cs="宋体"/>
                <w:bCs/>
                <w:sz w:val="24"/>
              </w:rPr>
              <w:t>措施</w:t>
            </w:r>
          </w:p>
        </w:tc>
        <w:tc>
          <w:tcPr>
            <w:tcW w:w="4725"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b/>
                <w:bCs w:val="0"/>
                <w:spacing w:val="0"/>
                <w:sz w:val="24"/>
                <w:lang w:val="en-US" w:eastAsia="zh-CN"/>
              </w:rPr>
            </w:pPr>
            <w:r>
              <w:rPr>
                <w:rFonts w:hint="eastAsia" w:cs="Times New Roman"/>
                <w:b/>
                <w:bCs w:val="0"/>
                <w:spacing w:val="0"/>
                <w:sz w:val="24"/>
                <w:lang w:val="en-US" w:eastAsia="zh-CN"/>
              </w:rPr>
              <w:t>1、</w:t>
            </w:r>
            <w:r>
              <w:rPr>
                <w:rFonts w:hint="eastAsia" w:ascii="宋体" w:hAnsi="宋体" w:cs="宋体"/>
                <w:b/>
                <w:bCs w:val="0"/>
                <w:spacing w:val="0"/>
                <w:sz w:val="24"/>
                <w:lang w:val="en-US" w:eastAsia="zh-CN"/>
              </w:rPr>
              <w:t>废气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default" w:ascii="宋体" w:hAnsi="宋体" w:cs="宋体"/>
                <w:b w:val="0"/>
                <w:bCs/>
                <w:spacing w:val="0"/>
                <w:sz w:val="24"/>
                <w:lang w:val="en-US" w:eastAsia="zh-CN"/>
              </w:rPr>
            </w:pPr>
            <w:r>
              <w:rPr>
                <w:rFonts w:hint="eastAsia" w:ascii="宋体" w:hAnsi="宋体" w:cs="宋体"/>
                <w:b w:val="0"/>
                <w:bCs/>
                <w:spacing w:val="0"/>
                <w:sz w:val="24"/>
                <w:lang w:val="en-US" w:eastAsia="zh-CN"/>
              </w:rPr>
              <w:t>本项目生产过程中废气主要包括：分切粉尘、开槽粉尘、印刷废气、糊箱胶黏废气、木料下料及加工粉尘、热熔胶废气、危废贮存点废气。</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ascii="宋体" w:hAnsi="宋体" w:cs="宋体"/>
                <w:b/>
                <w:bCs w:val="0"/>
                <w:spacing w:val="0"/>
                <w:sz w:val="24"/>
                <w:lang w:val="en-US" w:eastAsia="zh-CN"/>
              </w:rPr>
            </w:pPr>
            <w:r>
              <w:rPr>
                <w:rFonts w:hint="eastAsia" w:ascii="宋体" w:hAnsi="宋体" w:cs="宋体"/>
                <w:b/>
                <w:bCs w:val="0"/>
                <w:spacing w:val="0"/>
                <w:sz w:val="24"/>
                <w:lang w:val="en-US" w:eastAsia="zh-CN"/>
              </w:rPr>
              <w:t>（</w:t>
            </w:r>
            <w:r>
              <w:rPr>
                <w:rFonts w:hint="default" w:ascii="Times New Roman" w:hAnsi="Times New Roman" w:cs="Times New Roman"/>
                <w:b/>
                <w:bCs w:val="0"/>
                <w:spacing w:val="0"/>
                <w:sz w:val="24"/>
                <w:lang w:val="en-US" w:eastAsia="zh-CN"/>
              </w:rPr>
              <w:t>1</w:t>
            </w:r>
            <w:r>
              <w:rPr>
                <w:rFonts w:hint="eastAsia" w:ascii="宋体" w:hAnsi="宋体" w:cs="宋体"/>
                <w:b/>
                <w:bCs w:val="0"/>
                <w:spacing w:val="0"/>
                <w:sz w:val="24"/>
                <w:lang w:val="en-US" w:eastAsia="zh-CN"/>
              </w:rPr>
              <w:t>）废气源强核算、收集、处理、排放方式 ：</w:t>
            </w:r>
          </w:p>
          <w:p>
            <w:pPr>
              <w:pStyle w:val="24"/>
              <w:spacing w:line="500" w:lineRule="exact"/>
              <w:ind w:firstLine="480"/>
              <w:rPr>
                <w:rFonts w:hint="default" w:cs="Times New Roman" w:eastAsiaTheme="minorEastAsia"/>
                <w:b/>
                <w:bCs/>
                <w:sz w:val="24"/>
                <w:lang w:val="en-US" w:eastAsia="zh-CN"/>
              </w:rPr>
            </w:pPr>
            <w:r>
              <w:rPr>
                <w:rFonts w:hint="eastAsia" w:ascii="宋体" w:hAnsi="宋体" w:cs="宋体"/>
                <w:b/>
                <w:bCs w:val="0"/>
                <w:spacing w:val="0"/>
                <w:sz w:val="24"/>
                <w:lang w:val="en-US" w:eastAsia="zh-CN"/>
              </w:rPr>
              <w:t>①</w:t>
            </w:r>
            <w:r>
              <w:rPr>
                <w:rFonts w:hint="eastAsia" w:cs="Times New Roman" w:eastAsiaTheme="minorEastAsia"/>
                <w:b/>
                <w:bCs/>
                <w:sz w:val="24"/>
                <w:lang w:val="en-US" w:eastAsia="zh-CN"/>
              </w:rPr>
              <w:t>分切、开槽粉尘</w:t>
            </w:r>
          </w:p>
          <w:p>
            <w:pPr>
              <w:pStyle w:val="36"/>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cs="Times New Roman"/>
                <w:b w:val="0"/>
                <w:bCs w:val="0"/>
                <w:color w:val="auto"/>
                <w:szCs w:val="28"/>
                <w:highlight w:val="none"/>
                <w:lang w:val="en-US" w:eastAsia="zh-CN"/>
              </w:rPr>
            </w:pPr>
            <w:r>
              <w:rPr>
                <w:rFonts w:hint="eastAsia" w:ascii="Times New Roman" w:hAnsi="Times New Roman" w:cs="Times New Roman"/>
                <w:b w:val="0"/>
                <w:bCs w:val="0"/>
                <w:color w:val="auto"/>
                <w:szCs w:val="28"/>
                <w:highlight w:val="none"/>
                <w:lang w:val="en-US" w:eastAsia="zh-CN"/>
              </w:rPr>
              <w:t>本项目</w:t>
            </w:r>
            <w:r>
              <w:rPr>
                <w:rFonts w:hint="eastAsia" w:cs="Times New Roman"/>
                <w:b w:val="0"/>
                <w:bCs w:val="0"/>
                <w:color w:val="auto"/>
                <w:szCs w:val="28"/>
                <w:highlight w:val="none"/>
                <w:lang w:val="en-US" w:eastAsia="zh-CN"/>
              </w:rPr>
              <w:t>纸板分切及开槽均是通过刀头施压，产生的压力穿破纸板分切和开槽，该过程产生的粉尘量极少；塑料分切则是采用的是锋利的刀片进行切割，产生的</w:t>
            </w:r>
            <w:r>
              <w:rPr>
                <w:rFonts w:hint="eastAsia" w:ascii="Times New Roman" w:hAnsi="Times New Roman" w:cs="Times New Roman"/>
                <w:b w:val="0"/>
                <w:bCs w:val="0"/>
                <w:color w:val="auto"/>
                <w:szCs w:val="28"/>
                <w:highlight w:val="none"/>
                <w:lang w:val="en-US" w:eastAsia="zh-CN"/>
              </w:rPr>
              <w:t>粉尘</w:t>
            </w:r>
            <w:r>
              <w:rPr>
                <w:rFonts w:hint="eastAsia" w:cs="Times New Roman"/>
                <w:b w:val="0"/>
                <w:bCs w:val="0"/>
                <w:color w:val="auto"/>
                <w:szCs w:val="28"/>
                <w:highlight w:val="none"/>
                <w:lang w:val="en-US" w:eastAsia="zh-CN"/>
              </w:rPr>
              <w:t>极少</w:t>
            </w:r>
            <w:r>
              <w:rPr>
                <w:rFonts w:hint="eastAsia" w:ascii="Times New Roman" w:hAnsi="Times New Roman" w:cs="Times New Roman"/>
                <w:b w:val="0"/>
                <w:bCs w:val="0"/>
                <w:color w:val="auto"/>
                <w:szCs w:val="28"/>
                <w:highlight w:val="none"/>
                <w:lang w:val="en-US" w:eastAsia="zh-CN"/>
              </w:rPr>
              <w:t>，</w:t>
            </w:r>
            <w:r>
              <w:rPr>
                <w:rFonts w:hint="eastAsia" w:cs="Times New Roman"/>
                <w:b w:val="0"/>
                <w:bCs w:val="0"/>
                <w:color w:val="auto"/>
                <w:szCs w:val="28"/>
                <w:highlight w:val="none"/>
                <w:lang w:val="en-US" w:eastAsia="zh-CN"/>
              </w:rPr>
              <w:t>本报告对分切、开槽的粉尘</w:t>
            </w:r>
            <w:r>
              <w:rPr>
                <w:rFonts w:hint="eastAsia" w:ascii="Times New Roman" w:hAnsi="Times New Roman" w:cs="Times New Roman"/>
                <w:b w:val="0"/>
                <w:bCs w:val="0"/>
                <w:color w:val="auto"/>
                <w:szCs w:val="28"/>
                <w:highlight w:val="none"/>
                <w:lang w:val="en-US" w:eastAsia="zh-CN"/>
              </w:rPr>
              <w:t>不进行定量</w:t>
            </w:r>
            <w:r>
              <w:rPr>
                <w:rFonts w:hint="eastAsia" w:cs="Times New Roman"/>
                <w:b w:val="0"/>
                <w:bCs w:val="0"/>
                <w:color w:val="auto"/>
                <w:szCs w:val="28"/>
                <w:highlight w:val="none"/>
                <w:lang w:val="en-US" w:eastAsia="zh-CN"/>
              </w:rPr>
              <w:t>计算</w:t>
            </w:r>
            <w:r>
              <w:rPr>
                <w:rFonts w:hint="eastAsia" w:ascii="Times New Roman" w:hAnsi="Times New Roman" w:cs="Times New Roman"/>
                <w:b w:val="0"/>
                <w:bCs w:val="0"/>
                <w:color w:val="auto"/>
                <w:szCs w:val="28"/>
                <w:highlight w:val="none"/>
                <w:lang w:val="en-US" w:eastAsia="zh-CN"/>
              </w:rPr>
              <w:t>，</w:t>
            </w:r>
            <w:r>
              <w:rPr>
                <w:rFonts w:hint="eastAsia" w:cs="Times New Roman"/>
                <w:b w:val="0"/>
                <w:bCs w:val="0"/>
                <w:color w:val="auto"/>
                <w:szCs w:val="28"/>
                <w:highlight w:val="none"/>
                <w:lang w:val="en-US" w:eastAsia="zh-CN"/>
              </w:rPr>
              <w:t>微量的粉尘经</w:t>
            </w:r>
            <w:r>
              <w:rPr>
                <w:rFonts w:hint="eastAsia" w:ascii="Times New Roman" w:hAnsi="Times New Roman" w:cs="Times New Roman"/>
                <w:b w:val="0"/>
                <w:bCs w:val="0"/>
                <w:color w:val="auto"/>
                <w:szCs w:val="28"/>
                <w:highlight w:val="none"/>
                <w:lang w:val="en-US" w:eastAsia="zh-CN"/>
              </w:rPr>
              <w:t>车间自然通风，无组织排放。</w:t>
            </w:r>
          </w:p>
          <w:p>
            <w:pPr>
              <w:keepNext w:val="0"/>
              <w:keepLines w:val="0"/>
              <w:pageBreakBefore w:val="0"/>
              <w:widowControl w:val="0"/>
              <w:numPr>
                <w:ilvl w:val="-1"/>
                <w:numId w:val="0"/>
              </w:numPr>
              <w:tabs>
                <w:tab w:val="left" w:pos="341"/>
              </w:tabs>
              <w:kinsoku/>
              <w:wordWrap/>
              <w:overflowPunct/>
              <w:topLinePunct w:val="0"/>
              <w:autoSpaceDE/>
              <w:autoSpaceDN/>
              <w:bidi w:val="0"/>
              <w:adjustRightInd w:val="0"/>
              <w:snapToGrid w:val="0"/>
              <w:spacing w:line="500" w:lineRule="exact"/>
              <w:ind w:left="0" w:leftChars="0" w:firstLine="482" w:firstLineChars="200"/>
              <w:jc w:val="both"/>
              <w:textAlignment w:val="auto"/>
              <w:rPr>
                <w:rFonts w:hint="default" w:ascii="宋体" w:hAnsi="宋体" w:cs="宋体"/>
                <w:b/>
                <w:bCs w:val="0"/>
                <w:spacing w:val="0"/>
                <w:sz w:val="24"/>
                <w:lang w:val="en-US" w:eastAsia="zh-CN"/>
              </w:rPr>
            </w:pPr>
            <w:r>
              <w:rPr>
                <w:rFonts w:hint="default" w:ascii="Times New Roman" w:hAnsi="Times New Roman" w:cs="Times New Roman" w:eastAsiaTheme="minorEastAsia"/>
                <w:b/>
                <w:bCs/>
                <w:sz w:val="24"/>
                <w:lang w:val="en-US" w:eastAsia="zh-CN"/>
              </w:rPr>
              <w:t>②</w:t>
            </w:r>
            <w:r>
              <w:rPr>
                <w:rFonts w:hint="eastAsia" w:ascii="宋体" w:hAnsi="宋体" w:cs="宋体"/>
                <w:b/>
                <w:bCs w:val="0"/>
                <w:spacing w:val="0"/>
                <w:sz w:val="24"/>
                <w:lang w:val="en-US" w:eastAsia="zh-CN"/>
              </w:rPr>
              <w:t>印刷废气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b w:val="0"/>
                <w:bCs/>
                <w:spacing w:val="0"/>
                <w:sz w:val="24"/>
                <w:lang w:val="en-US" w:eastAsia="zh-CN"/>
              </w:rPr>
            </w:pPr>
            <w:r>
              <w:rPr>
                <w:rFonts w:hint="eastAsia" w:ascii="宋体" w:hAnsi="宋体" w:cs="宋体"/>
                <w:b w:val="0"/>
                <w:bCs/>
                <w:spacing w:val="0"/>
                <w:sz w:val="24"/>
                <w:lang w:val="en-US" w:eastAsia="zh-CN"/>
              </w:rPr>
              <w:t>本项目印刷过程中会产生有机废气，本项目使用水性油墨</w:t>
            </w:r>
            <w:r>
              <w:rPr>
                <w:rFonts w:hint="eastAsia" w:cs="Times New Roman"/>
                <w:b w:val="0"/>
                <w:bCs/>
                <w:spacing w:val="0"/>
                <w:sz w:val="24"/>
                <w:lang w:val="en-US" w:eastAsia="zh-CN"/>
              </w:rPr>
              <w:t>2</w:t>
            </w:r>
            <w:r>
              <w:rPr>
                <w:rFonts w:hint="default" w:ascii="Times New Roman" w:hAnsi="Times New Roman" w:cs="Times New Roman"/>
                <w:b w:val="0"/>
                <w:bCs/>
                <w:spacing w:val="0"/>
                <w:sz w:val="24"/>
                <w:lang w:val="en-US" w:eastAsia="zh-CN"/>
              </w:rPr>
              <w:t>t/a</w:t>
            </w:r>
            <w:r>
              <w:rPr>
                <w:rFonts w:hint="eastAsia" w:ascii="Times New Roman" w:hAnsi="Times New Roman" w:cs="Times New Roman"/>
                <w:b w:val="0"/>
                <w:bCs/>
                <w:spacing w:val="0"/>
                <w:sz w:val="24"/>
                <w:lang w:val="en-US" w:eastAsia="zh-CN"/>
              </w:rPr>
              <w:t>，根据企业提供的水性油墨成分检测报告（</w:t>
            </w:r>
            <w:r>
              <w:rPr>
                <w:rFonts w:hint="eastAsia" w:ascii="Times New Roman" w:hAnsi="Times New Roman" w:cs="Times New Roman"/>
                <w:b w:val="0"/>
                <w:bCs/>
                <w:color w:val="auto"/>
                <w:spacing w:val="0"/>
                <w:sz w:val="24"/>
                <w:lang w:val="en-US" w:eastAsia="zh-CN"/>
              </w:rPr>
              <w:t>详见附件</w:t>
            </w:r>
            <w:r>
              <w:rPr>
                <w:rFonts w:hint="eastAsia" w:ascii="Times New Roman" w:hAnsi="Times New Roman" w:cs="Times New Roman"/>
                <w:b w:val="0"/>
                <w:bCs/>
                <w:spacing w:val="0"/>
                <w:sz w:val="24"/>
                <w:lang w:val="en-US" w:eastAsia="zh-CN"/>
              </w:rPr>
              <w:t>），</w:t>
            </w:r>
            <w:r>
              <w:rPr>
                <w:rFonts w:hint="eastAsia" w:cs="Times New Roman"/>
                <w:b w:val="0"/>
                <w:bCs/>
                <w:spacing w:val="0"/>
                <w:sz w:val="24"/>
                <w:lang w:val="en-US" w:eastAsia="zh-CN"/>
              </w:rPr>
              <w:t>因检测报告中挥发性有机物含量都是未检出，所以</w:t>
            </w:r>
            <w:r>
              <w:rPr>
                <w:rFonts w:hint="eastAsia" w:ascii="Times New Roman" w:hAnsi="Times New Roman" w:cs="Times New Roman"/>
                <w:b w:val="0"/>
                <w:bCs/>
                <w:spacing w:val="0"/>
                <w:sz w:val="24"/>
                <w:lang w:val="en-US" w:eastAsia="zh-CN"/>
              </w:rPr>
              <w:t>其中</w:t>
            </w:r>
            <w:r>
              <w:rPr>
                <w:rFonts w:hint="eastAsia" w:cs="Times New Roman"/>
                <w:b w:val="0"/>
                <w:bCs/>
                <w:spacing w:val="0"/>
                <w:sz w:val="24"/>
                <w:lang w:val="en-US" w:eastAsia="zh-CN"/>
              </w:rPr>
              <w:t>挥发性</w:t>
            </w:r>
            <w:r>
              <w:rPr>
                <w:rFonts w:hint="eastAsia" w:ascii="Times New Roman" w:hAnsi="Times New Roman" w:cs="Times New Roman"/>
                <w:b w:val="0"/>
                <w:bCs/>
                <w:spacing w:val="0"/>
                <w:sz w:val="24"/>
                <w:lang w:val="en-US" w:eastAsia="zh-CN"/>
              </w:rPr>
              <w:t>有机</w:t>
            </w:r>
            <w:r>
              <w:rPr>
                <w:rFonts w:hint="eastAsia" w:cs="Times New Roman"/>
                <w:b w:val="0"/>
                <w:bCs/>
                <w:spacing w:val="0"/>
                <w:sz w:val="24"/>
                <w:lang w:val="en-US" w:eastAsia="zh-CN"/>
              </w:rPr>
              <w:t>物含量按照检出限</w:t>
            </w:r>
            <w:r>
              <w:rPr>
                <w:rFonts w:hint="eastAsia" w:ascii="Times New Roman" w:hAnsi="Times New Roman" w:cs="Times New Roman"/>
                <w:b w:val="0"/>
                <w:bCs/>
                <w:spacing w:val="0"/>
                <w:sz w:val="24"/>
                <w:lang w:val="en-US" w:eastAsia="zh-CN"/>
              </w:rPr>
              <w:t>0.</w:t>
            </w:r>
            <w:r>
              <w:rPr>
                <w:rFonts w:hint="eastAsia" w:cs="Times New Roman"/>
                <w:b w:val="0"/>
                <w:bCs/>
                <w:spacing w:val="0"/>
                <w:sz w:val="24"/>
                <w:lang w:val="en-US" w:eastAsia="zh-CN"/>
              </w:rPr>
              <w:t>1</w:t>
            </w:r>
            <w:r>
              <w:rPr>
                <w:rFonts w:hint="eastAsia" w:ascii="Times New Roman" w:hAnsi="Times New Roman" w:cs="Times New Roman"/>
                <w:b w:val="0"/>
                <w:bCs/>
                <w:spacing w:val="0"/>
                <w:sz w:val="24"/>
                <w:lang w:val="en-US" w:eastAsia="zh-CN"/>
              </w:rPr>
              <w:t>%</w:t>
            </w:r>
            <w:r>
              <w:rPr>
                <w:rFonts w:hint="eastAsia" w:cs="Times New Roman"/>
                <w:b w:val="0"/>
                <w:bCs/>
                <w:spacing w:val="0"/>
                <w:sz w:val="24"/>
                <w:lang w:val="en-US" w:eastAsia="zh-CN"/>
              </w:rPr>
              <w:t>算</w:t>
            </w:r>
            <w:r>
              <w:rPr>
                <w:rFonts w:hint="eastAsia" w:ascii="Times New Roman" w:hAnsi="Times New Roman" w:cs="Times New Roman"/>
                <w:b w:val="0"/>
                <w:bCs/>
                <w:spacing w:val="0"/>
                <w:sz w:val="24"/>
                <w:lang w:val="en-US" w:eastAsia="zh-CN"/>
              </w:rPr>
              <w:t>，则</w:t>
            </w:r>
            <w:r>
              <w:rPr>
                <w:rFonts w:hint="eastAsia" w:cs="Times New Roman"/>
                <w:b w:val="0"/>
                <w:bCs/>
                <w:spacing w:val="0"/>
                <w:sz w:val="24"/>
                <w:lang w:val="en-US" w:eastAsia="zh-CN"/>
              </w:rPr>
              <w:t>非甲烷总烃</w:t>
            </w:r>
            <w:r>
              <w:rPr>
                <w:rFonts w:hint="eastAsia" w:ascii="Times New Roman" w:hAnsi="Times New Roman" w:cs="Times New Roman"/>
                <w:b w:val="0"/>
                <w:bCs/>
                <w:spacing w:val="0"/>
                <w:sz w:val="24"/>
                <w:lang w:val="en-US" w:eastAsia="zh-CN"/>
              </w:rPr>
              <w:t>产生量0.00</w:t>
            </w:r>
            <w:r>
              <w:rPr>
                <w:rFonts w:hint="eastAsia" w:cs="Times New Roman"/>
                <w:b w:val="0"/>
                <w:bCs/>
                <w:spacing w:val="0"/>
                <w:sz w:val="24"/>
                <w:lang w:val="en-US" w:eastAsia="zh-CN"/>
              </w:rPr>
              <w:t>2</w:t>
            </w:r>
            <w:r>
              <w:rPr>
                <w:rFonts w:hint="eastAsia" w:ascii="Times New Roman" w:hAnsi="Times New Roman" w:cs="Times New Roman"/>
                <w:b w:val="0"/>
                <w:bCs/>
                <w:spacing w:val="0"/>
                <w:sz w:val="24"/>
                <w:lang w:val="en-US" w:eastAsia="zh-CN"/>
              </w:rPr>
              <w:t>t/a。</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z w:val="24"/>
                <w:lang w:val="en-US" w:eastAsia="zh-CN"/>
              </w:rPr>
            </w:pPr>
            <w:r>
              <w:rPr>
                <w:rFonts w:hint="eastAsia" w:ascii="宋体" w:hAnsi="宋体" w:eastAsia="宋体" w:cs="宋体"/>
                <w:b w:val="0"/>
                <w:bCs/>
                <w:spacing w:val="0"/>
                <w:sz w:val="24"/>
                <w:lang w:val="en-US" w:eastAsia="zh-CN"/>
              </w:rPr>
              <w:t>在废气点位上方设置集气罩，有机废气经集气罩收集后</w:t>
            </w:r>
            <w:r>
              <w:rPr>
                <w:rFonts w:hint="eastAsia" w:ascii="宋体" w:hAnsi="宋体" w:eastAsia="宋体" w:cs="宋体"/>
                <w:sz w:val="24"/>
              </w:rPr>
              <w:t>由送风总管再进入二级活性炭吸附装置，活性炭吸附箱内装有高效吸附性能的活性炭填料。通过调节适当的风速使活性炭填料充分吸收废气中的有害物质</w:t>
            </w:r>
            <w:r>
              <w:rPr>
                <w:rFonts w:hint="eastAsia" w:ascii="宋体" w:hAnsi="宋体" w:eastAsia="宋体" w:cs="宋体"/>
                <w:sz w:val="24"/>
                <w:lang w:eastAsia="zh-CN"/>
              </w:rPr>
              <w:t>，</w:t>
            </w:r>
            <w:r>
              <w:rPr>
                <w:rFonts w:hint="eastAsia" w:ascii="宋体" w:hAnsi="宋体" w:eastAsia="宋体" w:cs="宋体"/>
                <w:sz w:val="24"/>
              </w:rPr>
              <w:t>处理达标后的气体最后由离心风机送出</w:t>
            </w:r>
            <w:r>
              <w:rPr>
                <w:rFonts w:hint="eastAsia" w:cs="Times New Roman"/>
                <w:kern w:val="0"/>
                <w:sz w:val="24"/>
                <w:lang w:eastAsia="zh-CN"/>
              </w:rPr>
              <w:t>2</w:t>
            </w:r>
            <w:r>
              <w:rPr>
                <w:rFonts w:hint="eastAsia" w:cs="Times New Roman"/>
                <w:kern w:val="0"/>
                <w:sz w:val="24"/>
                <w:lang w:val="en-US" w:eastAsia="zh-CN"/>
              </w:rPr>
              <w:t>5</w:t>
            </w:r>
            <w:r>
              <w:rPr>
                <w:rFonts w:hint="eastAsia" w:ascii="宋体" w:hAnsi="宋体" w:eastAsia="宋体" w:cs="宋体"/>
                <w:kern w:val="0"/>
                <w:sz w:val="24"/>
              </w:rPr>
              <w:t>米高排气筒</w:t>
            </w: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1#</w:t>
            </w:r>
            <w:r>
              <w:rPr>
                <w:rFonts w:hint="default" w:ascii="Times New Roman" w:hAnsi="Times New Roman" w:cs="Times New Roman"/>
                <w:kern w:val="0"/>
                <w:sz w:val="24"/>
                <w:lang w:eastAsia="zh-CN"/>
              </w:rPr>
              <w:t>）</w:t>
            </w:r>
            <w:r>
              <w:rPr>
                <w:rFonts w:hint="eastAsia" w:ascii="宋体" w:hAnsi="宋体" w:eastAsia="宋体" w:cs="宋体"/>
                <w:sz w:val="24"/>
              </w:rPr>
              <w:t>排放。</w:t>
            </w:r>
            <w:r>
              <w:rPr>
                <w:rFonts w:hint="eastAsia" w:ascii="宋体" w:hAnsi="宋体" w:eastAsia="宋体" w:cs="宋体"/>
                <w:sz w:val="24"/>
                <w:lang w:val="en-US" w:eastAsia="zh-CN"/>
              </w:rPr>
              <w:t>集气罩的收集效率为</w:t>
            </w:r>
            <w:r>
              <w:rPr>
                <w:rFonts w:hint="eastAsia" w:cs="Times New Roman"/>
                <w:kern w:val="0"/>
                <w:sz w:val="24"/>
                <w:lang w:val="en-US" w:eastAsia="zh-CN"/>
              </w:rPr>
              <w:t>8</w:t>
            </w:r>
            <w:r>
              <w:rPr>
                <w:rFonts w:hint="eastAsia" w:ascii="Times New Roman" w:hAnsi="Times New Roman" w:eastAsia="宋体" w:cs="Times New Roman"/>
                <w:kern w:val="0"/>
                <w:sz w:val="24"/>
                <w:lang w:val="en-US" w:eastAsia="zh-CN"/>
              </w:rPr>
              <w:t>0%</w:t>
            </w:r>
            <w:r>
              <w:rPr>
                <w:rFonts w:hint="eastAsia" w:ascii="宋体" w:hAnsi="宋体" w:eastAsia="宋体" w:cs="宋体"/>
                <w:sz w:val="24"/>
                <w:lang w:val="en-US" w:eastAsia="zh-CN"/>
              </w:rPr>
              <w:t>，处理效率达</w:t>
            </w:r>
            <w:r>
              <w:rPr>
                <w:rFonts w:hint="eastAsia" w:ascii="Times New Roman" w:hAnsi="Times New Roman" w:eastAsia="宋体" w:cs="Times New Roman"/>
                <w:kern w:val="0"/>
                <w:sz w:val="24"/>
                <w:lang w:val="en-US" w:eastAsia="zh-CN"/>
              </w:rPr>
              <w:t>90%</w:t>
            </w:r>
            <w:r>
              <w:rPr>
                <w:rFonts w:hint="eastAsia" w:ascii="宋体" w:hAnsi="宋体" w:eastAsia="宋体" w:cs="宋体"/>
                <w:sz w:val="24"/>
                <w:lang w:val="en-US" w:eastAsia="zh-CN"/>
              </w:rPr>
              <w:t>，则有组织废气产生量</w:t>
            </w:r>
            <w:r>
              <w:rPr>
                <w:rFonts w:hint="eastAsia" w:ascii="Times New Roman" w:hAnsi="Times New Roman" w:eastAsia="宋体" w:cs="Times New Roman"/>
                <w:kern w:val="0"/>
                <w:sz w:val="24"/>
                <w:lang w:val="en-US" w:eastAsia="zh-CN"/>
              </w:rPr>
              <w:t>0.00</w:t>
            </w:r>
            <w:r>
              <w:rPr>
                <w:rFonts w:hint="eastAsia" w:cs="Times New Roman"/>
                <w:kern w:val="0"/>
                <w:sz w:val="24"/>
                <w:lang w:val="en-US" w:eastAsia="zh-CN"/>
              </w:rPr>
              <w:t>16</w:t>
            </w:r>
            <w:r>
              <w:rPr>
                <w:rFonts w:hint="eastAsia" w:ascii="Times New Roman" w:hAnsi="Times New Roman" w:eastAsia="宋体" w:cs="Times New Roman"/>
                <w:kern w:val="0"/>
                <w:sz w:val="24"/>
                <w:lang w:val="en-US" w:eastAsia="zh-CN"/>
              </w:rPr>
              <w:t>t/a</w:t>
            </w:r>
            <w:r>
              <w:rPr>
                <w:rFonts w:hint="eastAsia" w:ascii="宋体" w:hAnsi="宋体" w:eastAsia="宋体" w:cs="宋体"/>
                <w:sz w:val="24"/>
                <w:lang w:val="en-US" w:eastAsia="zh-CN"/>
              </w:rPr>
              <w:t>，有组织废气排放量为</w:t>
            </w:r>
            <w:r>
              <w:rPr>
                <w:rFonts w:hint="eastAsia" w:ascii="Times New Roman" w:hAnsi="Times New Roman" w:eastAsia="宋体" w:cs="Times New Roman"/>
                <w:kern w:val="0"/>
                <w:sz w:val="24"/>
                <w:lang w:val="en-US" w:eastAsia="zh-CN"/>
              </w:rPr>
              <w:t>0.000</w:t>
            </w:r>
            <w:r>
              <w:rPr>
                <w:rFonts w:hint="eastAsia" w:cs="Times New Roman"/>
                <w:kern w:val="0"/>
                <w:sz w:val="24"/>
                <w:lang w:val="en-US" w:eastAsia="zh-CN"/>
              </w:rPr>
              <w:t>16</w:t>
            </w:r>
            <w:r>
              <w:rPr>
                <w:rFonts w:hint="eastAsia" w:ascii="Times New Roman" w:hAnsi="Times New Roman" w:eastAsia="宋体" w:cs="Times New Roman"/>
                <w:kern w:val="0"/>
                <w:sz w:val="24"/>
                <w:lang w:val="en-US" w:eastAsia="zh-CN"/>
              </w:rPr>
              <w:t>t/a</w:t>
            </w:r>
            <w:r>
              <w:rPr>
                <w:rFonts w:hint="eastAsia" w:ascii="宋体" w:hAnsi="宋体" w:eastAsia="宋体" w:cs="宋体"/>
                <w:sz w:val="24"/>
                <w:lang w:val="en-US" w:eastAsia="zh-CN"/>
              </w:rPr>
              <w:t>。未被收集的有机废气量为</w:t>
            </w:r>
            <w:r>
              <w:rPr>
                <w:rFonts w:hint="eastAsia" w:ascii="Times New Roman" w:hAnsi="Times New Roman" w:eastAsia="宋体" w:cs="Times New Roman"/>
                <w:kern w:val="0"/>
                <w:sz w:val="24"/>
                <w:lang w:val="en-US" w:eastAsia="zh-CN"/>
              </w:rPr>
              <w:t>0.000</w:t>
            </w:r>
            <w:r>
              <w:rPr>
                <w:rFonts w:hint="eastAsia" w:cs="Times New Roman"/>
                <w:kern w:val="0"/>
                <w:sz w:val="24"/>
                <w:lang w:val="en-US" w:eastAsia="zh-CN"/>
              </w:rPr>
              <w:t>4</w:t>
            </w:r>
            <w:r>
              <w:rPr>
                <w:rFonts w:hint="eastAsia" w:ascii="Times New Roman" w:hAnsi="Times New Roman" w:eastAsia="宋体" w:cs="Times New Roman"/>
                <w:kern w:val="0"/>
                <w:sz w:val="24"/>
                <w:lang w:val="en-US" w:eastAsia="zh-CN"/>
              </w:rPr>
              <w:t>t/a</w:t>
            </w:r>
            <w:r>
              <w:rPr>
                <w:rFonts w:hint="eastAsia" w:ascii="宋体" w:hAnsi="宋体" w:eastAsia="宋体" w:cs="宋体"/>
                <w:sz w:val="24"/>
                <w:lang w:val="en-US" w:eastAsia="zh-CN"/>
              </w:rPr>
              <w:t>，在车间内无组织排放</w:t>
            </w:r>
            <w:r>
              <w:rPr>
                <w:rFonts w:hint="eastAsia" w:ascii="Times New Roman" w:hAnsi="Times New Roman" w:cs="Times New Roman" w:eastAsiaTheme="minorEastAsia"/>
                <w:sz w:val="24"/>
                <w:lang w:val="en-US"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ascii="Times New Roman" w:hAnsi="Times New Roman" w:cs="Times New Roman" w:eastAsiaTheme="minorEastAsia"/>
                <w:b/>
                <w:bCs/>
                <w:sz w:val="24"/>
                <w:lang w:val="en-US" w:eastAsia="zh-CN"/>
              </w:rPr>
            </w:pPr>
            <w:r>
              <w:rPr>
                <w:rFonts w:hint="default" w:cs="Times New Roman"/>
                <w:b/>
                <w:bCs/>
                <w:sz w:val="24"/>
                <w:szCs w:val="24"/>
                <w:lang w:val="en-US" w:eastAsia="zh-CN"/>
              </w:rPr>
              <w:t>③</w:t>
            </w:r>
            <w:r>
              <w:rPr>
                <w:rFonts w:hint="eastAsia" w:cs="Times New Roman" w:eastAsiaTheme="minorEastAsia"/>
                <w:b/>
                <w:bCs/>
                <w:sz w:val="24"/>
                <w:lang w:val="en-US" w:eastAsia="zh-CN"/>
              </w:rPr>
              <w:t>糊箱胶黏</w:t>
            </w:r>
            <w:r>
              <w:rPr>
                <w:rFonts w:hint="eastAsia" w:ascii="Times New Roman" w:hAnsi="Times New Roman" w:cs="Times New Roman" w:eastAsiaTheme="minorEastAsia"/>
                <w:b/>
                <w:bCs/>
                <w:sz w:val="24"/>
                <w:lang w:val="en-US" w:eastAsia="zh-CN"/>
              </w:rPr>
              <w:t>废气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b w:val="0"/>
                <w:bCs w:val="0"/>
                <w:sz w:val="24"/>
                <w:lang w:val="en-US" w:eastAsia="zh-CN"/>
              </w:rPr>
            </w:pPr>
            <w:r>
              <w:rPr>
                <w:rFonts w:hint="eastAsia" w:ascii="Times New Roman" w:hAnsi="Times New Roman" w:cs="Times New Roman" w:eastAsiaTheme="minorEastAsia"/>
                <w:b w:val="0"/>
                <w:bCs w:val="0"/>
                <w:sz w:val="24"/>
                <w:lang w:val="en-US" w:eastAsia="zh-CN"/>
              </w:rPr>
              <w:t>建设项目纸制品采用白乳胶进行</w:t>
            </w:r>
            <w:r>
              <w:rPr>
                <w:rFonts w:hint="eastAsia" w:cs="Times New Roman" w:eastAsiaTheme="minorEastAsia"/>
                <w:b w:val="0"/>
                <w:bCs w:val="0"/>
                <w:sz w:val="24"/>
                <w:lang w:val="en-US" w:eastAsia="zh-CN"/>
              </w:rPr>
              <w:t>胶黏</w:t>
            </w:r>
            <w:r>
              <w:rPr>
                <w:rFonts w:hint="eastAsia" w:ascii="Times New Roman" w:hAnsi="Times New Roman" w:cs="Times New Roman" w:eastAsiaTheme="minorEastAsia"/>
                <w:b w:val="0"/>
                <w:bCs w:val="0"/>
                <w:sz w:val="24"/>
                <w:lang w:val="en-US" w:eastAsia="zh-CN"/>
              </w:rPr>
              <w:t>，白乳胶使用量约0.</w:t>
            </w:r>
            <w:r>
              <w:rPr>
                <w:rFonts w:hint="eastAsia" w:cs="Times New Roman" w:eastAsiaTheme="minorEastAsia"/>
                <w:b w:val="0"/>
                <w:bCs w:val="0"/>
                <w:sz w:val="24"/>
                <w:lang w:val="en-US" w:eastAsia="zh-CN"/>
              </w:rPr>
              <w:t>3</w:t>
            </w:r>
            <w:r>
              <w:rPr>
                <w:rFonts w:hint="eastAsia" w:ascii="Times New Roman" w:hAnsi="Times New Roman" w:cs="Times New Roman" w:eastAsiaTheme="minorEastAsia"/>
                <w:b w:val="0"/>
                <w:bCs w:val="0"/>
                <w:sz w:val="24"/>
                <w:lang w:val="en-US" w:eastAsia="zh-CN"/>
              </w:rPr>
              <w:t>t/a，根据企业提供的白乳胶成分检验报告（</w:t>
            </w:r>
            <w:r>
              <w:rPr>
                <w:rFonts w:hint="eastAsia" w:ascii="Times New Roman" w:hAnsi="Times New Roman" w:cs="Times New Roman" w:eastAsiaTheme="minorEastAsia"/>
                <w:b w:val="0"/>
                <w:bCs w:val="0"/>
                <w:color w:val="auto"/>
                <w:sz w:val="24"/>
                <w:lang w:val="en-US" w:eastAsia="zh-CN"/>
              </w:rPr>
              <w:t>详见附件</w:t>
            </w:r>
            <w:r>
              <w:rPr>
                <w:rFonts w:hint="eastAsia" w:ascii="Times New Roman" w:hAnsi="Times New Roman" w:cs="Times New Roman" w:eastAsiaTheme="minorEastAsia"/>
                <w:b w:val="0"/>
                <w:bCs w:val="0"/>
                <w:sz w:val="24"/>
                <w:lang w:val="en-US" w:eastAsia="zh-CN"/>
              </w:rPr>
              <w:t>），白乳胶中挥发性有机物含量为41g/L，白乳胶密度以1.2 kg/L计，则</w:t>
            </w:r>
            <w:r>
              <w:rPr>
                <w:rFonts w:hint="eastAsia" w:cs="Times New Roman" w:eastAsiaTheme="minorEastAsia"/>
                <w:b w:val="0"/>
                <w:bCs w:val="0"/>
                <w:sz w:val="24"/>
                <w:lang w:val="en-US" w:eastAsia="zh-CN"/>
              </w:rPr>
              <w:t>非甲烷总烃</w:t>
            </w:r>
            <w:r>
              <w:rPr>
                <w:rFonts w:hint="eastAsia" w:ascii="Times New Roman" w:hAnsi="Times New Roman" w:cs="Times New Roman" w:eastAsiaTheme="minorEastAsia"/>
                <w:b w:val="0"/>
                <w:bCs w:val="0"/>
                <w:sz w:val="24"/>
                <w:lang w:val="en-US" w:eastAsia="zh-CN"/>
              </w:rPr>
              <w:t>产生量约为0.0</w:t>
            </w:r>
            <w:r>
              <w:rPr>
                <w:rFonts w:hint="eastAsia" w:cs="Times New Roman" w:eastAsiaTheme="minorEastAsia"/>
                <w:b w:val="0"/>
                <w:bCs w:val="0"/>
                <w:sz w:val="24"/>
                <w:lang w:val="en-US" w:eastAsia="zh-CN"/>
              </w:rPr>
              <w:t>1</w:t>
            </w:r>
            <w:r>
              <w:rPr>
                <w:rFonts w:hint="eastAsia" w:ascii="Times New Roman" w:hAnsi="Times New Roman" w:cs="Times New Roman" w:eastAsiaTheme="minorEastAsia"/>
                <w:b w:val="0"/>
                <w:bCs w:val="0"/>
                <w:sz w:val="24"/>
                <w:lang w:val="en-US" w:eastAsia="zh-CN"/>
              </w:rPr>
              <w:t>t/a。</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z w:val="24"/>
                <w:lang w:val="en-US" w:eastAsia="zh-CN"/>
              </w:rPr>
            </w:pPr>
            <w:r>
              <w:rPr>
                <w:rFonts w:hint="eastAsia" w:ascii="Times New Roman" w:hAnsi="Times New Roman" w:cs="Times New Roman" w:eastAsiaTheme="minorEastAsia"/>
                <w:b w:val="0"/>
                <w:bCs w:val="0"/>
                <w:sz w:val="24"/>
                <w:lang w:val="en-US" w:eastAsia="zh-CN"/>
              </w:rPr>
              <w:t>在废气点位上方设置集气罩，</w:t>
            </w:r>
            <w:r>
              <w:rPr>
                <w:rFonts w:hint="eastAsia" w:ascii="Times New Roman" w:hAnsi="Times New Roman" w:cs="Times New Roman"/>
                <w:b w:val="0"/>
                <w:bCs/>
                <w:spacing w:val="0"/>
                <w:sz w:val="24"/>
                <w:lang w:val="en-US" w:eastAsia="zh-CN"/>
              </w:rPr>
              <w:t>有机废气经集气罩收集后</w:t>
            </w:r>
            <w:r>
              <w:rPr>
                <w:rFonts w:hint="eastAsia" w:asciiTheme="minorEastAsia" w:hAnsiTheme="minorEastAsia" w:eastAsiaTheme="minorEastAsia" w:cstheme="minorEastAsia"/>
                <w:sz w:val="24"/>
              </w:rPr>
              <w:t>由送风总管再进入二级活性炭吸附装置</w:t>
            </w:r>
            <w:r>
              <w:rPr>
                <w:rFonts w:hint="eastAsia" w:asciiTheme="minorEastAsia" w:hAnsiTheme="minorEastAsia" w:eastAsiaTheme="minorEastAsia" w:cstheme="minorEastAsia"/>
                <w:sz w:val="24"/>
                <w:lang w:val="en-US" w:eastAsia="zh-CN"/>
              </w:rPr>
              <w:t>处理</w:t>
            </w:r>
            <w:r>
              <w:rPr>
                <w:rFonts w:hint="eastAsia" w:asciiTheme="minorEastAsia" w:hAnsiTheme="minorEastAsia" w:eastAsiaTheme="minorEastAsia" w:cstheme="minorEastAsia"/>
                <w:sz w:val="24"/>
              </w:rPr>
              <w:t>，处理达标后的气体最后由离心风机送出</w:t>
            </w:r>
            <w:r>
              <w:rPr>
                <w:rFonts w:hint="eastAsia" w:cs="Times New Roman" w:eastAsiaTheme="minorEastAsia"/>
                <w:kern w:val="0"/>
                <w:sz w:val="24"/>
                <w:lang w:eastAsia="zh-CN"/>
              </w:rPr>
              <w:t>2</w:t>
            </w:r>
            <w:r>
              <w:rPr>
                <w:rFonts w:hint="eastAsia" w:cs="Times New Roman" w:eastAsiaTheme="minorEastAsia"/>
                <w:kern w:val="0"/>
                <w:sz w:val="24"/>
                <w:lang w:val="en-US" w:eastAsia="zh-CN"/>
              </w:rPr>
              <w:t>5</w:t>
            </w:r>
            <w:r>
              <w:rPr>
                <w:rFonts w:hint="eastAsia" w:ascii="宋体" w:hAnsi="宋体" w:cs="宋体"/>
                <w:kern w:val="0"/>
                <w:sz w:val="24"/>
              </w:rPr>
              <w:t>米高排气筒</w:t>
            </w: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1#</w:t>
            </w:r>
            <w:r>
              <w:rPr>
                <w:rFonts w:hint="default" w:ascii="Times New Roman" w:hAnsi="Times New Roman" w:cs="Times New Roman"/>
                <w:kern w:val="0"/>
                <w:sz w:val="24"/>
                <w:lang w:eastAsia="zh-CN"/>
              </w:rPr>
              <w:t>）</w:t>
            </w:r>
            <w:r>
              <w:rPr>
                <w:rFonts w:hint="eastAsia" w:asciiTheme="minorEastAsia" w:hAnsiTheme="minorEastAsia" w:eastAsiaTheme="minorEastAsia" w:cstheme="minorEastAsia"/>
                <w:sz w:val="24"/>
              </w:rPr>
              <w:t>排放。</w:t>
            </w:r>
            <w:r>
              <w:rPr>
                <w:rFonts w:hint="eastAsia" w:asciiTheme="minorEastAsia" w:hAnsiTheme="minorEastAsia" w:eastAsiaTheme="minorEastAsia" w:cstheme="minorEastAsia"/>
                <w:sz w:val="24"/>
                <w:lang w:val="en-US" w:eastAsia="zh-CN"/>
              </w:rPr>
              <w:t>集气罩的收集效率为</w:t>
            </w:r>
            <w:r>
              <w:rPr>
                <w:rFonts w:hint="eastAsia" w:cs="Times New Roman" w:eastAsiaTheme="minorEastAsia"/>
                <w:sz w:val="24"/>
                <w:lang w:val="en-US" w:eastAsia="zh-CN"/>
              </w:rPr>
              <w:t>8</w:t>
            </w:r>
            <w:r>
              <w:rPr>
                <w:rFonts w:hint="default" w:ascii="Times New Roman" w:hAnsi="Times New Roman" w:cs="Times New Roman" w:eastAsiaTheme="minorEastAsia"/>
                <w:sz w:val="24"/>
                <w:lang w:val="en-US" w:eastAsia="zh-CN"/>
              </w:rPr>
              <w:t>0%</w:t>
            </w:r>
            <w:r>
              <w:rPr>
                <w:rFonts w:hint="eastAsia" w:asciiTheme="minorEastAsia" w:hAnsiTheme="minorEastAsia" w:eastAsiaTheme="minorEastAsia" w:cstheme="minorEastAsia"/>
                <w:sz w:val="24"/>
                <w:lang w:val="en-US" w:eastAsia="zh-CN"/>
              </w:rPr>
              <w:t>，处理效率达</w:t>
            </w:r>
            <w:r>
              <w:rPr>
                <w:rFonts w:hint="eastAsia" w:ascii="Times New Roman" w:hAnsi="Times New Roman" w:cs="Times New Roman" w:eastAsiaTheme="minorEastAsia"/>
                <w:sz w:val="24"/>
                <w:lang w:val="en-US" w:eastAsia="zh-CN"/>
              </w:rPr>
              <w:t>90%</w:t>
            </w:r>
            <w:r>
              <w:rPr>
                <w:rFonts w:hint="eastAsia" w:asciiTheme="minorEastAsia" w:hAnsiTheme="minorEastAsia" w:eastAsiaTheme="minorEastAsia" w:cstheme="minorEastAsia"/>
                <w:sz w:val="24"/>
                <w:lang w:val="en-US" w:eastAsia="zh-CN"/>
              </w:rPr>
              <w:t>，则有组织废气产生量</w:t>
            </w:r>
            <w:r>
              <w:rPr>
                <w:rFonts w:hint="default" w:ascii="Times New Roman" w:hAnsi="Times New Roman" w:cs="Times New Roman" w:eastAsiaTheme="minorEastAsia"/>
                <w:sz w:val="24"/>
                <w:lang w:val="en-US" w:eastAsia="zh-CN"/>
              </w:rPr>
              <w:t>0.0</w:t>
            </w:r>
            <w:r>
              <w:rPr>
                <w:rFonts w:hint="eastAsia" w:cs="Times New Roman" w:eastAsiaTheme="minorEastAsia"/>
                <w:sz w:val="24"/>
                <w:lang w:val="en-US" w:eastAsia="zh-CN"/>
              </w:rPr>
              <w:t>08</w:t>
            </w:r>
            <w:r>
              <w:rPr>
                <w:rFonts w:hint="default" w:ascii="Times New Roman" w:hAnsi="Times New Roman" w:cs="Times New Roman" w:eastAsiaTheme="minorEastAsia"/>
                <w:sz w:val="24"/>
                <w:lang w:val="en-US" w:eastAsia="zh-CN"/>
              </w:rPr>
              <w:t>t/a</w:t>
            </w:r>
            <w:r>
              <w:rPr>
                <w:rFonts w:hint="eastAsia" w:ascii="Times New Roman" w:hAnsi="Times New Roman" w:cs="Times New Roman" w:eastAsiaTheme="minorEastAsia"/>
                <w:sz w:val="24"/>
                <w:lang w:val="en-US" w:eastAsia="zh-CN"/>
              </w:rPr>
              <w:t>，有组织废气排放量为0.00</w:t>
            </w:r>
            <w:r>
              <w:rPr>
                <w:rFonts w:hint="eastAsia" w:cs="Times New Roman" w:eastAsiaTheme="minorEastAsia"/>
                <w:sz w:val="24"/>
                <w:lang w:val="en-US" w:eastAsia="zh-CN"/>
              </w:rPr>
              <w:t>08</w:t>
            </w:r>
            <w:r>
              <w:rPr>
                <w:rFonts w:hint="eastAsia" w:ascii="Times New Roman" w:hAnsi="Times New Roman" w:cs="Times New Roman" w:eastAsiaTheme="minorEastAsia"/>
                <w:sz w:val="24"/>
                <w:lang w:val="en-US" w:eastAsia="zh-CN"/>
              </w:rPr>
              <w:t>t/a。未被收集的有机废气量为0.00</w:t>
            </w:r>
            <w:r>
              <w:rPr>
                <w:rFonts w:hint="eastAsia" w:cs="Times New Roman" w:eastAsiaTheme="minorEastAsia"/>
                <w:sz w:val="24"/>
                <w:lang w:val="en-US" w:eastAsia="zh-CN"/>
              </w:rPr>
              <w:t>2</w:t>
            </w:r>
            <w:r>
              <w:rPr>
                <w:rFonts w:hint="eastAsia" w:ascii="Times New Roman" w:hAnsi="Times New Roman" w:cs="Times New Roman" w:eastAsiaTheme="minorEastAsia"/>
                <w:sz w:val="24"/>
                <w:lang w:val="en-US" w:eastAsia="zh-CN"/>
              </w:rPr>
              <w:t>t/a，在车间内无组织排放。</w:t>
            </w:r>
          </w:p>
          <w:p>
            <w:pPr>
              <w:pStyle w:val="36"/>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cs="Times New Roman" w:eastAsiaTheme="minorEastAsia"/>
                <w:b/>
                <w:bCs/>
                <w:sz w:val="24"/>
                <w:lang w:val="en-US" w:eastAsia="zh-CN"/>
              </w:rPr>
            </w:pPr>
            <w:r>
              <w:rPr>
                <w:rFonts w:hint="eastAsia" w:ascii="Times New Roman" w:hAnsi="Times New Roman" w:cs="Times New Roman" w:eastAsiaTheme="minorEastAsia"/>
                <w:b/>
                <w:bCs/>
                <w:sz w:val="24"/>
                <w:lang w:val="en-US" w:eastAsia="zh-CN"/>
              </w:rPr>
              <w:t>④木</w:t>
            </w:r>
            <w:r>
              <w:rPr>
                <w:rFonts w:hint="eastAsia" w:cs="Times New Roman" w:eastAsiaTheme="minorEastAsia"/>
                <w:b/>
                <w:bCs/>
                <w:sz w:val="24"/>
                <w:lang w:val="en-US" w:eastAsia="zh-CN"/>
              </w:rPr>
              <w:t>料下料及加工</w:t>
            </w:r>
            <w:r>
              <w:rPr>
                <w:rFonts w:hint="eastAsia" w:ascii="Times New Roman" w:hAnsi="Times New Roman" w:cs="Times New Roman" w:eastAsiaTheme="minorEastAsia"/>
                <w:b/>
                <w:bCs/>
                <w:sz w:val="24"/>
                <w:lang w:val="en-US" w:eastAsia="zh-CN"/>
              </w:rPr>
              <w:t>粉尘</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s="Times New Roman" w:eastAsiaTheme="minorEastAsia"/>
                <w:sz w:val="24"/>
                <w:lang w:val="en-US" w:eastAsia="zh-CN"/>
              </w:rPr>
            </w:pPr>
            <w:r>
              <w:rPr>
                <w:rFonts w:hint="eastAsia" w:ascii="Times New Roman" w:hAnsi="Times New Roman" w:cs="Times New Roman" w:eastAsiaTheme="minorEastAsia"/>
                <w:b w:val="0"/>
                <w:bCs w:val="0"/>
                <w:sz w:val="24"/>
                <w:lang w:val="en-US" w:eastAsia="zh-CN"/>
              </w:rPr>
              <w:t>本项目木制品</w:t>
            </w:r>
            <w:r>
              <w:rPr>
                <w:rFonts w:hint="eastAsia" w:cs="Times New Roman" w:eastAsiaTheme="minorEastAsia"/>
                <w:b w:val="0"/>
                <w:bCs w:val="0"/>
                <w:sz w:val="24"/>
                <w:lang w:val="en-US" w:eastAsia="zh-CN"/>
              </w:rPr>
              <w:t>下料、</w:t>
            </w:r>
            <w:r>
              <w:rPr>
                <w:rFonts w:hint="eastAsia" w:ascii="Times New Roman" w:hAnsi="Times New Roman" w:cs="Times New Roman" w:eastAsiaTheme="minorEastAsia"/>
                <w:b w:val="0"/>
                <w:bCs w:val="0"/>
                <w:sz w:val="24"/>
                <w:lang w:val="en-US" w:eastAsia="zh-CN"/>
              </w:rPr>
              <w:t>板材加工</w:t>
            </w:r>
            <w:r>
              <w:rPr>
                <w:rFonts w:hint="eastAsia" w:cs="Times New Roman" w:eastAsiaTheme="minorEastAsia"/>
                <w:b w:val="0"/>
                <w:bCs w:val="0"/>
                <w:sz w:val="24"/>
                <w:lang w:val="en-US" w:eastAsia="zh-CN"/>
              </w:rPr>
              <w:t>、配件加工过程中</w:t>
            </w:r>
            <w:r>
              <w:rPr>
                <w:rFonts w:hint="eastAsia" w:ascii="Times New Roman" w:hAnsi="Times New Roman" w:cs="Times New Roman" w:eastAsiaTheme="minorEastAsia"/>
                <w:b w:val="0"/>
                <w:bCs w:val="0"/>
                <w:sz w:val="24"/>
                <w:lang w:val="en-US" w:eastAsia="zh-CN"/>
              </w:rPr>
              <w:t>会有木粉尘产生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参考</w:t>
            </w:r>
            <w:r>
              <w:rPr>
                <w:rFonts w:hint="eastAsia" w:ascii="宋体" w:hAnsi="宋体" w:eastAsia="宋体" w:cs="宋体"/>
                <w:sz w:val="24"/>
                <w:lang w:val="en-US" w:eastAsia="zh-CN"/>
              </w:rPr>
              <w:t>《排放源统计调查产排污核算方法和系数手册》木材加工行业系数手册中下料工序的锯切，颗粒物的产污系数为</w:t>
            </w:r>
            <w:r>
              <w:rPr>
                <w:rFonts w:hint="default" w:ascii="Times New Roman" w:hAnsi="Times New Roman" w:eastAsia="宋体" w:cs="Times New Roman"/>
                <w:sz w:val="24"/>
                <w:lang w:val="en-US" w:eastAsia="zh-CN"/>
              </w:rPr>
              <w:t>0.243kg/m</w:t>
            </w:r>
            <w:r>
              <w:rPr>
                <w:rFonts w:hint="default" w:ascii="Times New Roman" w:hAnsi="Times New Roman" w:eastAsia="宋体" w:cs="Times New Roman"/>
                <w:sz w:val="24"/>
                <w:vertAlign w:val="superscript"/>
                <w:lang w:val="en-US" w:eastAsia="zh-CN"/>
              </w:rPr>
              <w:t>3</w:t>
            </w:r>
            <w:r>
              <w:rPr>
                <w:rFonts w:hint="eastAsia" w:ascii="Times New Roman" w:hAnsi="Times New Roman" w:eastAsia="宋体" w:cs="Times New Roman"/>
                <w:sz w:val="24"/>
                <w:vertAlign w:val="superscript"/>
                <w:lang w:val="en-US" w:eastAsia="zh-CN"/>
              </w:rPr>
              <w:t xml:space="preserve"> </w:t>
            </w:r>
            <w:r>
              <w:rPr>
                <w:rFonts w:hint="eastAsia" w:ascii="Times New Roman" w:hAnsi="Times New Roman" w:eastAsia="宋体" w:cs="Times New Roman"/>
                <w:sz w:val="24"/>
                <w:vertAlign w:val="baseline"/>
                <w:lang w:val="en-US" w:eastAsia="zh-CN"/>
              </w:rPr>
              <w:t>产品，项目木板用量为3572.16m</w:t>
            </w:r>
            <w:r>
              <w:rPr>
                <w:rFonts w:hint="eastAsia" w:ascii="Times New Roman" w:hAnsi="Times New Roman" w:eastAsia="宋体" w:cs="Times New Roman"/>
                <w:sz w:val="24"/>
                <w:vertAlign w:val="superscript"/>
                <w:lang w:val="en-US" w:eastAsia="zh-CN"/>
              </w:rPr>
              <w:t>3</w:t>
            </w:r>
            <w:r>
              <w:rPr>
                <w:rFonts w:hint="eastAsia" w:ascii="Times New Roman" w:hAnsi="Times New Roman" w:eastAsia="宋体" w:cs="Times New Roman"/>
                <w:sz w:val="24"/>
                <w:vertAlign w:val="baseline"/>
                <w:lang w:val="en-US" w:eastAsia="zh-CN"/>
              </w:rPr>
              <w:t>/a，利用率70%，则木粉尘产生量约60</w:t>
            </w:r>
            <w:r>
              <w:rPr>
                <w:rFonts w:hint="eastAsia" w:cs="Times New Roman"/>
                <w:sz w:val="24"/>
                <w:vertAlign w:val="baseline"/>
                <w:lang w:val="en-US" w:eastAsia="zh-CN"/>
              </w:rPr>
              <w:t>8</w:t>
            </w:r>
            <w:r>
              <w:rPr>
                <w:rFonts w:hint="eastAsia" w:ascii="Times New Roman" w:hAnsi="Times New Roman" w:eastAsia="宋体" w:cs="Times New Roman"/>
                <w:sz w:val="24"/>
                <w:vertAlign w:val="baseline"/>
                <w:lang w:val="en-US" w:eastAsia="zh-CN"/>
              </w:rPr>
              <w:t>kg/a，木材加工时间为2000h/a（8h/d）。木粉尘</w:t>
            </w:r>
            <w:r>
              <w:rPr>
                <w:rFonts w:hint="eastAsia" w:asciiTheme="minorEastAsia" w:hAnsiTheme="minorEastAsia" w:eastAsiaTheme="minorEastAsia" w:cstheme="minorEastAsia"/>
                <w:sz w:val="24"/>
                <w:lang w:val="en-US" w:eastAsia="zh-CN"/>
              </w:rPr>
              <w:t>经设备集尘罩收集后</w:t>
            </w:r>
            <w:r>
              <w:rPr>
                <w:rFonts w:hint="eastAsia" w:asciiTheme="minorEastAsia" w:hAnsiTheme="minorEastAsia" w:eastAsiaTheme="minorEastAsia" w:cstheme="minorEastAsia"/>
                <w:sz w:val="24"/>
              </w:rPr>
              <w:t>由送风管再进入脉冲布袋除尘器装置处理</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达标后的气体最后由离心风机送出</w:t>
            </w:r>
            <w:r>
              <w:rPr>
                <w:rFonts w:hint="eastAsia" w:cs="Times New Roman" w:eastAsiaTheme="minorEastAsia"/>
                <w:kern w:val="0"/>
                <w:sz w:val="24"/>
                <w:lang w:eastAsia="zh-CN"/>
              </w:rPr>
              <w:t>2</w:t>
            </w:r>
            <w:r>
              <w:rPr>
                <w:rFonts w:hint="eastAsia" w:cs="Times New Roman" w:eastAsiaTheme="minorEastAsia"/>
                <w:kern w:val="0"/>
                <w:sz w:val="24"/>
                <w:lang w:val="en-US" w:eastAsia="zh-CN"/>
              </w:rPr>
              <w:t>5</w:t>
            </w:r>
            <w:r>
              <w:rPr>
                <w:rFonts w:hint="eastAsia" w:ascii="宋体" w:hAnsi="宋体" w:cs="宋体"/>
                <w:kern w:val="0"/>
                <w:sz w:val="24"/>
              </w:rPr>
              <w:t>米高排气筒</w:t>
            </w: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2#</w:t>
            </w:r>
            <w:r>
              <w:rPr>
                <w:rFonts w:hint="default" w:ascii="Times New Roman" w:hAnsi="Times New Roman" w:cs="Times New Roman"/>
                <w:kern w:val="0"/>
                <w:sz w:val="24"/>
                <w:lang w:eastAsia="zh-CN"/>
              </w:rPr>
              <w:t>）</w:t>
            </w:r>
            <w:r>
              <w:rPr>
                <w:rFonts w:hint="eastAsia" w:asciiTheme="minorEastAsia" w:hAnsiTheme="minorEastAsia" w:eastAsiaTheme="minorEastAsia" w:cstheme="minorEastAsia"/>
                <w:sz w:val="24"/>
              </w:rPr>
              <w:t>排放</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风量</w:t>
            </w:r>
            <w:r>
              <w:rPr>
                <w:rFonts w:hint="eastAsia" w:cs="Times New Roman" w:eastAsiaTheme="minorEastAsia"/>
                <w:sz w:val="24"/>
                <w:lang w:val="en-US" w:eastAsia="zh-CN"/>
              </w:rPr>
              <w:t>3</w:t>
            </w:r>
            <w:r>
              <w:rPr>
                <w:rFonts w:hint="default" w:ascii="Times New Roman" w:hAnsi="Times New Roman" w:cs="Times New Roman" w:eastAsiaTheme="minorEastAsia"/>
                <w:sz w:val="24"/>
                <w:lang w:val="en-US" w:eastAsia="zh-CN"/>
              </w:rPr>
              <w:t>000m</w:t>
            </w:r>
            <w:r>
              <w:rPr>
                <w:rFonts w:hint="default" w:ascii="Times New Roman" w:hAnsi="Times New Roman" w:cs="Times New Roman" w:eastAsiaTheme="minorEastAsia"/>
                <w:sz w:val="24"/>
                <w:vertAlign w:val="superscript"/>
                <w:lang w:val="en-US" w:eastAsia="zh-CN"/>
              </w:rPr>
              <w:t>3</w:t>
            </w:r>
            <w:r>
              <w:rPr>
                <w:rFonts w:hint="default" w:ascii="Times New Roman" w:hAnsi="Times New Roman" w:cs="Times New Roman" w:eastAsiaTheme="minorEastAsia"/>
                <w:sz w:val="24"/>
                <w:lang w:val="en-US" w:eastAsia="zh-CN"/>
              </w:rPr>
              <w:t>/h</w:t>
            </w:r>
            <w:r>
              <w:rPr>
                <w:rFonts w:hint="eastAsia" w:ascii="Times New Roman" w:hAnsi="Times New Roman" w:cs="Times New Roman" w:eastAsiaTheme="minorEastAsia"/>
                <w:sz w:val="24"/>
                <w:lang w:val="en-US" w:eastAsia="zh-CN"/>
              </w:rPr>
              <w:t>，收集效率为</w:t>
            </w:r>
            <w:r>
              <w:rPr>
                <w:rFonts w:hint="eastAsia" w:cs="Times New Roman" w:eastAsiaTheme="minorEastAsia"/>
                <w:sz w:val="24"/>
                <w:lang w:val="en-US" w:eastAsia="zh-CN"/>
              </w:rPr>
              <w:t>9</w:t>
            </w:r>
            <w:r>
              <w:rPr>
                <w:rFonts w:hint="eastAsia" w:ascii="Times New Roman" w:hAnsi="Times New Roman" w:cs="Times New Roman" w:eastAsiaTheme="minorEastAsia"/>
                <w:sz w:val="24"/>
                <w:lang w:val="en-US" w:eastAsia="zh-CN"/>
              </w:rPr>
              <w:t>0%，处理效率为</w:t>
            </w:r>
            <w:r>
              <w:rPr>
                <w:rFonts w:hint="eastAsia" w:cs="Times New Roman" w:eastAsiaTheme="minorEastAsia"/>
                <w:sz w:val="24"/>
                <w:lang w:val="en-US" w:eastAsia="zh-CN"/>
              </w:rPr>
              <w:t>95</w:t>
            </w:r>
            <w:r>
              <w:rPr>
                <w:rFonts w:hint="eastAsia" w:ascii="Times New Roman" w:hAnsi="Times New Roman" w:cs="Times New Roman" w:eastAsiaTheme="minorEastAsia"/>
                <w:sz w:val="24"/>
                <w:lang w:val="en-US" w:eastAsia="zh-CN"/>
              </w:rPr>
              <w:t>%</w:t>
            </w:r>
            <w:r>
              <w:rPr>
                <w:rFonts w:hint="eastAsia" w:cs="Times New Roman" w:eastAsiaTheme="minorEastAsia"/>
                <w:sz w:val="24"/>
                <w:lang w:val="en-US" w:eastAsia="zh-CN"/>
              </w:rPr>
              <w:t>。</w:t>
            </w:r>
          </w:p>
          <w:p>
            <w:pPr>
              <w:numPr>
                <w:ilvl w:val="0"/>
                <w:numId w:val="0"/>
              </w:numPr>
              <w:adjustRightInd w:val="0"/>
              <w:snapToGrid w:val="0"/>
              <w:spacing w:line="500" w:lineRule="exact"/>
              <w:ind w:firstLine="482" w:firstLineChars="200"/>
              <w:rPr>
                <w:rFonts w:hint="eastAsia" w:cs="Times New Roman" w:eastAsiaTheme="minorEastAsia"/>
                <w:b/>
                <w:bCs/>
                <w:sz w:val="24"/>
                <w:lang w:val="en-US" w:eastAsia="zh-CN"/>
              </w:rPr>
            </w:pPr>
            <w:r>
              <w:rPr>
                <w:rFonts w:hint="eastAsia" w:cs="Times New Roman" w:eastAsiaTheme="minorEastAsia"/>
                <w:b/>
                <w:bCs/>
                <w:sz w:val="24"/>
                <w:lang w:val="en-US" w:eastAsia="zh-CN"/>
              </w:rPr>
              <w:t>⑤热熔胶废气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b w:val="0"/>
                <w:bCs w:val="0"/>
                <w:sz w:val="24"/>
                <w:lang w:val="en-US" w:eastAsia="zh-CN"/>
              </w:rPr>
            </w:pPr>
            <w:r>
              <w:rPr>
                <w:rFonts w:hint="eastAsia" w:cs="Times New Roman" w:eastAsiaTheme="minorEastAsia"/>
                <w:b w:val="0"/>
                <w:bCs w:val="0"/>
                <w:sz w:val="24"/>
                <w:lang w:val="en-US" w:eastAsia="zh-CN"/>
              </w:rPr>
              <w:t>本项目塑料、泡沫制品生产工艺中用热熔胶进行成型粘合时会产生热熔胶废气，本项目使用热熔胶0.5t，</w:t>
            </w:r>
            <w:r>
              <w:rPr>
                <w:rFonts w:hint="eastAsia" w:ascii="Times New Roman" w:hAnsi="Times New Roman" w:cs="Times New Roman" w:eastAsiaTheme="minorEastAsia"/>
                <w:b w:val="0"/>
                <w:bCs w:val="0"/>
                <w:sz w:val="24"/>
                <w:lang w:val="en-US" w:eastAsia="zh-CN"/>
              </w:rPr>
              <w:t>根据企业提供的热熔胶成分检验报告（</w:t>
            </w:r>
            <w:r>
              <w:rPr>
                <w:rFonts w:hint="eastAsia" w:ascii="Times New Roman" w:hAnsi="Times New Roman" w:cs="Times New Roman" w:eastAsiaTheme="minorEastAsia"/>
                <w:b w:val="0"/>
                <w:bCs w:val="0"/>
                <w:color w:val="auto"/>
                <w:sz w:val="24"/>
                <w:lang w:val="en-US" w:eastAsia="zh-CN"/>
              </w:rPr>
              <w:t>详见附件</w:t>
            </w:r>
            <w:r>
              <w:rPr>
                <w:rFonts w:hint="eastAsia" w:ascii="Times New Roman" w:hAnsi="Times New Roman" w:cs="Times New Roman" w:eastAsiaTheme="minorEastAsia"/>
                <w:b w:val="0"/>
                <w:bCs w:val="0"/>
                <w:sz w:val="24"/>
                <w:lang w:val="en-US" w:eastAsia="zh-CN"/>
              </w:rPr>
              <w:t>），热熔胶中挥发性有机物含量为3g/L，热熔胶密度以0.915kg/L计，则</w:t>
            </w:r>
            <w:r>
              <w:rPr>
                <w:rFonts w:hint="eastAsia" w:cs="Times New Roman" w:eastAsiaTheme="minorEastAsia"/>
                <w:b w:val="0"/>
                <w:bCs w:val="0"/>
                <w:sz w:val="24"/>
                <w:lang w:val="en-US" w:eastAsia="zh-CN"/>
              </w:rPr>
              <w:t>非甲烷总烃</w:t>
            </w:r>
            <w:r>
              <w:rPr>
                <w:rFonts w:hint="eastAsia" w:ascii="Times New Roman" w:hAnsi="Times New Roman" w:cs="Times New Roman" w:eastAsiaTheme="minorEastAsia"/>
                <w:b w:val="0"/>
                <w:bCs w:val="0"/>
                <w:sz w:val="24"/>
                <w:lang w:val="en-US" w:eastAsia="zh-CN"/>
              </w:rPr>
              <w:t>产生量约为0.00</w:t>
            </w:r>
            <w:r>
              <w:rPr>
                <w:rFonts w:hint="eastAsia" w:cs="Times New Roman" w:eastAsiaTheme="minorEastAsia"/>
                <w:b w:val="0"/>
                <w:bCs w:val="0"/>
                <w:sz w:val="24"/>
                <w:lang w:val="en-US" w:eastAsia="zh-CN"/>
              </w:rPr>
              <w:t>16</w:t>
            </w:r>
            <w:r>
              <w:rPr>
                <w:rFonts w:hint="eastAsia" w:ascii="Times New Roman" w:hAnsi="Times New Roman" w:cs="Times New Roman" w:eastAsiaTheme="minorEastAsia"/>
                <w:b w:val="0"/>
                <w:bCs w:val="0"/>
                <w:sz w:val="24"/>
                <w:lang w:val="en-US" w:eastAsia="zh-CN"/>
              </w:rPr>
              <w:t>t/a。</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z w:val="24"/>
                <w:lang w:val="en-US" w:eastAsia="zh-CN"/>
              </w:rPr>
            </w:pPr>
            <w:r>
              <w:rPr>
                <w:rFonts w:hint="eastAsia" w:ascii="Times New Roman" w:hAnsi="Times New Roman" w:cs="Times New Roman" w:eastAsiaTheme="minorEastAsia"/>
                <w:b w:val="0"/>
                <w:bCs w:val="0"/>
                <w:sz w:val="24"/>
                <w:lang w:val="en-US" w:eastAsia="zh-CN"/>
              </w:rPr>
              <w:t>在废气点位上方设置集气罩，</w:t>
            </w:r>
            <w:r>
              <w:rPr>
                <w:rFonts w:hint="eastAsia" w:ascii="Times New Roman" w:hAnsi="Times New Roman" w:cs="Times New Roman"/>
                <w:b w:val="0"/>
                <w:bCs/>
                <w:spacing w:val="0"/>
                <w:sz w:val="24"/>
                <w:lang w:val="en-US" w:eastAsia="zh-CN"/>
              </w:rPr>
              <w:t>有机废气经集气罩收集后</w:t>
            </w:r>
            <w:r>
              <w:rPr>
                <w:rFonts w:hint="eastAsia" w:asciiTheme="minorEastAsia" w:hAnsiTheme="minorEastAsia" w:eastAsiaTheme="minorEastAsia" w:cstheme="minorEastAsia"/>
                <w:sz w:val="24"/>
              </w:rPr>
              <w:t>由送风总管再进入二级活性炭吸附装置</w:t>
            </w:r>
            <w:r>
              <w:rPr>
                <w:rFonts w:hint="eastAsia" w:asciiTheme="minorEastAsia" w:hAnsiTheme="minorEastAsia" w:eastAsiaTheme="minorEastAsia" w:cstheme="minorEastAsia"/>
                <w:sz w:val="24"/>
                <w:lang w:val="en-US" w:eastAsia="zh-CN"/>
              </w:rPr>
              <w:t>处理</w:t>
            </w:r>
            <w:r>
              <w:rPr>
                <w:rFonts w:hint="eastAsia" w:asciiTheme="minorEastAsia" w:hAnsiTheme="minorEastAsia" w:eastAsiaTheme="minorEastAsia" w:cstheme="minorEastAsia"/>
                <w:sz w:val="24"/>
              </w:rPr>
              <w:t>，处理达标后的气体最后由离心风机送出</w:t>
            </w:r>
            <w:r>
              <w:rPr>
                <w:rFonts w:hint="eastAsia" w:cs="Times New Roman" w:eastAsiaTheme="minorEastAsia"/>
                <w:kern w:val="0"/>
                <w:sz w:val="24"/>
                <w:lang w:eastAsia="zh-CN"/>
              </w:rPr>
              <w:t>2</w:t>
            </w:r>
            <w:r>
              <w:rPr>
                <w:rFonts w:hint="eastAsia" w:cs="Times New Roman" w:eastAsiaTheme="minorEastAsia"/>
                <w:kern w:val="0"/>
                <w:sz w:val="24"/>
                <w:lang w:val="en-US" w:eastAsia="zh-CN"/>
              </w:rPr>
              <w:t>5</w:t>
            </w:r>
            <w:r>
              <w:rPr>
                <w:rFonts w:hint="eastAsia" w:ascii="宋体" w:hAnsi="宋体" w:cs="宋体"/>
                <w:kern w:val="0"/>
                <w:sz w:val="24"/>
              </w:rPr>
              <w:t>米高排气筒</w:t>
            </w: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1#</w:t>
            </w:r>
            <w:r>
              <w:rPr>
                <w:rFonts w:hint="default" w:ascii="Times New Roman" w:hAnsi="Times New Roman" w:cs="Times New Roman"/>
                <w:kern w:val="0"/>
                <w:sz w:val="24"/>
                <w:lang w:eastAsia="zh-CN"/>
              </w:rPr>
              <w:t>）</w:t>
            </w:r>
            <w:r>
              <w:rPr>
                <w:rFonts w:hint="eastAsia" w:asciiTheme="minorEastAsia" w:hAnsiTheme="minorEastAsia" w:eastAsiaTheme="minorEastAsia" w:cstheme="minorEastAsia"/>
                <w:sz w:val="24"/>
              </w:rPr>
              <w:t>排放。</w:t>
            </w:r>
            <w:r>
              <w:rPr>
                <w:rFonts w:hint="eastAsia" w:asciiTheme="minorEastAsia" w:hAnsiTheme="minorEastAsia" w:eastAsiaTheme="minorEastAsia" w:cstheme="minorEastAsia"/>
                <w:sz w:val="24"/>
                <w:lang w:val="en-US" w:eastAsia="zh-CN"/>
              </w:rPr>
              <w:t>集气罩的收集效率为</w:t>
            </w:r>
            <w:r>
              <w:rPr>
                <w:rFonts w:hint="eastAsia" w:cs="Times New Roman" w:eastAsiaTheme="minorEastAsia"/>
                <w:sz w:val="24"/>
                <w:lang w:val="en-US" w:eastAsia="zh-CN"/>
              </w:rPr>
              <w:t>8</w:t>
            </w:r>
            <w:r>
              <w:rPr>
                <w:rFonts w:hint="default" w:ascii="Times New Roman" w:hAnsi="Times New Roman" w:cs="Times New Roman" w:eastAsiaTheme="minorEastAsia"/>
                <w:sz w:val="24"/>
                <w:lang w:val="en-US" w:eastAsia="zh-CN"/>
              </w:rPr>
              <w:t>0%</w:t>
            </w:r>
            <w:r>
              <w:rPr>
                <w:rFonts w:hint="eastAsia" w:asciiTheme="minorEastAsia" w:hAnsiTheme="minorEastAsia" w:eastAsiaTheme="minorEastAsia" w:cstheme="minorEastAsia"/>
                <w:sz w:val="24"/>
                <w:lang w:val="en-US" w:eastAsia="zh-CN"/>
              </w:rPr>
              <w:t>，处理效率达</w:t>
            </w:r>
            <w:r>
              <w:rPr>
                <w:rFonts w:hint="eastAsia" w:ascii="Times New Roman" w:hAnsi="Times New Roman" w:cs="Times New Roman" w:eastAsiaTheme="minorEastAsia"/>
                <w:sz w:val="24"/>
                <w:lang w:val="en-US" w:eastAsia="zh-CN"/>
              </w:rPr>
              <w:t>90%</w:t>
            </w:r>
            <w:r>
              <w:rPr>
                <w:rFonts w:hint="eastAsia" w:asciiTheme="minorEastAsia" w:hAnsiTheme="minorEastAsia" w:eastAsiaTheme="minorEastAsia" w:cstheme="minorEastAsia"/>
                <w:sz w:val="24"/>
                <w:lang w:val="en-US" w:eastAsia="zh-CN"/>
              </w:rPr>
              <w:t>，则有组织废气产生量</w:t>
            </w:r>
            <w:r>
              <w:rPr>
                <w:rFonts w:hint="default" w:ascii="Times New Roman" w:hAnsi="Times New Roman" w:cs="Times New Roman" w:eastAsiaTheme="minorEastAsia"/>
                <w:sz w:val="24"/>
                <w:lang w:val="en-US" w:eastAsia="zh-CN"/>
              </w:rPr>
              <w:t>0.0</w:t>
            </w:r>
            <w:r>
              <w:rPr>
                <w:rFonts w:hint="eastAsia" w:cs="Times New Roman" w:eastAsiaTheme="minorEastAsia"/>
                <w:sz w:val="24"/>
                <w:lang w:val="en-US" w:eastAsia="zh-CN"/>
              </w:rPr>
              <w:t>0128</w:t>
            </w:r>
            <w:r>
              <w:rPr>
                <w:rFonts w:hint="default" w:ascii="Times New Roman" w:hAnsi="Times New Roman" w:cs="Times New Roman" w:eastAsiaTheme="minorEastAsia"/>
                <w:sz w:val="24"/>
                <w:lang w:val="en-US" w:eastAsia="zh-CN"/>
              </w:rPr>
              <w:t>t/a</w:t>
            </w:r>
            <w:r>
              <w:rPr>
                <w:rFonts w:hint="eastAsia" w:ascii="Times New Roman" w:hAnsi="Times New Roman" w:cs="Times New Roman" w:eastAsiaTheme="minorEastAsia"/>
                <w:sz w:val="24"/>
                <w:lang w:val="en-US" w:eastAsia="zh-CN"/>
              </w:rPr>
              <w:t>，有组织废气排放量为0.00</w:t>
            </w:r>
            <w:r>
              <w:rPr>
                <w:rFonts w:hint="eastAsia" w:cs="Times New Roman" w:eastAsiaTheme="minorEastAsia"/>
                <w:sz w:val="24"/>
                <w:lang w:val="en-US" w:eastAsia="zh-CN"/>
              </w:rPr>
              <w:t>0128</w:t>
            </w:r>
            <w:r>
              <w:rPr>
                <w:rFonts w:hint="eastAsia" w:ascii="Times New Roman" w:hAnsi="Times New Roman" w:cs="Times New Roman" w:eastAsiaTheme="minorEastAsia"/>
                <w:sz w:val="24"/>
                <w:lang w:val="en-US" w:eastAsia="zh-CN"/>
              </w:rPr>
              <w:t>t/a。未被收集的有机废气量为0.0003</w:t>
            </w:r>
            <w:r>
              <w:rPr>
                <w:rFonts w:hint="eastAsia" w:cs="Times New Roman" w:eastAsiaTheme="minorEastAsia"/>
                <w:sz w:val="24"/>
                <w:lang w:val="en-US" w:eastAsia="zh-CN"/>
              </w:rPr>
              <w:t>2</w:t>
            </w:r>
            <w:r>
              <w:rPr>
                <w:rFonts w:hint="eastAsia" w:ascii="Times New Roman" w:hAnsi="Times New Roman" w:cs="Times New Roman" w:eastAsiaTheme="minorEastAsia"/>
                <w:sz w:val="24"/>
                <w:lang w:val="en-US" w:eastAsia="zh-CN"/>
              </w:rPr>
              <w:t>t/a，在车间内无组织排放。</w:t>
            </w:r>
          </w:p>
          <w:p>
            <w:pPr>
              <w:pStyle w:val="36"/>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cs="Times New Roman"/>
                <w:b/>
                <w:bCs/>
                <w:color w:val="auto"/>
                <w:szCs w:val="28"/>
                <w:highlight w:val="none"/>
                <w:lang w:val="en-US" w:eastAsia="zh-CN"/>
              </w:rPr>
              <w:t>⑥</w:t>
            </w:r>
            <w:r>
              <w:rPr>
                <w:rFonts w:hint="eastAsia" w:cs="Times New Roman"/>
                <w:b/>
                <w:bCs/>
                <w:color w:val="auto"/>
                <w:szCs w:val="28"/>
                <w:highlight w:val="none"/>
                <w:lang w:val="en-US" w:eastAsia="zh-CN"/>
              </w:rPr>
              <w:t>危废贮存点</w:t>
            </w:r>
            <w:r>
              <w:rPr>
                <w:rFonts w:hint="default" w:ascii="Times New Roman" w:hAnsi="Times New Roman" w:cs="Times New Roman"/>
                <w:b/>
                <w:bCs/>
                <w:color w:val="auto"/>
                <w:szCs w:val="28"/>
                <w:highlight w:val="none"/>
                <w:lang w:val="en-US" w:eastAsia="zh-CN"/>
              </w:rPr>
              <w:t>废气</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color w:val="auto"/>
                <w:sz w:val="24"/>
                <w:szCs w:val="24"/>
              </w:rPr>
              <w:t>项目危废暂存过程中，</w:t>
            </w:r>
            <w:r>
              <w:rPr>
                <w:rFonts w:hint="eastAsia" w:cs="Times New Roman"/>
                <w:color w:val="auto"/>
                <w:sz w:val="24"/>
                <w:szCs w:val="24"/>
                <w:lang w:val="en-US" w:eastAsia="zh-CN"/>
              </w:rPr>
              <w:t>废活性炭</w:t>
            </w:r>
            <w:r>
              <w:rPr>
                <w:rFonts w:hint="default" w:ascii="Times New Roman" w:hAnsi="Times New Roman" w:cs="Times New Roman"/>
                <w:color w:val="auto"/>
                <w:sz w:val="24"/>
                <w:szCs w:val="24"/>
              </w:rPr>
              <w:t>、废包装桶</w:t>
            </w:r>
            <w:r>
              <w:rPr>
                <w:rFonts w:hint="eastAsia" w:ascii="Times New Roman" w:hAnsi="Times New Roman" w:cs="Times New Roman"/>
                <w:color w:val="auto"/>
                <w:sz w:val="24"/>
                <w:szCs w:val="24"/>
                <w:lang w:eastAsia="zh-CN"/>
              </w:rPr>
              <w:t>、</w:t>
            </w:r>
            <w:r>
              <w:rPr>
                <w:rFonts w:hint="eastAsia" w:cs="Times New Roman"/>
                <w:color w:val="auto"/>
                <w:sz w:val="24"/>
                <w:szCs w:val="24"/>
                <w:lang w:val="en-US" w:eastAsia="zh-CN"/>
              </w:rPr>
              <w:t>空压机含油废液、</w:t>
            </w:r>
            <w:r>
              <w:rPr>
                <w:rFonts w:hint="eastAsia" w:ascii="Times New Roman" w:hAnsi="Times New Roman" w:cs="Times New Roman"/>
                <w:color w:val="auto"/>
                <w:sz w:val="24"/>
                <w:szCs w:val="24"/>
                <w:lang w:val="en-US" w:eastAsia="zh-CN"/>
              </w:rPr>
              <w:t>废</w:t>
            </w:r>
            <w:r>
              <w:rPr>
                <w:rFonts w:hint="eastAsia" w:cs="Times New Roman"/>
                <w:color w:val="auto"/>
                <w:sz w:val="24"/>
                <w:szCs w:val="24"/>
                <w:lang w:val="en-US" w:eastAsia="zh-CN"/>
              </w:rPr>
              <w:t>润滑油、废润滑油桶、印刷清洗废液、废劳保用品</w:t>
            </w:r>
            <w:r>
              <w:rPr>
                <w:rFonts w:hint="default" w:ascii="Times New Roman" w:hAnsi="Times New Roman" w:cs="Times New Roman"/>
                <w:color w:val="auto"/>
                <w:sz w:val="24"/>
                <w:szCs w:val="24"/>
              </w:rPr>
              <w:t>等</w:t>
            </w:r>
            <w:r>
              <w:rPr>
                <w:rFonts w:hint="eastAsia" w:cs="Times New Roman"/>
                <w:color w:val="auto"/>
                <w:lang w:eastAsia="zh-CN"/>
              </w:rPr>
              <w:t>，</w:t>
            </w:r>
            <w:r>
              <w:rPr>
                <w:rFonts w:hint="eastAsia" w:ascii="Times New Roman" w:hAnsi="Times New Roman"/>
                <w:color w:val="auto"/>
                <w:sz w:val="24"/>
                <w:highlight w:val="none"/>
                <w:lang w:eastAsia="zh-CN"/>
              </w:rPr>
              <w:t>分别采用包装袋或包装桶密封存储，并分开存放在指定区域；这些危废属于不易产生粉尘、VOCs、酸雾、有毒有害大气污染物和刺激性气味气体的物质，故不再进行废气的定量计算；根据《危险废物贮存污染控制标准》（GB18597-2023），暂不要求对其进行废气收集和净化，微量的废气通过危废</w:t>
            </w:r>
            <w:r>
              <w:rPr>
                <w:rFonts w:hint="eastAsia"/>
                <w:color w:val="auto"/>
                <w:sz w:val="24"/>
                <w:highlight w:val="none"/>
                <w:lang w:eastAsia="zh-CN"/>
              </w:rPr>
              <w:t>贮存点</w:t>
            </w:r>
            <w:r>
              <w:rPr>
                <w:rFonts w:hint="eastAsia" w:ascii="Times New Roman" w:hAnsi="Times New Roman"/>
                <w:color w:val="auto"/>
                <w:sz w:val="24"/>
                <w:highlight w:val="none"/>
                <w:lang w:eastAsia="zh-CN"/>
              </w:rPr>
              <w:t>自然通风排放。</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b w:val="0"/>
                <w:bCs w:val="0"/>
                <w:color w:val="auto"/>
                <w:lang w:eastAsia="zh-CN"/>
              </w:rPr>
            </w:pPr>
            <w:r>
              <w:rPr>
                <w:rFonts w:hint="default" w:ascii="Times New Roman" w:hAnsi="Times New Roman" w:cs="Times New Roman"/>
                <w:b w:val="0"/>
                <w:bCs w:val="0"/>
                <w:color w:val="auto"/>
                <w:sz w:val="24"/>
                <w:szCs w:val="24"/>
              </w:rPr>
              <w:t>综上，本项目废气源强核算、收集、处理、排放情况统计如下</w:t>
            </w:r>
            <w:r>
              <w:rPr>
                <w:rFonts w:hint="default" w:ascii="Times New Roman" w:hAnsi="Times New Roman" w:cs="Times New Roman"/>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jc w:val="both"/>
              <w:textAlignment w:val="auto"/>
              <w:rPr>
                <w:rFonts w:hint="default" w:cs="Times New Roman"/>
                <w:b/>
                <w:bCs/>
                <w:sz w:val="24"/>
                <w:szCs w:val="24"/>
                <w:lang w:val="en-US" w:eastAsia="zh-CN"/>
              </w:rPr>
            </w:pPr>
          </w:p>
        </w:tc>
      </w:tr>
    </w:tbl>
    <w:p>
      <w:pPr>
        <w:adjustRightInd w:val="0"/>
        <w:snapToGrid w:val="0"/>
        <w:spacing w:line="360" w:lineRule="auto"/>
        <w:rPr>
          <w:rFonts w:ascii="宋体" w:cs="宋体"/>
          <w:b/>
          <w:kern w:val="0"/>
          <w:sz w:val="28"/>
          <w:szCs w:val="28"/>
        </w:rPr>
        <w:sectPr>
          <w:footerReference r:id="rId5" w:type="default"/>
          <w:pgSz w:w="11907" w:h="16840"/>
          <w:pgMar w:top="1474" w:right="1417" w:bottom="1474" w:left="1417" w:header="851" w:footer="851" w:gutter="0"/>
          <w:pgBorders>
            <w:top w:val="none" w:sz="0" w:space="0"/>
            <w:left w:val="none" w:sz="0" w:space="0"/>
            <w:bottom w:val="none" w:sz="0" w:space="0"/>
            <w:right w:val="none" w:sz="0" w:space="0"/>
          </w:pgBorders>
          <w:pgNumType w:fmt="decimal" w:start="1"/>
          <w:cols w:space="720" w:num="1"/>
          <w:docGrid w:linePitch="312" w:charSpace="0"/>
        </w:sectPr>
      </w:pP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1410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486" w:hRule="atLeast"/>
        </w:trPr>
        <w:tc>
          <w:tcPr>
            <w:tcW w:w="5000" w:type="pct"/>
            <w:noWrap w:val="0"/>
            <w:vAlign w:val="top"/>
          </w:tcPr>
          <w:p>
            <w:pPr>
              <w:adjustRightInd w:val="0"/>
              <w:snapToGrid w:val="0"/>
              <w:spacing w:line="500" w:lineRule="exact"/>
              <w:jc w:val="center"/>
              <w:rPr>
                <w:rFonts w:hint="default" w:ascii="Times New Roman" w:hAnsi="Times New Roman" w:cs="Times New Roman"/>
                <w:b/>
                <w:bCs/>
                <w:color w:val="000000"/>
                <w:kern w:val="0"/>
                <w:szCs w:val="21"/>
                <w:highlight w:val="none"/>
              </w:rPr>
            </w:pPr>
            <w:r>
              <w:rPr>
                <w:rFonts w:hint="eastAsia" w:ascii="宋体" w:hAnsi="宋体" w:eastAsia="宋体" w:cs="宋体"/>
                <w:b/>
                <w:bCs/>
                <w:color w:val="000000"/>
                <w:kern w:val="0"/>
                <w:sz w:val="24"/>
                <w:szCs w:val="24"/>
                <w:highlight w:val="none"/>
              </w:rPr>
              <w:t>表</w:t>
            </w:r>
            <w:r>
              <w:rPr>
                <w:rFonts w:hint="default" w:ascii="Times New Roman" w:hAnsi="Times New Roman" w:eastAsia="宋体" w:cs="Times New Roman"/>
                <w:b/>
                <w:bCs/>
                <w:color w:val="000000"/>
                <w:kern w:val="0"/>
                <w:sz w:val="24"/>
                <w:szCs w:val="24"/>
                <w:highlight w:val="none"/>
              </w:rPr>
              <w:t>4-</w:t>
            </w:r>
            <w:r>
              <w:rPr>
                <w:rFonts w:hint="default" w:ascii="Times New Roman" w:hAnsi="Times New Roman" w:eastAsia="宋体" w:cs="Times New Roman"/>
                <w:b/>
                <w:bCs/>
                <w:color w:val="000000"/>
                <w:kern w:val="0"/>
                <w:sz w:val="24"/>
                <w:szCs w:val="24"/>
                <w:highlight w:val="none"/>
                <w:lang w:val="en-US" w:eastAsia="zh-CN"/>
              </w:rPr>
              <w:t>1</w:t>
            </w:r>
            <w:r>
              <w:rPr>
                <w:rFonts w:hint="eastAsia" w:ascii="宋体" w:hAnsi="宋体" w:eastAsia="宋体" w:cs="宋体"/>
                <w:b/>
                <w:bCs/>
                <w:color w:val="000000"/>
                <w:kern w:val="0"/>
                <w:sz w:val="24"/>
                <w:szCs w:val="24"/>
                <w:highlight w:val="none"/>
              </w:rPr>
              <w:t xml:space="preserve">  废气源强核算、收集、处理、排放方式情况一览表</w:t>
            </w:r>
          </w:p>
          <w:tbl>
            <w:tblPr>
              <w:tblStyle w:val="18"/>
              <w:tblW w:w="138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60"/>
              <w:gridCol w:w="873"/>
              <w:gridCol w:w="750"/>
              <w:gridCol w:w="767"/>
              <w:gridCol w:w="3229"/>
              <w:gridCol w:w="1159"/>
              <w:gridCol w:w="848"/>
              <w:gridCol w:w="1105"/>
              <w:gridCol w:w="777"/>
              <w:gridCol w:w="855"/>
              <w:gridCol w:w="544"/>
              <w:gridCol w:w="544"/>
              <w:gridCol w:w="735"/>
              <w:gridCol w:w="6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0"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污染源</w:t>
                  </w:r>
                </w:p>
              </w:tc>
              <w:tc>
                <w:tcPr>
                  <w:tcW w:w="873"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污染源</w:t>
                  </w:r>
                </w:p>
                <w:p>
                  <w:pPr>
                    <w:adjustRightInd w:val="0"/>
                    <w:snapToGri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编号</w:t>
                  </w:r>
                </w:p>
              </w:tc>
              <w:tc>
                <w:tcPr>
                  <w:tcW w:w="750" w:type="dxa"/>
                  <w:vMerge w:val="restart"/>
                  <w:tcBorders>
                    <w:tl2br w:val="nil"/>
                    <w:tr2bl w:val="nil"/>
                  </w:tcBorders>
                  <w:noWrap w:val="0"/>
                  <w:vAlign w:val="center"/>
                </w:tcPr>
                <w:p>
                  <w:pPr>
                    <w:widowControl/>
                    <w:adjustRightInd w:val="0"/>
                    <w:snapToGrid w:val="0"/>
                    <w:jc w:val="center"/>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污染物</w:t>
                  </w:r>
                </w:p>
                <w:p>
                  <w:pPr>
                    <w:widowControl/>
                    <w:adjustRightInd w:val="0"/>
                    <w:snapToGrid w:val="0"/>
                    <w:jc w:val="center"/>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种类</w:t>
                  </w:r>
                </w:p>
              </w:tc>
              <w:tc>
                <w:tcPr>
                  <w:tcW w:w="767" w:type="dxa"/>
                  <w:vMerge w:val="restart"/>
                  <w:tcBorders>
                    <w:tl2br w:val="nil"/>
                    <w:tr2bl w:val="nil"/>
                  </w:tcBorders>
                  <w:noWrap w:val="0"/>
                  <w:vAlign w:val="center"/>
                </w:tcPr>
                <w:p>
                  <w:pPr>
                    <w:widowControl/>
                    <w:adjustRightInd w:val="0"/>
                    <w:snapToGrid w:val="0"/>
                    <w:jc w:val="center"/>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污染源强核算（t/a）</w:t>
                  </w:r>
                </w:p>
              </w:tc>
              <w:tc>
                <w:tcPr>
                  <w:tcW w:w="3229" w:type="dxa"/>
                  <w:vMerge w:val="restart"/>
                  <w:tcBorders>
                    <w:tl2br w:val="nil"/>
                    <w:tr2bl w:val="nil"/>
                  </w:tcBorders>
                  <w:noWrap w:val="0"/>
                  <w:vAlign w:val="center"/>
                </w:tcPr>
                <w:p>
                  <w:pPr>
                    <w:widowControl/>
                    <w:adjustRightInd w:val="0"/>
                    <w:snapToGrid w:val="0"/>
                    <w:jc w:val="center"/>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源强核算依据</w:t>
                  </w:r>
                </w:p>
              </w:tc>
              <w:tc>
                <w:tcPr>
                  <w:tcW w:w="1159" w:type="dxa"/>
                  <w:vMerge w:val="restart"/>
                  <w:tcBorders>
                    <w:tl2br w:val="nil"/>
                    <w:tr2bl w:val="nil"/>
                  </w:tcBorders>
                  <w:noWrap w:val="0"/>
                  <w:vAlign w:val="center"/>
                </w:tcPr>
                <w:p>
                  <w:pPr>
                    <w:widowControl/>
                    <w:adjustRightInd w:val="0"/>
                    <w:snapToGrid w:val="0"/>
                    <w:jc w:val="center"/>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废气收集方式</w:t>
                  </w:r>
                </w:p>
              </w:tc>
              <w:tc>
                <w:tcPr>
                  <w:tcW w:w="848"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收集效率</w:t>
                  </w:r>
                </w:p>
                <w:p>
                  <w:pPr>
                    <w:adjustRightInd w:val="0"/>
                    <w:snapToGri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w:t>
                  </w:r>
                </w:p>
              </w:tc>
              <w:tc>
                <w:tcPr>
                  <w:tcW w:w="2737" w:type="dxa"/>
                  <w:gridSpan w:val="3"/>
                  <w:tcBorders>
                    <w:tl2br w:val="nil"/>
                    <w:tr2bl w:val="nil"/>
                  </w:tcBorders>
                  <w:noWrap w:val="0"/>
                  <w:vAlign w:val="center"/>
                </w:tcPr>
                <w:p>
                  <w:pPr>
                    <w:adjustRightInd w:val="0"/>
                    <w:snapToGri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治理措施</w:t>
                  </w:r>
                </w:p>
              </w:tc>
              <w:tc>
                <w:tcPr>
                  <w:tcW w:w="1088" w:type="dxa"/>
                  <w:gridSpan w:val="2"/>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处理能力（m</w:t>
                  </w:r>
                  <w:r>
                    <w:rPr>
                      <w:rFonts w:hint="default" w:ascii="Times New Roman" w:hAnsi="Times New Roman" w:cs="Times New Roman"/>
                      <w:b/>
                      <w:bCs/>
                      <w:color w:val="000000"/>
                      <w:sz w:val="21"/>
                      <w:szCs w:val="21"/>
                      <w:highlight w:val="none"/>
                      <w:vertAlign w:val="superscript"/>
                    </w:rPr>
                    <w:t>3</w:t>
                  </w:r>
                  <w:r>
                    <w:rPr>
                      <w:rFonts w:hint="default" w:ascii="Times New Roman" w:hAnsi="Times New Roman" w:cs="Times New Roman"/>
                      <w:b/>
                      <w:bCs/>
                      <w:color w:val="000000"/>
                      <w:sz w:val="21"/>
                      <w:szCs w:val="21"/>
                      <w:highlight w:val="none"/>
                    </w:rPr>
                    <w:t>/h）</w:t>
                  </w:r>
                </w:p>
              </w:tc>
              <w:tc>
                <w:tcPr>
                  <w:tcW w:w="1379" w:type="dxa"/>
                  <w:gridSpan w:val="2"/>
                  <w:tcBorders>
                    <w:tl2br w:val="nil"/>
                    <w:tr2bl w:val="nil"/>
                  </w:tcBorders>
                  <w:noWrap w:val="0"/>
                  <w:vAlign w:val="center"/>
                </w:tcPr>
                <w:p>
                  <w:pPr>
                    <w:adjustRightInd w:val="0"/>
                    <w:snapToGri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排放形式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0"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000000"/>
                      <w:sz w:val="21"/>
                      <w:szCs w:val="21"/>
                    </w:rPr>
                  </w:pPr>
                </w:p>
              </w:tc>
              <w:tc>
                <w:tcPr>
                  <w:tcW w:w="873"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000000"/>
                      <w:sz w:val="21"/>
                      <w:szCs w:val="21"/>
                    </w:rPr>
                  </w:pPr>
                </w:p>
              </w:tc>
              <w:tc>
                <w:tcPr>
                  <w:tcW w:w="750" w:type="dxa"/>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b/>
                      <w:bCs/>
                      <w:color w:val="000000"/>
                      <w:kern w:val="0"/>
                      <w:sz w:val="21"/>
                      <w:szCs w:val="21"/>
                    </w:rPr>
                  </w:pPr>
                </w:p>
              </w:tc>
              <w:tc>
                <w:tcPr>
                  <w:tcW w:w="767" w:type="dxa"/>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b/>
                      <w:bCs/>
                      <w:color w:val="000000"/>
                      <w:kern w:val="0"/>
                      <w:sz w:val="21"/>
                      <w:szCs w:val="21"/>
                    </w:rPr>
                  </w:pPr>
                </w:p>
              </w:tc>
              <w:tc>
                <w:tcPr>
                  <w:tcW w:w="3229" w:type="dxa"/>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b/>
                      <w:bCs/>
                      <w:color w:val="000000"/>
                      <w:kern w:val="0"/>
                      <w:sz w:val="21"/>
                      <w:szCs w:val="21"/>
                    </w:rPr>
                  </w:pPr>
                </w:p>
              </w:tc>
              <w:tc>
                <w:tcPr>
                  <w:tcW w:w="1159" w:type="dxa"/>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b/>
                      <w:bCs/>
                      <w:color w:val="000000"/>
                      <w:kern w:val="0"/>
                      <w:sz w:val="21"/>
                      <w:szCs w:val="21"/>
                    </w:rPr>
                  </w:pPr>
                </w:p>
              </w:tc>
              <w:tc>
                <w:tcPr>
                  <w:tcW w:w="848"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000000"/>
                      <w:sz w:val="21"/>
                      <w:szCs w:val="21"/>
                    </w:rPr>
                  </w:pPr>
                </w:p>
              </w:tc>
              <w:tc>
                <w:tcPr>
                  <w:tcW w:w="1105" w:type="dxa"/>
                  <w:tcBorders>
                    <w:tl2br w:val="nil"/>
                    <w:tr2bl w:val="nil"/>
                  </w:tcBorders>
                  <w:noWrap w:val="0"/>
                  <w:vAlign w:val="center"/>
                </w:tcPr>
                <w:p>
                  <w:pPr>
                    <w:adjustRightInd w:val="0"/>
                    <w:snapToGri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治理工艺</w:t>
                  </w:r>
                </w:p>
              </w:tc>
              <w:tc>
                <w:tcPr>
                  <w:tcW w:w="777" w:type="dxa"/>
                  <w:tcBorders>
                    <w:tl2br w:val="nil"/>
                    <w:tr2bl w:val="nil"/>
                  </w:tcBorders>
                  <w:noWrap w:val="0"/>
                  <w:vAlign w:val="center"/>
                </w:tcPr>
                <w:p>
                  <w:pPr>
                    <w:adjustRightInd w:val="0"/>
                    <w:snapToGri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去除效率（%）</w:t>
                  </w:r>
                </w:p>
              </w:tc>
              <w:tc>
                <w:tcPr>
                  <w:tcW w:w="855" w:type="dxa"/>
                  <w:tcBorders>
                    <w:tl2br w:val="nil"/>
                    <w:tr2bl w:val="nil"/>
                  </w:tcBorders>
                  <w:noWrap w:val="0"/>
                  <w:vAlign w:val="center"/>
                </w:tcPr>
                <w:p>
                  <w:pPr>
                    <w:adjustRightInd w:val="0"/>
                    <w:snapToGri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是否为可行技术</w:t>
                  </w:r>
                </w:p>
              </w:tc>
              <w:tc>
                <w:tcPr>
                  <w:tcW w:w="1088" w:type="dxa"/>
                  <w:gridSpan w:val="2"/>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000000"/>
                      <w:sz w:val="21"/>
                      <w:szCs w:val="21"/>
                    </w:rPr>
                  </w:pPr>
                </w:p>
              </w:tc>
              <w:tc>
                <w:tcPr>
                  <w:tcW w:w="735" w:type="dxa"/>
                  <w:tcBorders>
                    <w:tl2br w:val="nil"/>
                    <w:tr2bl w:val="nil"/>
                  </w:tcBorders>
                  <w:noWrap w:val="0"/>
                  <w:vAlign w:val="center"/>
                </w:tcPr>
                <w:p>
                  <w:pPr>
                    <w:adjustRightInd w:val="0"/>
                    <w:snapToGri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有组织</w:t>
                  </w:r>
                </w:p>
              </w:tc>
              <w:tc>
                <w:tcPr>
                  <w:tcW w:w="644" w:type="dxa"/>
                  <w:tcBorders>
                    <w:tl2br w:val="nil"/>
                    <w:tr2bl w:val="nil"/>
                  </w:tcBorders>
                  <w:noWrap w:val="0"/>
                  <w:vAlign w:val="center"/>
                </w:tcPr>
                <w:p>
                  <w:pPr>
                    <w:adjustRightInd w:val="0"/>
                    <w:snapToGrid w:val="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无组织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0" w:type="dxa"/>
                  <w:tcBorders>
                    <w:tl2br w:val="nil"/>
                    <w:tr2bl w:val="nil"/>
                  </w:tcBorders>
                  <w:noWrap w:val="0"/>
                  <w:vAlign w:val="center"/>
                </w:tcPr>
                <w:p>
                  <w:pPr>
                    <w:adjustRightInd w:val="0"/>
                    <w:snapToGrid w:val="0"/>
                    <w:jc w:val="center"/>
                    <w:rPr>
                      <w:rFonts w:hint="default" w:ascii="Times New Roman" w:hAnsi="Times New Roman" w:cs="Times New Roman"/>
                      <w:color w:val="000000"/>
                      <w:sz w:val="21"/>
                      <w:szCs w:val="21"/>
                      <w:lang w:val="en-US" w:eastAsia="zh-CN"/>
                    </w:rPr>
                  </w:pPr>
                  <w:bookmarkStart w:id="8" w:name="OLE_LINK3" w:colFirst="3" w:colLast="3"/>
                  <w:r>
                    <w:rPr>
                      <w:rFonts w:hint="eastAsia" w:cs="Times New Roman"/>
                      <w:color w:val="000000"/>
                      <w:sz w:val="21"/>
                      <w:szCs w:val="21"/>
                      <w:lang w:val="en-US" w:eastAsia="zh-CN"/>
                    </w:rPr>
                    <w:t>纸板分切、开槽</w:t>
                  </w:r>
                </w:p>
              </w:tc>
              <w:tc>
                <w:tcPr>
                  <w:tcW w:w="873" w:type="dxa"/>
                  <w:tcBorders>
                    <w:tl2br w:val="nil"/>
                    <w:tr2bl w:val="nil"/>
                  </w:tcBorders>
                  <w:noWrap w:val="0"/>
                  <w:vAlign w:val="center"/>
                </w:tcPr>
                <w:p>
                  <w:pPr>
                    <w:widowControl/>
                    <w:adjustRightInd w:val="0"/>
                    <w:snapToGrid w:val="0"/>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G</w:t>
                  </w:r>
                  <w:r>
                    <w:rPr>
                      <w:rFonts w:hint="eastAsia" w:ascii="Times New Roman" w:hAnsi="Times New Roman" w:eastAsia="宋体" w:cs="Times New Roman"/>
                      <w:color w:val="000000"/>
                      <w:sz w:val="21"/>
                      <w:szCs w:val="21"/>
                      <w:lang w:val="en-US" w:eastAsia="zh-CN"/>
                    </w:rPr>
                    <w:t>1</w:t>
                  </w:r>
                  <w:r>
                    <w:rPr>
                      <w:rFonts w:hint="eastAsia" w:cs="Times New Roman"/>
                      <w:color w:val="000000"/>
                      <w:sz w:val="21"/>
                      <w:szCs w:val="21"/>
                      <w:lang w:val="en-US" w:eastAsia="zh-CN"/>
                    </w:rPr>
                    <w:t>-1、</w:t>
                  </w:r>
                  <w:r>
                    <w:rPr>
                      <w:rFonts w:hint="default" w:ascii="Times New Roman" w:hAnsi="Times New Roman" w:eastAsia="宋体" w:cs="Times New Roman"/>
                      <w:color w:val="000000"/>
                      <w:sz w:val="21"/>
                      <w:szCs w:val="21"/>
                      <w:lang w:val="en-US" w:eastAsia="zh-CN"/>
                    </w:rPr>
                    <w:t>G</w:t>
                  </w:r>
                  <w:r>
                    <w:rPr>
                      <w:rFonts w:hint="eastAsia" w:ascii="Times New Roman" w:hAnsi="Times New Roman" w:eastAsia="宋体" w:cs="Times New Roman"/>
                      <w:color w:val="000000"/>
                      <w:sz w:val="21"/>
                      <w:szCs w:val="21"/>
                      <w:lang w:val="en-US" w:eastAsia="zh-CN"/>
                    </w:rPr>
                    <w:t>1</w:t>
                  </w:r>
                  <w:r>
                    <w:rPr>
                      <w:rFonts w:hint="eastAsia" w:cs="Times New Roman"/>
                      <w:color w:val="000000"/>
                      <w:sz w:val="21"/>
                      <w:szCs w:val="21"/>
                      <w:lang w:val="en-US" w:eastAsia="zh-CN"/>
                    </w:rPr>
                    <w:t>-2</w:t>
                  </w:r>
                </w:p>
              </w:tc>
              <w:tc>
                <w:tcPr>
                  <w:tcW w:w="750" w:type="dxa"/>
                  <w:tcBorders>
                    <w:tl2br w:val="nil"/>
                    <w:tr2bl w:val="nil"/>
                  </w:tcBorders>
                  <w:noWrap w:val="0"/>
                  <w:vAlign w:val="center"/>
                </w:tcPr>
                <w:p>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颗粒物</w:t>
                  </w:r>
                </w:p>
              </w:tc>
              <w:tc>
                <w:tcPr>
                  <w:tcW w:w="767"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微量</w:t>
                  </w:r>
                </w:p>
              </w:tc>
              <w:tc>
                <w:tcPr>
                  <w:tcW w:w="3229"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分切、开槽过程产生极少粉尘，不做定量分析</w:t>
                  </w:r>
                </w:p>
              </w:tc>
              <w:tc>
                <w:tcPr>
                  <w:tcW w:w="1159" w:type="dxa"/>
                  <w:tcBorders>
                    <w:tl2br w:val="nil"/>
                    <w:tr2bl w:val="nil"/>
                  </w:tcBorders>
                  <w:noWrap w:val="0"/>
                  <w:vAlign w:val="center"/>
                </w:tcPr>
                <w:p>
                  <w:pPr>
                    <w:widowControl/>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w:t>
                  </w:r>
                </w:p>
              </w:tc>
              <w:tc>
                <w:tcPr>
                  <w:tcW w:w="848"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w:t>
                  </w:r>
                </w:p>
              </w:tc>
              <w:tc>
                <w:tcPr>
                  <w:tcW w:w="1105"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车间通风</w:t>
                  </w:r>
                </w:p>
              </w:tc>
              <w:tc>
                <w:tcPr>
                  <w:tcW w:w="77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p>
              </w:tc>
              <w:tc>
                <w:tcPr>
                  <w:tcW w:w="85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c>
                <w:tcPr>
                  <w:tcW w:w="1088" w:type="dxa"/>
                  <w:gridSpan w:val="2"/>
                  <w:tcBorders>
                    <w:tl2br w:val="nil"/>
                    <w:tr2bl w:val="nil"/>
                  </w:tcBorders>
                  <w:noWrap w:val="0"/>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auto"/>
                      <w:kern w:val="0"/>
                      <w:sz w:val="21"/>
                      <w:szCs w:val="21"/>
                      <w:lang w:val="en-US" w:eastAsia="zh-CN"/>
                    </w:rPr>
                    <w:t>/</w:t>
                  </w:r>
                </w:p>
              </w:tc>
              <w:tc>
                <w:tcPr>
                  <w:tcW w:w="73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w:t>
                  </w:r>
                </w:p>
              </w:tc>
              <w:tc>
                <w:tcPr>
                  <w:tcW w:w="644" w:type="dxa"/>
                  <w:tcBorders>
                    <w:tl2br w:val="nil"/>
                    <w:tr2bl w:val="nil"/>
                  </w:tcBorders>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印刷</w:t>
                  </w:r>
                </w:p>
              </w:tc>
              <w:tc>
                <w:tcPr>
                  <w:tcW w:w="873" w:type="dxa"/>
                  <w:tcBorders>
                    <w:tl2br w:val="nil"/>
                    <w:tr2bl w:val="nil"/>
                  </w:tcBorders>
                  <w:noWrap w:val="0"/>
                  <w:vAlign w:val="center"/>
                </w:tcPr>
                <w:p>
                  <w:pPr>
                    <w:widowControl/>
                    <w:adjustRightInd w:val="0"/>
                    <w:snapToGrid w:val="0"/>
                    <w:ind w:firstLine="210" w:firstLineChars="100"/>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G</w:t>
                  </w:r>
                  <w:r>
                    <w:rPr>
                      <w:rFonts w:hint="eastAsia" w:ascii="Times New Roman" w:hAnsi="Times New Roman" w:eastAsia="宋体" w:cs="Times New Roman"/>
                      <w:color w:val="000000"/>
                      <w:sz w:val="21"/>
                      <w:szCs w:val="21"/>
                      <w:lang w:val="en-US" w:eastAsia="zh-CN"/>
                    </w:rPr>
                    <w:t>1</w:t>
                  </w:r>
                  <w:r>
                    <w:rPr>
                      <w:rFonts w:hint="eastAsia" w:cs="Times New Roman"/>
                      <w:color w:val="000000"/>
                      <w:sz w:val="21"/>
                      <w:szCs w:val="21"/>
                      <w:lang w:val="en-US" w:eastAsia="zh-CN"/>
                    </w:rPr>
                    <w:t>-3</w:t>
                  </w:r>
                </w:p>
              </w:tc>
              <w:tc>
                <w:tcPr>
                  <w:tcW w:w="750"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非甲烷总烃</w:t>
                  </w:r>
                </w:p>
              </w:tc>
              <w:tc>
                <w:tcPr>
                  <w:tcW w:w="767"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0.0</w:t>
                  </w:r>
                  <w:r>
                    <w:rPr>
                      <w:rFonts w:hint="eastAsia" w:ascii="Times New Roman" w:hAnsi="Times New Roman" w:eastAsia="宋体" w:cs="Times New Roman"/>
                      <w:color w:val="000000"/>
                      <w:kern w:val="0"/>
                      <w:sz w:val="21"/>
                      <w:szCs w:val="21"/>
                      <w:lang w:val="en-US" w:eastAsia="zh-CN"/>
                    </w:rPr>
                    <w:t>0</w:t>
                  </w:r>
                  <w:r>
                    <w:rPr>
                      <w:rFonts w:hint="eastAsia" w:cs="Times New Roman"/>
                      <w:color w:val="000000"/>
                      <w:kern w:val="0"/>
                      <w:sz w:val="21"/>
                      <w:szCs w:val="21"/>
                      <w:lang w:val="en-US" w:eastAsia="zh-CN"/>
                    </w:rPr>
                    <w:t>2</w:t>
                  </w:r>
                </w:p>
              </w:tc>
              <w:tc>
                <w:tcPr>
                  <w:tcW w:w="3229" w:type="dxa"/>
                  <w:tcBorders>
                    <w:tl2br w:val="nil"/>
                    <w:tr2bl w:val="nil"/>
                  </w:tcBorders>
                  <w:noWrap w:val="0"/>
                  <w:vAlign w:val="center"/>
                </w:tcPr>
                <w:p>
                  <w:pPr>
                    <w:widowControl/>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根据企业提供的</w:t>
                  </w:r>
                  <w:r>
                    <w:rPr>
                      <w:rFonts w:hint="eastAsia" w:ascii="Times New Roman" w:hAnsi="Times New Roman" w:cs="Times New Roman"/>
                      <w:color w:val="000000"/>
                      <w:sz w:val="21"/>
                      <w:szCs w:val="21"/>
                      <w:lang w:val="en-US" w:eastAsia="zh-CN"/>
                    </w:rPr>
                    <w:t>水性油墨</w:t>
                  </w:r>
                  <w:r>
                    <w:rPr>
                      <w:rFonts w:hint="default" w:ascii="Times New Roman" w:hAnsi="Times New Roman" w:cs="Times New Roman"/>
                      <w:color w:val="000000"/>
                      <w:sz w:val="21"/>
                      <w:szCs w:val="21"/>
                      <w:lang w:val="en-US" w:eastAsia="zh-CN"/>
                    </w:rPr>
                    <w:t>成分检测报告</w:t>
                  </w:r>
                  <w:r>
                    <w:rPr>
                      <w:rFonts w:hint="default" w:ascii="Times New Roman" w:hAnsi="Times New Roman" w:cs="Times New Roman"/>
                      <w:color w:val="000000"/>
                      <w:sz w:val="21"/>
                      <w:szCs w:val="21"/>
                    </w:rPr>
                    <w:t>可知，</w:t>
                  </w:r>
                  <w:r>
                    <w:rPr>
                      <w:rFonts w:hint="eastAsia" w:ascii="Times New Roman" w:hAnsi="Times New Roman" w:cs="Times New Roman"/>
                      <w:color w:val="000000"/>
                      <w:sz w:val="21"/>
                      <w:szCs w:val="21"/>
                      <w:lang w:val="en-US" w:eastAsia="zh-CN"/>
                    </w:rPr>
                    <w:t>水性油墨</w:t>
                  </w:r>
                  <w:r>
                    <w:rPr>
                      <w:rFonts w:hint="default" w:ascii="Times New Roman" w:hAnsi="Times New Roman" w:cs="Times New Roman"/>
                      <w:color w:val="000000"/>
                      <w:sz w:val="21"/>
                      <w:szCs w:val="21"/>
                    </w:rPr>
                    <w:t>中挥发性有机物含量</w:t>
                  </w:r>
                  <w:r>
                    <w:rPr>
                      <w:rFonts w:hint="eastAsia" w:cs="Times New Roman"/>
                      <w:color w:val="000000"/>
                      <w:sz w:val="21"/>
                      <w:szCs w:val="21"/>
                      <w:lang w:val="en-US" w:eastAsia="zh-CN"/>
                    </w:rPr>
                    <w:t>检出限</w:t>
                  </w:r>
                  <w:r>
                    <w:rPr>
                      <w:rFonts w:hint="eastAsia" w:ascii="Times New Roman" w:hAnsi="Times New Roman" w:cs="Times New Roman"/>
                      <w:color w:val="000000"/>
                      <w:sz w:val="21"/>
                      <w:szCs w:val="21"/>
                      <w:lang w:val="en-US" w:eastAsia="zh-CN"/>
                    </w:rPr>
                    <w:t>0.</w:t>
                  </w:r>
                  <w:r>
                    <w:rPr>
                      <w:rFonts w:hint="eastAsia" w:cs="Times New Roman"/>
                      <w:color w:val="000000"/>
                      <w:sz w:val="21"/>
                      <w:szCs w:val="21"/>
                      <w:lang w:val="en-US" w:eastAsia="zh-CN"/>
                    </w:rPr>
                    <w:t>1</w:t>
                  </w:r>
                  <w:r>
                    <w:rPr>
                      <w:rFonts w:hint="default" w:ascii="Times New Roman" w:hAnsi="Times New Roman" w:cs="Times New Roman"/>
                      <w:color w:val="000000"/>
                      <w:sz w:val="21"/>
                      <w:szCs w:val="21"/>
                      <w:lang w:val="en-US" w:eastAsia="zh-CN"/>
                    </w:rPr>
                    <w:t>%</w:t>
                  </w:r>
                </w:p>
              </w:tc>
              <w:tc>
                <w:tcPr>
                  <w:tcW w:w="1159" w:type="dxa"/>
                  <w:vMerge w:val="restart"/>
                  <w:tcBorders>
                    <w:tl2br w:val="nil"/>
                    <w:tr2bl w:val="nil"/>
                  </w:tcBorders>
                  <w:noWrap w:val="0"/>
                  <w:vAlign w:val="center"/>
                </w:tcPr>
                <w:p>
                  <w:pPr>
                    <w:widowControl/>
                    <w:adjustRightInd w:val="0"/>
                    <w:snapToGrid w:val="0"/>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sz w:val="21"/>
                      <w:szCs w:val="21"/>
                      <w:lang w:val="en-US" w:eastAsia="zh-CN"/>
                    </w:rPr>
                    <w:t>集气罩</w:t>
                  </w:r>
                </w:p>
              </w:tc>
              <w:tc>
                <w:tcPr>
                  <w:tcW w:w="848"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80</w:t>
                  </w:r>
                </w:p>
              </w:tc>
              <w:tc>
                <w:tcPr>
                  <w:tcW w:w="1105" w:type="dxa"/>
                  <w:vMerge w:val="restart"/>
                  <w:tcBorders>
                    <w:tl2br w:val="nil"/>
                    <w:tr2bl w:val="nil"/>
                  </w:tcBorders>
                  <w:noWrap w:val="0"/>
                  <w:vAlign w:val="center"/>
                </w:tcPr>
                <w:p>
                  <w:pPr>
                    <w:widowControl/>
                    <w:adjustRightInd w:val="0"/>
                    <w:snapToGrid w:val="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sz w:val="21"/>
                      <w:szCs w:val="21"/>
                    </w:rPr>
                    <w:t>二级活性炭吸附装置</w:t>
                  </w:r>
                </w:p>
              </w:tc>
              <w:tc>
                <w:tcPr>
                  <w:tcW w:w="777" w:type="dxa"/>
                  <w:vMerge w:val="restart"/>
                  <w:tcBorders>
                    <w:tl2br w:val="nil"/>
                    <w:tr2bl w:val="nil"/>
                  </w:tcBorders>
                  <w:noWrap w:val="0"/>
                  <w:vAlign w:val="center"/>
                </w:tcPr>
                <w:p>
                  <w:pPr>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90</w:t>
                  </w:r>
                </w:p>
              </w:tc>
              <w:tc>
                <w:tcPr>
                  <w:tcW w:w="855" w:type="dxa"/>
                  <w:vMerge w:val="restart"/>
                  <w:tcBorders>
                    <w:tl2br w:val="nil"/>
                    <w:tr2bl w:val="nil"/>
                  </w:tcBorders>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是</w:t>
                  </w:r>
                </w:p>
              </w:tc>
              <w:tc>
                <w:tcPr>
                  <w:tcW w:w="54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3600</w:t>
                  </w:r>
                </w:p>
              </w:tc>
              <w:tc>
                <w:tcPr>
                  <w:tcW w:w="544" w:type="dxa"/>
                  <w:vMerge w:val="restart"/>
                  <w:tcBorders>
                    <w:tl2br w:val="nil"/>
                    <w:tr2bl w:val="nil"/>
                  </w:tcBorders>
                  <w:noWrap w:val="0"/>
                  <w:vAlign w:val="center"/>
                </w:tcPr>
                <w:p>
                  <w:pPr>
                    <w:adjustRightInd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7000</w:t>
                  </w:r>
                </w:p>
              </w:tc>
              <w:tc>
                <w:tcPr>
                  <w:tcW w:w="735" w:type="dxa"/>
                  <w:tcBorders>
                    <w:tl2br w:val="nil"/>
                    <w:tr2bl w:val="nil"/>
                  </w:tcBorders>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c>
                <w:tcPr>
                  <w:tcW w:w="644" w:type="dxa"/>
                  <w:tcBorders>
                    <w:tl2br w:val="nil"/>
                    <w:tr2bl w:val="nil"/>
                  </w:tcBorders>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胶黏</w:t>
                  </w:r>
                </w:p>
              </w:tc>
              <w:tc>
                <w:tcPr>
                  <w:tcW w:w="873"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w:t>
                  </w:r>
                  <w:r>
                    <w:rPr>
                      <w:rFonts w:hint="eastAsia" w:cs="Times New Roman"/>
                      <w:color w:val="auto"/>
                      <w:sz w:val="21"/>
                      <w:szCs w:val="21"/>
                      <w:lang w:val="en-US" w:eastAsia="zh-CN"/>
                    </w:rPr>
                    <w:t>1-4</w:t>
                  </w:r>
                </w:p>
              </w:tc>
              <w:tc>
                <w:tcPr>
                  <w:tcW w:w="750"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sz w:val="21"/>
                      <w:szCs w:val="21"/>
                      <w:lang w:val="en-US" w:eastAsia="zh-CN"/>
                    </w:rPr>
                    <w:t>非甲烷总烃</w:t>
                  </w:r>
                </w:p>
              </w:tc>
              <w:tc>
                <w:tcPr>
                  <w:tcW w:w="767"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0.0</w:t>
                  </w:r>
                  <w:r>
                    <w:rPr>
                      <w:rFonts w:hint="eastAsia" w:cs="Times New Roman"/>
                      <w:color w:val="auto"/>
                      <w:kern w:val="0"/>
                      <w:sz w:val="21"/>
                      <w:szCs w:val="21"/>
                      <w:lang w:val="en-US" w:eastAsia="zh-CN"/>
                    </w:rPr>
                    <w:t>1</w:t>
                  </w:r>
                </w:p>
              </w:tc>
              <w:tc>
                <w:tcPr>
                  <w:tcW w:w="3229" w:type="dxa"/>
                  <w:tcBorders>
                    <w:tl2br w:val="nil"/>
                    <w:tr2bl w:val="nil"/>
                  </w:tcBorders>
                  <w:noWrap w:val="0"/>
                  <w:vAlign w:val="center"/>
                </w:tcPr>
                <w:p>
                  <w:pPr>
                    <w:widowControl/>
                    <w:adjustRightInd w:val="0"/>
                    <w:snapToGrid w:val="0"/>
                    <w:jc w:val="center"/>
                    <w:rPr>
                      <w:rFonts w:hint="default" w:ascii="Times New Roman" w:hAnsi="Times New Roman" w:cs="Times New Roman"/>
                      <w:color w:val="FF0000"/>
                      <w:sz w:val="21"/>
                      <w:szCs w:val="21"/>
                    </w:rPr>
                  </w:pPr>
                  <w:r>
                    <w:rPr>
                      <w:rFonts w:hint="eastAsia" w:ascii="Times New Roman" w:hAnsi="Times New Roman"/>
                      <w:color w:val="auto"/>
                      <w:sz w:val="21"/>
                      <w:szCs w:val="21"/>
                    </w:rPr>
                    <w:t>根据企业提供的</w:t>
                  </w:r>
                  <w:r>
                    <w:rPr>
                      <w:rFonts w:hint="eastAsia" w:ascii="Times New Roman" w:hAnsi="Times New Roman"/>
                      <w:color w:val="auto"/>
                      <w:sz w:val="21"/>
                      <w:szCs w:val="21"/>
                      <w:lang w:val="en-US" w:eastAsia="zh-CN"/>
                    </w:rPr>
                    <w:t>白乳胶</w:t>
                  </w:r>
                  <w:r>
                    <w:rPr>
                      <w:rFonts w:hint="eastAsia" w:ascii="Times New Roman" w:hAnsi="Times New Roman"/>
                      <w:color w:val="auto"/>
                      <w:sz w:val="21"/>
                      <w:szCs w:val="21"/>
                    </w:rPr>
                    <w:t>检测报告可知</w:t>
                  </w:r>
                  <w:r>
                    <w:rPr>
                      <w:rFonts w:hint="eastAsia" w:ascii="Times New Roman" w:hAnsi="Times New Roman"/>
                      <w:color w:val="auto"/>
                      <w:sz w:val="21"/>
                      <w:szCs w:val="21"/>
                      <w:lang w:eastAsia="zh-CN"/>
                    </w:rPr>
                    <w:t>，</w:t>
                  </w:r>
                  <w:r>
                    <w:rPr>
                      <w:rFonts w:hint="default" w:ascii="Times New Roman" w:hAnsi="Times New Roman" w:cs="Times New Roman"/>
                      <w:color w:val="auto"/>
                      <w:sz w:val="21"/>
                      <w:szCs w:val="21"/>
                      <w:highlight w:val="none"/>
                    </w:rPr>
                    <w:t>挥发性有机物含量</w:t>
                  </w:r>
                  <w:r>
                    <w:rPr>
                      <w:rFonts w:hint="eastAsia" w:ascii="Times New Roman" w:hAnsi="Times New Roman"/>
                      <w:color w:val="auto"/>
                      <w:sz w:val="21"/>
                      <w:szCs w:val="21"/>
                    </w:rPr>
                    <w:t>为</w:t>
                  </w:r>
                  <w:r>
                    <w:rPr>
                      <w:rFonts w:hint="eastAsia"/>
                      <w:color w:val="auto"/>
                      <w:sz w:val="21"/>
                      <w:szCs w:val="21"/>
                      <w:lang w:val="en-US" w:eastAsia="zh-CN"/>
                    </w:rPr>
                    <w:t>41</w:t>
                  </w:r>
                  <w:r>
                    <w:rPr>
                      <w:rFonts w:hint="eastAsia" w:ascii="Times New Roman" w:hAnsi="Times New Roman"/>
                      <w:color w:val="auto"/>
                      <w:sz w:val="21"/>
                      <w:szCs w:val="21"/>
                    </w:rPr>
                    <w:t>g/L</w:t>
                  </w:r>
                </w:p>
              </w:tc>
              <w:tc>
                <w:tcPr>
                  <w:tcW w:w="1159" w:type="dxa"/>
                  <w:vMerge w:val="continue"/>
                  <w:tcBorders>
                    <w:tl2br w:val="nil"/>
                    <w:tr2bl w:val="nil"/>
                  </w:tcBorders>
                  <w:noWrap w:val="0"/>
                  <w:vAlign w:val="center"/>
                </w:tcPr>
                <w:p>
                  <w:pPr>
                    <w:widowControl/>
                    <w:adjustRightInd w:val="0"/>
                    <w:snapToGrid w:val="0"/>
                    <w:jc w:val="center"/>
                    <w:rPr>
                      <w:rFonts w:hint="eastAsia" w:ascii="Times New Roman" w:hAnsi="Times New Roman" w:eastAsia="宋体" w:cs="Times New Roman"/>
                      <w:color w:val="auto"/>
                      <w:kern w:val="0"/>
                      <w:sz w:val="21"/>
                      <w:szCs w:val="21"/>
                      <w:lang w:eastAsia="zh-CN"/>
                    </w:rPr>
                  </w:pPr>
                </w:p>
              </w:tc>
              <w:tc>
                <w:tcPr>
                  <w:tcW w:w="848"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p>
              </w:tc>
              <w:tc>
                <w:tcPr>
                  <w:tcW w:w="1105" w:type="dxa"/>
                  <w:vMerge w:val="continue"/>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rPr>
                  </w:pPr>
                </w:p>
              </w:tc>
              <w:tc>
                <w:tcPr>
                  <w:tcW w:w="777"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1"/>
                      <w:szCs w:val="21"/>
                      <w:highlight w:val="none"/>
                      <w:lang w:eastAsia="zh-CN"/>
                    </w:rPr>
                  </w:pPr>
                </w:p>
              </w:tc>
              <w:tc>
                <w:tcPr>
                  <w:tcW w:w="855"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1"/>
                      <w:szCs w:val="21"/>
                      <w:lang w:eastAsia="zh-CN"/>
                    </w:rPr>
                  </w:pPr>
                </w:p>
              </w:tc>
              <w:tc>
                <w:tcPr>
                  <w:tcW w:w="54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2200</w:t>
                  </w:r>
                </w:p>
              </w:tc>
              <w:tc>
                <w:tcPr>
                  <w:tcW w:w="544"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p>
              </w:tc>
              <w:tc>
                <w:tcPr>
                  <w:tcW w:w="735"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w:t>
                  </w:r>
                </w:p>
              </w:tc>
              <w:tc>
                <w:tcPr>
                  <w:tcW w:w="644" w:type="dxa"/>
                  <w:tcBorders>
                    <w:tl2br w:val="nil"/>
                    <w:tr2bl w:val="nil"/>
                  </w:tcBorders>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0"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成型</w:t>
                  </w:r>
                </w:p>
              </w:tc>
              <w:tc>
                <w:tcPr>
                  <w:tcW w:w="873"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G3-1</w:t>
                  </w:r>
                </w:p>
              </w:tc>
              <w:tc>
                <w:tcPr>
                  <w:tcW w:w="750" w:type="dxa"/>
                  <w:tcBorders>
                    <w:tl2br w:val="nil"/>
                    <w:tr2bl w:val="nil"/>
                  </w:tcBorders>
                  <w:noWrap w:val="0"/>
                  <w:vAlign w:val="center"/>
                </w:tcPr>
                <w:p>
                  <w:pPr>
                    <w:widowControl/>
                    <w:adjustRightInd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非甲烷总烃</w:t>
                  </w:r>
                </w:p>
              </w:tc>
              <w:tc>
                <w:tcPr>
                  <w:tcW w:w="767"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0.0016</w:t>
                  </w:r>
                </w:p>
              </w:tc>
              <w:tc>
                <w:tcPr>
                  <w:tcW w:w="3229" w:type="dxa"/>
                  <w:tcBorders>
                    <w:tl2br w:val="nil"/>
                    <w:tr2bl w:val="nil"/>
                  </w:tcBorders>
                  <w:noWrap w:val="0"/>
                  <w:vAlign w:val="center"/>
                </w:tcPr>
                <w:p>
                  <w:pPr>
                    <w:widowControl/>
                    <w:adjustRightInd w:val="0"/>
                    <w:snapToGrid w:val="0"/>
                    <w:jc w:val="center"/>
                    <w:rPr>
                      <w:rFonts w:hint="eastAsia" w:ascii="Times New Roman" w:hAnsi="Times New Roman"/>
                      <w:color w:val="auto"/>
                      <w:sz w:val="21"/>
                      <w:szCs w:val="21"/>
                    </w:rPr>
                  </w:pPr>
                  <w:r>
                    <w:rPr>
                      <w:rFonts w:hint="eastAsia" w:ascii="Times New Roman" w:hAnsi="Times New Roman"/>
                      <w:color w:val="auto"/>
                      <w:sz w:val="21"/>
                      <w:szCs w:val="21"/>
                    </w:rPr>
                    <w:t>根据企业提供的</w:t>
                  </w:r>
                  <w:r>
                    <w:rPr>
                      <w:rFonts w:hint="eastAsia" w:ascii="Times New Roman" w:hAnsi="Times New Roman"/>
                      <w:color w:val="auto"/>
                      <w:sz w:val="21"/>
                      <w:szCs w:val="21"/>
                      <w:lang w:val="en-US" w:eastAsia="zh-CN"/>
                    </w:rPr>
                    <w:t>热熔胶</w:t>
                  </w:r>
                  <w:r>
                    <w:rPr>
                      <w:rFonts w:hint="eastAsia" w:ascii="Times New Roman" w:hAnsi="Times New Roman"/>
                      <w:color w:val="auto"/>
                      <w:sz w:val="21"/>
                      <w:szCs w:val="21"/>
                    </w:rPr>
                    <w:t>检测报告可知</w:t>
                  </w:r>
                  <w:r>
                    <w:rPr>
                      <w:rFonts w:hint="eastAsia" w:ascii="Times New Roman" w:hAnsi="Times New Roman"/>
                      <w:color w:val="auto"/>
                      <w:sz w:val="21"/>
                      <w:szCs w:val="21"/>
                      <w:lang w:eastAsia="zh-CN"/>
                    </w:rPr>
                    <w:t>，</w:t>
                  </w:r>
                  <w:r>
                    <w:rPr>
                      <w:rFonts w:hint="default" w:ascii="Times New Roman" w:hAnsi="Times New Roman" w:cs="Times New Roman"/>
                      <w:color w:val="auto"/>
                      <w:sz w:val="21"/>
                      <w:szCs w:val="21"/>
                      <w:highlight w:val="none"/>
                    </w:rPr>
                    <w:t>挥发性有机物含量</w:t>
                  </w:r>
                  <w:r>
                    <w:rPr>
                      <w:rFonts w:hint="eastAsia" w:ascii="Times New Roman" w:hAnsi="Times New Roman"/>
                      <w:color w:val="auto"/>
                      <w:sz w:val="21"/>
                      <w:szCs w:val="21"/>
                    </w:rPr>
                    <w:t>为</w:t>
                  </w:r>
                  <w:r>
                    <w:rPr>
                      <w:rFonts w:hint="eastAsia"/>
                      <w:color w:val="auto"/>
                      <w:sz w:val="21"/>
                      <w:szCs w:val="21"/>
                      <w:lang w:val="en-US" w:eastAsia="zh-CN"/>
                    </w:rPr>
                    <w:t>3</w:t>
                  </w:r>
                  <w:r>
                    <w:rPr>
                      <w:rFonts w:hint="eastAsia" w:ascii="Times New Roman" w:hAnsi="Times New Roman"/>
                      <w:color w:val="auto"/>
                      <w:sz w:val="21"/>
                      <w:szCs w:val="21"/>
                    </w:rPr>
                    <w:t>g/L</w:t>
                  </w:r>
                </w:p>
              </w:tc>
              <w:tc>
                <w:tcPr>
                  <w:tcW w:w="1159" w:type="dxa"/>
                  <w:vMerge w:val="continue"/>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rPr>
                  </w:pPr>
                </w:p>
              </w:tc>
              <w:tc>
                <w:tcPr>
                  <w:tcW w:w="848"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p>
              </w:tc>
              <w:tc>
                <w:tcPr>
                  <w:tcW w:w="1105" w:type="dxa"/>
                  <w:vMerge w:val="continue"/>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rPr>
                  </w:pPr>
                </w:p>
              </w:tc>
              <w:tc>
                <w:tcPr>
                  <w:tcW w:w="777"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855"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p>
              </w:tc>
              <w:tc>
                <w:tcPr>
                  <w:tcW w:w="54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1200</w:t>
                  </w:r>
                </w:p>
              </w:tc>
              <w:tc>
                <w:tcPr>
                  <w:tcW w:w="544"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p>
              </w:tc>
              <w:tc>
                <w:tcPr>
                  <w:tcW w:w="735"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w:t>
                  </w:r>
                </w:p>
              </w:tc>
              <w:tc>
                <w:tcPr>
                  <w:tcW w:w="644" w:type="dxa"/>
                  <w:tcBorders>
                    <w:tl2br w:val="nil"/>
                    <w:tr2bl w:val="nil"/>
                  </w:tcBorders>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0"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塑料分切</w:t>
                  </w:r>
                </w:p>
              </w:tc>
              <w:tc>
                <w:tcPr>
                  <w:tcW w:w="873"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G3-1</w:t>
                  </w:r>
                </w:p>
              </w:tc>
              <w:tc>
                <w:tcPr>
                  <w:tcW w:w="750" w:type="dxa"/>
                  <w:tcBorders>
                    <w:tl2br w:val="nil"/>
                    <w:tr2bl w:val="nil"/>
                  </w:tcBorders>
                  <w:noWrap w:val="0"/>
                  <w:vAlign w:val="center"/>
                </w:tcPr>
                <w:p>
                  <w:pPr>
                    <w:widowControl/>
                    <w:adjustRightInd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颗粒物</w:t>
                  </w:r>
                </w:p>
              </w:tc>
              <w:tc>
                <w:tcPr>
                  <w:tcW w:w="767"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微量</w:t>
                  </w:r>
                </w:p>
              </w:tc>
              <w:tc>
                <w:tcPr>
                  <w:tcW w:w="3229" w:type="dxa"/>
                  <w:tcBorders>
                    <w:tl2br w:val="nil"/>
                    <w:tr2bl w:val="nil"/>
                  </w:tcBorders>
                  <w:noWrap w:val="0"/>
                  <w:vAlign w:val="center"/>
                </w:tcPr>
                <w:p>
                  <w:pPr>
                    <w:widowControl/>
                    <w:adjustRightInd w:val="0"/>
                    <w:snapToGrid w:val="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分切过程产生极少粉尘，不做定量分析</w:t>
                  </w:r>
                </w:p>
              </w:tc>
              <w:tc>
                <w:tcPr>
                  <w:tcW w:w="1159"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84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1105"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车间通风</w:t>
                  </w:r>
                </w:p>
              </w:tc>
              <w:tc>
                <w:tcPr>
                  <w:tcW w:w="77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85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88"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735"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c>
                <w:tcPr>
                  <w:tcW w:w="644" w:type="dxa"/>
                  <w:tcBorders>
                    <w:tl2br w:val="nil"/>
                    <w:tr2bl w:val="nil"/>
                  </w:tcBorders>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0" w:type="dxa"/>
                  <w:tcBorders>
                    <w:tl2br w:val="nil"/>
                    <w:tr2bl w:val="nil"/>
                  </w:tcBorders>
                  <w:noWrap w:val="0"/>
                  <w:vAlign w:val="center"/>
                </w:tcPr>
                <w:p>
                  <w:pPr>
                    <w:adjustRightInd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危废贮存点</w:t>
                  </w:r>
                </w:p>
              </w:tc>
              <w:tc>
                <w:tcPr>
                  <w:tcW w:w="873" w:type="dxa"/>
                  <w:tcBorders>
                    <w:tl2br w:val="nil"/>
                    <w:tr2bl w:val="nil"/>
                  </w:tcBorders>
                  <w:noWrap w:val="0"/>
                  <w:vAlign w:val="center"/>
                </w:tcPr>
                <w:p>
                  <w:pPr>
                    <w:widowControl/>
                    <w:adjustRightInd w:val="0"/>
                    <w:snapToGrid w:val="0"/>
                    <w:jc w:val="center"/>
                    <w:rPr>
                      <w:rFonts w:hint="eastAsia" w:cs="Times New Roman"/>
                      <w:color w:val="auto"/>
                      <w:sz w:val="21"/>
                      <w:szCs w:val="21"/>
                      <w:lang w:val="en-US" w:eastAsia="zh-CN"/>
                    </w:rPr>
                  </w:pPr>
                  <w:r>
                    <w:rPr>
                      <w:rFonts w:hint="eastAsia" w:ascii="Times New Roman" w:hAnsi="Times New Roman" w:eastAsia="宋体" w:cs="Times New Roman"/>
                      <w:color w:val="000000"/>
                      <w:sz w:val="21"/>
                      <w:szCs w:val="21"/>
                      <w:lang w:val="en-US" w:eastAsia="zh-CN"/>
                    </w:rPr>
                    <w:t>G</w:t>
                  </w:r>
                  <w:r>
                    <w:rPr>
                      <w:rFonts w:hint="eastAsia" w:cs="Times New Roman"/>
                      <w:color w:val="000000"/>
                      <w:sz w:val="21"/>
                      <w:szCs w:val="21"/>
                      <w:lang w:val="en-US" w:eastAsia="zh-CN"/>
                    </w:rPr>
                    <w:t>4</w:t>
                  </w:r>
                </w:p>
              </w:tc>
              <w:tc>
                <w:tcPr>
                  <w:tcW w:w="750" w:type="dxa"/>
                  <w:tcBorders>
                    <w:tl2br w:val="nil"/>
                    <w:tr2bl w:val="nil"/>
                  </w:tcBorders>
                  <w:noWrap w:val="0"/>
                  <w:vAlign w:val="center"/>
                </w:tcPr>
                <w:p>
                  <w:pPr>
                    <w:widowControl/>
                    <w:adjustRightInd w:val="0"/>
                    <w:snapToGrid w:val="0"/>
                    <w:jc w:val="center"/>
                    <w:rPr>
                      <w:rFonts w:hint="eastAsia" w:cs="Times New Roman"/>
                      <w:color w:val="auto"/>
                      <w:sz w:val="21"/>
                      <w:szCs w:val="21"/>
                      <w:lang w:val="en-US" w:eastAsia="zh-CN"/>
                    </w:rPr>
                  </w:pPr>
                  <w:r>
                    <w:rPr>
                      <w:rFonts w:hint="eastAsia" w:cs="Times New Roman"/>
                      <w:color w:val="000000"/>
                      <w:sz w:val="21"/>
                      <w:szCs w:val="21"/>
                      <w:lang w:val="en-US" w:eastAsia="zh-CN"/>
                    </w:rPr>
                    <w:t>非甲烷总烃</w:t>
                  </w:r>
                </w:p>
              </w:tc>
              <w:tc>
                <w:tcPr>
                  <w:tcW w:w="767" w:type="dxa"/>
                  <w:tcBorders>
                    <w:tl2br w:val="nil"/>
                    <w:tr2bl w:val="nil"/>
                  </w:tcBorders>
                  <w:noWrap w:val="0"/>
                  <w:vAlign w:val="center"/>
                </w:tcPr>
                <w:p>
                  <w:pPr>
                    <w:widowControl/>
                    <w:adjustRightInd w:val="0"/>
                    <w:snapToGrid w:val="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微量</w:t>
                  </w:r>
                </w:p>
              </w:tc>
              <w:tc>
                <w:tcPr>
                  <w:tcW w:w="3229" w:type="dxa"/>
                  <w:tcBorders>
                    <w:tl2br w:val="nil"/>
                    <w:tr2bl w:val="nil"/>
                  </w:tcBorders>
                  <w:noWrap w:val="0"/>
                  <w:vAlign w:val="center"/>
                </w:tcPr>
                <w:p>
                  <w:pPr>
                    <w:widowControl/>
                    <w:adjustRightInd w:val="0"/>
                    <w:snapToGrid w:val="0"/>
                    <w:jc w:val="center"/>
                    <w:rPr>
                      <w:rFonts w:hint="eastAsia"/>
                      <w:color w:val="auto"/>
                      <w:sz w:val="21"/>
                      <w:szCs w:val="21"/>
                      <w:lang w:val="en-US" w:eastAsia="zh-CN"/>
                    </w:rPr>
                  </w:pPr>
                  <w:r>
                    <w:rPr>
                      <w:rFonts w:hint="eastAsia" w:ascii="Times New Roman" w:hAnsi="Times New Roman"/>
                      <w:color w:val="auto"/>
                      <w:sz w:val="21"/>
                      <w:szCs w:val="21"/>
                      <w:lang w:val="en-US" w:eastAsia="zh-CN"/>
                    </w:rPr>
                    <w:t>危废废物均采用包装桶或包装袋密闭储存，极少有废气排放，不做定量计算</w:t>
                  </w:r>
                  <w:r>
                    <w:rPr>
                      <w:rFonts w:hint="eastAsia"/>
                      <w:color w:val="auto"/>
                      <w:sz w:val="21"/>
                      <w:szCs w:val="21"/>
                      <w:lang w:val="en-US" w:eastAsia="zh-CN"/>
                    </w:rPr>
                    <w:t>。</w:t>
                  </w:r>
                </w:p>
              </w:tc>
              <w:tc>
                <w:tcPr>
                  <w:tcW w:w="1159" w:type="dxa"/>
                  <w:tcBorders>
                    <w:tl2br w:val="nil"/>
                    <w:tr2bl w:val="nil"/>
                  </w:tcBorders>
                  <w:noWrap w:val="0"/>
                  <w:vAlign w:val="center"/>
                </w:tcPr>
                <w:p>
                  <w:pPr>
                    <w:widowControl/>
                    <w:adjustRightInd w:val="0"/>
                    <w:snapToGrid w:val="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w:t>
                  </w:r>
                </w:p>
              </w:tc>
              <w:tc>
                <w:tcPr>
                  <w:tcW w:w="848" w:type="dxa"/>
                  <w:tcBorders>
                    <w:tl2br w:val="nil"/>
                    <w:tr2bl w:val="nil"/>
                  </w:tcBorders>
                  <w:noWrap w:val="0"/>
                  <w:vAlign w:val="center"/>
                </w:tcPr>
                <w:p>
                  <w:pPr>
                    <w:adjustRightInd w:val="0"/>
                    <w:snapToGrid w:val="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w:t>
                  </w:r>
                </w:p>
              </w:tc>
              <w:tc>
                <w:tcPr>
                  <w:tcW w:w="1105" w:type="dxa"/>
                  <w:tcBorders>
                    <w:tl2br w:val="nil"/>
                    <w:tr2bl w:val="nil"/>
                  </w:tcBorders>
                  <w:noWrap w:val="0"/>
                  <w:vAlign w:val="center"/>
                </w:tcPr>
                <w:p>
                  <w:pPr>
                    <w:widowControl/>
                    <w:adjustRightInd w:val="0"/>
                    <w:snapToGrid w:val="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车间通风</w:t>
                  </w:r>
                </w:p>
              </w:tc>
              <w:tc>
                <w:tcPr>
                  <w:tcW w:w="777" w:type="dxa"/>
                  <w:tcBorders>
                    <w:tl2br w:val="nil"/>
                    <w:tr2bl w:val="nil"/>
                  </w:tcBorders>
                  <w:noWrap w:val="0"/>
                  <w:vAlign w:val="center"/>
                </w:tcPr>
                <w:p>
                  <w:pPr>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855" w:type="dxa"/>
                  <w:tcBorders>
                    <w:tl2br w:val="nil"/>
                    <w:tr2bl w:val="nil"/>
                  </w:tcBorders>
                  <w:noWrap w:val="0"/>
                  <w:vAlign w:val="center"/>
                </w:tcPr>
                <w:p>
                  <w:pPr>
                    <w:adjustRightInd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1088" w:type="dxa"/>
                  <w:gridSpan w:val="2"/>
                  <w:tcBorders>
                    <w:tl2br w:val="nil"/>
                    <w:tr2bl w:val="nil"/>
                  </w:tcBorders>
                  <w:noWrap w:val="0"/>
                  <w:vAlign w:val="center"/>
                </w:tcPr>
                <w:p>
                  <w:pPr>
                    <w:adjustRightInd w:val="0"/>
                    <w:snapToGrid w:val="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w:t>
                  </w:r>
                </w:p>
              </w:tc>
              <w:tc>
                <w:tcPr>
                  <w:tcW w:w="735" w:type="dxa"/>
                  <w:tcBorders>
                    <w:tl2br w:val="nil"/>
                    <w:tr2bl w:val="nil"/>
                  </w:tcBorders>
                  <w:noWrap w:val="0"/>
                  <w:vAlign w:val="center"/>
                </w:tcPr>
                <w:p>
                  <w:pPr>
                    <w:adjustRightInd w:val="0"/>
                    <w:snapToGrid w:val="0"/>
                    <w:jc w:val="center"/>
                    <w:rPr>
                      <w:rFonts w:hint="eastAsia" w:eastAsia="宋体" w:cs="Times New Roman"/>
                      <w:color w:val="000000"/>
                      <w:sz w:val="21"/>
                      <w:szCs w:val="21"/>
                      <w:lang w:val="en-US" w:eastAsia="zh-CN"/>
                    </w:rPr>
                  </w:pPr>
                  <w:r>
                    <w:rPr>
                      <w:rFonts w:hint="eastAsia" w:cs="Times New Roman"/>
                      <w:color w:val="000000"/>
                      <w:sz w:val="21"/>
                      <w:szCs w:val="21"/>
                      <w:lang w:val="en-US" w:eastAsia="zh-CN"/>
                    </w:rPr>
                    <w:t>/</w:t>
                  </w:r>
                </w:p>
              </w:tc>
              <w:tc>
                <w:tcPr>
                  <w:tcW w:w="644" w:type="dxa"/>
                  <w:tcBorders>
                    <w:tl2br w:val="nil"/>
                    <w:tr2bl w:val="nil"/>
                  </w:tcBorders>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60"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下料、板材加工、配件加工</w:t>
                  </w:r>
                </w:p>
              </w:tc>
              <w:tc>
                <w:tcPr>
                  <w:tcW w:w="873" w:type="dxa"/>
                  <w:tcBorders>
                    <w:tl2br w:val="nil"/>
                    <w:tr2bl w:val="nil"/>
                  </w:tcBorders>
                  <w:noWrap w:val="0"/>
                  <w:vAlign w:val="center"/>
                </w:tcPr>
                <w:p>
                  <w:pPr>
                    <w:widowControl/>
                    <w:adjustRightInd w:val="0"/>
                    <w:snapToGrid w:val="0"/>
                    <w:ind w:left="210" w:hanging="210" w:hangingChars="100"/>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 xml:space="preserve">  G2-1、</w:t>
                  </w:r>
                  <w:r>
                    <w:rPr>
                      <w:rFonts w:hint="eastAsia" w:ascii="Times New Roman" w:hAnsi="Times New Roman" w:eastAsia="宋体" w:cs="Times New Roman"/>
                      <w:color w:val="auto"/>
                      <w:sz w:val="21"/>
                      <w:szCs w:val="21"/>
                      <w:lang w:val="en-US" w:eastAsia="zh-CN"/>
                    </w:rPr>
                    <w:t>G2</w:t>
                  </w:r>
                  <w:r>
                    <w:rPr>
                      <w:rFonts w:hint="eastAsia" w:cs="Times New Roman"/>
                      <w:color w:val="auto"/>
                      <w:sz w:val="21"/>
                      <w:szCs w:val="21"/>
                      <w:lang w:val="en-US" w:eastAsia="zh-CN"/>
                    </w:rPr>
                    <w:t>-2</w:t>
                  </w:r>
                </w:p>
              </w:tc>
              <w:tc>
                <w:tcPr>
                  <w:tcW w:w="750" w:type="dxa"/>
                  <w:tcBorders>
                    <w:tl2br w:val="nil"/>
                    <w:tr2bl w:val="nil"/>
                  </w:tcBorders>
                  <w:noWrap w:val="0"/>
                  <w:vAlign w:val="center"/>
                </w:tcPr>
                <w:p>
                  <w:pPr>
                    <w:widowControl/>
                    <w:adjustRightInd w:val="0"/>
                    <w:snapToGrid w:val="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颗粒物</w:t>
                  </w:r>
                </w:p>
              </w:tc>
              <w:tc>
                <w:tcPr>
                  <w:tcW w:w="767"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0.608</w:t>
                  </w:r>
                </w:p>
              </w:tc>
              <w:tc>
                <w:tcPr>
                  <w:tcW w:w="3229" w:type="dxa"/>
                  <w:tcBorders>
                    <w:tl2br w:val="nil"/>
                    <w:tr2bl w:val="nil"/>
                  </w:tcBorders>
                  <w:noWrap w:val="0"/>
                  <w:vAlign w:val="center"/>
                </w:tcPr>
                <w:p>
                  <w:pPr>
                    <w:widowControl/>
                    <w:adjustRightInd w:val="0"/>
                    <w:snapToGrid w:val="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根据</w:t>
                  </w:r>
                  <w:r>
                    <w:rPr>
                      <w:rFonts w:hint="eastAsia" w:ascii="宋体" w:hAnsi="宋体" w:eastAsia="宋体" w:cs="宋体"/>
                      <w:color w:val="auto"/>
                      <w:sz w:val="21"/>
                      <w:szCs w:val="21"/>
                      <w:lang w:val="en-US" w:eastAsia="zh-CN"/>
                    </w:rPr>
                    <w:t>《排放源统计调查产排污核算方法和系数手册》</w:t>
                  </w:r>
                  <w:r>
                    <w:rPr>
                      <w:rFonts w:hint="eastAsia" w:ascii="宋体" w:hAnsi="宋体" w:eastAsia="宋体" w:cs="宋体"/>
                      <w:sz w:val="21"/>
                      <w:szCs w:val="21"/>
                      <w:lang w:val="en-US" w:eastAsia="zh-CN"/>
                    </w:rPr>
                    <w:t>木材加工行业系数手册中下料工序的锯切</w:t>
                  </w:r>
                  <w:r>
                    <w:rPr>
                      <w:rFonts w:hint="eastAsia" w:ascii="宋体" w:hAnsi="宋体" w:eastAsia="宋体" w:cs="宋体"/>
                      <w:color w:val="auto"/>
                      <w:sz w:val="21"/>
                      <w:szCs w:val="21"/>
                      <w:lang w:val="en-US" w:eastAsia="zh-CN"/>
                    </w:rPr>
                    <w:t>颗粒物产污系数</w:t>
                  </w:r>
                  <w:r>
                    <w:rPr>
                      <w:rFonts w:hint="eastAsia" w:ascii="宋体" w:hAnsi="宋体" w:eastAsia="宋体" w:cs="宋体"/>
                      <w:sz w:val="21"/>
                      <w:szCs w:val="21"/>
                      <w:lang w:val="en-US" w:eastAsia="zh-CN"/>
                    </w:rPr>
                    <w:t>为</w:t>
                  </w:r>
                  <w:r>
                    <w:rPr>
                      <w:rFonts w:hint="default" w:ascii="Times New Roman" w:hAnsi="Times New Roman" w:eastAsia="宋体" w:cs="Times New Roman"/>
                      <w:sz w:val="21"/>
                      <w:szCs w:val="21"/>
                      <w:lang w:val="en-US" w:eastAsia="zh-CN"/>
                    </w:rPr>
                    <w:t>0.243kg/m</w:t>
                  </w:r>
                  <w:r>
                    <w:rPr>
                      <w:rFonts w:hint="default" w:ascii="Times New Roman" w:hAnsi="Times New Roman" w:eastAsia="宋体" w:cs="Times New Roman"/>
                      <w:sz w:val="21"/>
                      <w:szCs w:val="21"/>
                      <w:vertAlign w:val="superscript"/>
                      <w:lang w:val="en-US" w:eastAsia="zh-CN"/>
                    </w:rPr>
                    <w:t>3</w:t>
                  </w:r>
                  <w:r>
                    <w:rPr>
                      <w:rFonts w:hint="eastAsia" w:ascii="Times New Roman" w:hAnsi="Times New Roman" w:eastAsia="宋体" w:cs="Times New Roman"/>
                      <w:sz w:val="21"/>
                      <w:szCs w:val="21"/>
                      <w:vertAlign w:val="superscript"/>
                      <w:lang w:val="en-US" w:eastAsia="zh-CN"/>
                    </w:rPr>
                    <w:t xml:space="preserve"> </w:t>
                  </w:r>
                  <w:r>
                    <w:rPr>
                      <w:rFonts w:hint="eastAsia" w:ascii="Times New Roman" w:hAnsi="Times New Roman" w:eastAsia="宋体" w:cs="Times New Roman"/>
                      <w:sz w:val="21"/>
                      <w:szCs w:val="21"/>
                      <w:vertAlign w:val="baseline"/>
                      <w:lang w:val="en-US" w:eastAsia="zh-CN"/>
                    </w:rPr>
                    <w:t>产品</w:t>
                  </w:r>
                </w:p>
              </w:tc>
              <w:tc>
                <w:tcPr>
                  <w:tcW w:w="1159" w:type="dxa"/>
                  <w:tcBorders>
                    <w:tl2br w:val="nil"/>
                    <w:tr2bl w:val="nil"/>
                  </w:tcBorders>
                  <w:noWrap w:val="0"/>
                  <w:vAlign w:val="center"/>
                </w:tcPr>
                <w:p>
                  <w:pPr>
                    <w:widowControl/>
                    <w:adjustRightInd w:val="0"/>
                    <w:snapToGrid w:val="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集尘罩</w:t>
                  </w:r>
                </w:p>
              </w:tc>
              <w:tc>
                <w:tcPr>
                  <w:tcW w:w="848" w:type="dxa"/>
                  <w:tcBorders>
                    <w:tl2br w:val="nil"/>
                    <w:tr2bl w:val="nil"/>
                  </w:tcBorders>
                  <w:noWrap w:val="0"/>
                  <w:vAlign w:val="center"/>
                </w:tcPr>
                <w:p>
                  <w:pPr>
                    <w:adjustRightInd w:val="0"/>
                    <w:snapToGrid w:val="0"/>
                    <w:jc w:val="center"/>
                    <w:rPr>
                      <w:rFonts w:hint="default" w:ascii="Times New Roman" w:hAnsi="Times New Roman" w:cs="Times New Roman"/>
                      <w:color w:val="000000"/>
                      <w:kern w:val="0"/>
                      <w:sz w:val="21"/>
                      <w:szCs w:val="21"/>
                      <w:lang w:val="en-US" w:eastAsia="zh-CN"/>
                    </w:rPr>
                  </w:pPr>
                  <w:r>
                    <w:rPr>
                      <w:rFonts w:hint="eastAsia" w:cs="Times New Roman"/>
                      <w:color w:val="000000"/>
                      <w:kern w:val="0"/>
                      <w:sz w:val="21"/>
                      <w:szCs w:val="21"/>
                      <w:lang w:val="en-US" w:eastAsia="zh-CN"/>
                    </w:rPr>
                    <w:t>90</w:t>
                  </w:r>
                </w:p>
              </w:tc>
              <w:tc>
                <w:tcPr>
                  <w:tcW w:w="1105" w:type="dxa"/>
                  <w:tcBorders>
                    <w:tl2br w:val="nil"/>
                    <w:tr2bl w:val="nil"/>
                  </w:tcBorders>
                  <w:noWrap w:val="0"/>
                  <w:vAlign w:val="center"/>
                </w:tcPr>
                <w:p>
                  <w:pPr>
                    <w:widowControl/>
                    <w:adjustRightInd w:val="0"/>
                    <w:snapToGrid w:val="0"/>
                    <w:jc w:val="center"/>
                    <w:rPr>
                      <w:rFonts w:hint="default" w:ascii="Times New Roman" w:hAnsi="Times New Roman" w:cs="Times New Roman"/>
                      <w:color w:val="000000"/>
                      <w:sz w:val="21"/>
                      <w:szCs w:val="21"/>
                    </w:rPr>
                  </w:pPr>
                  <w:r>
                    <w:rPr>
                      <w:rFonts w:hint="eastAsia" w:cs="Times New Roman"/>
                      <w:color w:val="000000"/>
                      <w:kern w:val="0"/>
                      <w:sz w:val="21"/>
                      <w:szCs w:val="21"/>
                      <w:lang w:val="en-US" w:eastAsia="zh-CN"/>
                    </w:rPr>
                    <w:t>布袋除尘器</w:t>
                  </w:r>
                </w:p>
              </w:tc>
              <w:tc>
                <w:tcPr>
                  <w:tcW w:w="777" w:type="dxa"/>
                  <w:tcBorders>
                    <w:tl2br w:val="nil"/>
                    <w:tr2bl w:val="nil"/>
                  </w:tcBorders>
                  <w:noWrap w:val="0"/>
                  <w:vAlign w:val="center"/>
                </w:tcPr>
                <w:p>
                  <w:pPr>
                    <w:adjustRightInd w:val="0"/>
                    <w:snapToGrid w:val="0"/>
                    <w:jc w:val="center"/>
                    <w:rPr>
                      <w:rFonts w:hint="default" w:ascii="Times New Roman" w:hAnsi="Times New Roman" w:cs="Times New Roman"/>
                      <w:color w:val="000000"/>
                      <w:sz w:val="21"/>
                      <w:szCs w:val="21"/>
                      <w:highlight w:val="none"/>
                      <w:lang w:val="en-US"/>
                    </w:rPr>
                  </w:pPr>
                  <w:r>
                    <w:rPr>
                      <w:rFonts w:hint="eastAsia" w:cs="Times New Roman"/>
                      <w:color w:val="000000"/>
                      <w:kern w:val="0"/>
                      <w:sz w:val="21"/>
                      <w:szCs w:val="21"/>
                      <w:lang w:val="en-US" w:eastAsia="zh-CN"/>
                    </w:rPr>
                    <w:t>95</w:t>
                  </w:r>
                </w:p>
              </w:tc>
              <w:tc>
                <w:tcPr>
                  <w:tcW w:w="855" w:type="dxa"/>
                  <w:tcBorders>
                    <w:tl2br w:val="nil"/>
                    <w:tr2bl w:val="nil"/>
                  </w:tcBorders>
                  <w:noWrap w:val="0"/>
                  <w:vAlign w:val="center"/>
                </w:tcPr>
                <w:p>
                  <w:pPr>
                    <w:adjustRightInd w:val="0"/>
                    <w:snapToGrid w:val="0"/>
                    <w:jc w:val="center"/>
                    <w:rPr>
                      <w:rFonts w:hint="default" w:ascii="Times New Roman" w:hAnsi="Times New Roman" w:cs="Times New Roman"/>
                      <w:color w:val="000000"/>
                      <w:sz w:val="21"/>
                      <w:szCs w:val="21"/>
                    </w:rPr>
                  </w:pPr>
                  <w:r>
                    <w:rPr>
                      <w:rFonts w:hint="eastAsia" w:cs="Times New Roman"/>
                      <w:color w:val="000000"/>
                      <w:kern w:val="0"/>
                      <w:sz w:val="21"/>
                      <w:szCs w:val="21"/>
                      <w:lang w:val="en-US" w:eastAsia="zh-CN"/>
                    </w:rPr>
                    <w:t>是</w:t>
                  </w:r>
                </w:p>
              </w:tc>
              <w:tc>
                <w:tcPr>
                  <w:tcW w:w="1088"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3000</w:t>
                  </w:r>
                </w:p>
              </w:tc>
              <w:tc>
                <w:tcPr>
                  <w:tcW w:w="735" w:type="dxa"/>
                  <w:tcBorders>
                    <w:tl2br w:val="nil"/>
                    <w:tr2bl w:val="nil"/>
                  </w:tcBorders>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c>
                <w:tcPr>
                  <w:tcW w:w="644" w:type="dxa"/>
                  <w:tcBorders>
                    <w:tl2br w:val="nil"/>
                    <w:tr2bl w:val="nil"/>
                  </w:tcBorders>
                  <w:noWrap w:val="0"/>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r>
            <w:bookmarkEnd w:id="8"/>
          </w:tbl>
          <w:p>
            <w:pPr>
              <w:adjustRightInd w:val="0"/>
              <w:snapToGrid w:val="0"/>
              <w:spacing w:line="500" w:lineRule="exact"/>
              <w:ind w:firstLine="600" w:firstLineChars="200"/>
              <w:rPr>
                <w:rFonts w:hint="default" w:ascii="Times New Roman" w:hAnsi="Times New Roman" w:eastAsia="黑体" w:cs="Times New Roman"/>
                <w:snapToGrid w:val="0"/>
                <w:color w:val="000000"/>
                <w:sz w:val="30"/>
                <w:szCs w:val="30"/>
              </w:rPr>
            </w:pPr>
          </w:p>
        </w:tc>
      </w:tr>
    </w:tbl>
    <w:p>
      <w:pPr>
        <w:pStyle w:val="16"/>
        <w:tabs>
          <w:tab w:val="left" w:pos="225"/>
        </w:tabs>
        <w:jc w:val="left"/>
        <w:outlineLvl w:val="0"/>
        <w:rPr>
          <w:rFonts w:hint="eastAsia" w:ascii="黑体" w:hAnsi="黑体" w:eastAsia="黑体"/>
          <w:snapToGrid w:val="0"/>
          <w:sz w:val="30"/>
          <w:szCs w:val="30"/>
          <w:lang w:eastAsia="zh-CN"/>
        </w:rPr>
        <w:sectPr>
          <w:pgSz w:w="16838" w:h="11906" w:orient="landscape"/>
          <w:pgMar w:top="1417" w:right="1474" w:bottom="1417" w:left="1474"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18"/>
        <w:tblW w:w="499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15"/>
        <w:gridCol w:w="87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895" w:hRule="atLeast"/>
          <w:jc w:val="center"/>
        </w:trPr>
        <w:tc>
          <w:tcPr>
            <w:tcW w:w="173" w:type="pct"/>
            <w:tcBorders>
              <w:tl2br w:val="nil"/>
              <w:tr2bl w:val="nil"/>
            </w:tcBorders>
            <w:tcMar>
              <w:left w:w="28" w:type="dxa"/>
              <w:right w:w="28" w:type="dxa"/>
            </w:tcMar>
            <w:vAlign w:val="center"/>
          </w:tcPr>
          <w:p>
            <w:pPr>
              <w:adjustRightInd w:val="0"/>
              <w:snapToGrid w:val="0"/>
              <w:jc w:val="center"/>
              <w:rPr>
                <w:rFonts w:ascii="宋体" w:hAnsi="宋体" w:cs="宋体"/>
                <w:bCs/>
                <w:spacing w:val="0"/>
                <w:sz w:val="24"/>
              </w:rPr>
            </w:pPr>
            <w:r>
              <w:rPr>
                <w:rFonts w:hint="eastAsia" w:ascii="宋体" w:hAnsi="宋体" w:cs="宋体"/>
                <w:bCs/>
                <w:spacing w:val="0"/>
                <w:sz w:val="24"/>
              </w:rPr>
              <w:t>运营</w:t>
            </w:r>
          </w:p>
          <w:p>
            <w:pPr>
              <w:adjustRightInd w:val="0"/>
              <w:snapToGrid w:val="0"/>
              <w:jc w:val="center"/>
              <w:rPr>
                <w:rFonts w:ascii="宋体" w:hAnsi="宋体" w:cs="宋体"/>
                <w:bCs/>
                <w:spacing w:val="0"/>
                <w:sz w:val="24"/>
              </w:rPr>
            </w:pPr>
            <w:r>
              <w:rPr>
                <w:rFonts w:hint="eastAsia" w:ascii="宋体" w:hAnsi="宋体" w:cs="宋体"/>
                <w:bCs/>
                <w:spacing w:val="0"/>
                <w:sz w:val="24"/>
              </w:rPr>
              <w:t>期环</w:t>
            </w:r>
          </w:p>
          <w:p>
            <w:pPr>
              <w:adjustRightInd w:val="0"/>
              <w:snapToGrid w:val="0"/>
              <w:jc w:val="center"/>
              <w:rPr>
                <w:rFonts w:ascii="宋体" w:hAnsi="宋体" w:cs="宋体"/>
                <w:bCs/>
                <w:spacing w:val="0"/>
                <w:sz w:val="24"/>
              </w:rPr>
            </w:pPr>
            <w:r>
              <w:rPr>
                <w:rFonts w:hint="eastAsia" w:ascii="宋体" w:hAnsi="宋体" w:cs="宋体"/>
                <w:bCs/>
                <w:spacing w:val="0"/>
                <w:sz w:val="24"/>
              </w:rPr>
              <w:t>境影</w:t>
            </w:r>
          </w:p>
          <w:p>
            <w:pPr>
              <w:adjustRightInd w:val="0"/>
              <w:snapToGrid w:val="0"/>
              <w:jc w:val="center"/>
              <w:rPr>
                <w:rFonts w:ascii="宋体" w:hAnsi="宋体" w:cs="宋体"/>
                <w:bCs/>
                <w:spacing w:val="0"/>
                <w:sz w:val="24"/>
              </w:rPr>
            </w:pPr>
            <w:r>
              <w:rPr>
                <w:rFonts w:hint="eastAsia" w:ascii="宋体" w:hAnsi="宋体" w:cs="宋体"/>
                <w:bCs/>
                <w:spacing w:val="0"/>
                <w:sz w:val="24"/>
              </w:rPr>
              <w:t>响和</w:t>
            </w:r>
          </w:p>
          <w:p>
            <w:pPr>
              <w:adjustRightInd w:val="0"/>
              <w:snapToGrid w:val="0"/>
              <w:jc w:val="center"/>
              <w:rPr>
                <w:rFonts w:ascii="宋体" w:hAnsi="宋体" w:cs="宋体"/>
                <w:bCs/>
                <w:spacing w:val="0"/>
                <w:sz w:val="24"/>
              </w:rPr>
            </w:pPr>
            <w:r>
              <w:rPr>
                <w:rFonts w:hint="eastAsia" w:ascii="宋体" w:hAnsi="宋体" w:cs="宋体"/>
                <w:bCs/>
                <w:spacing w:val="0"/>
                <w:sz w:val="24"/>
              </w:rPr>
              <w:t>保护</w:t>
            </w:r>
          </w:p>
          <w:p>
            <w:pPr>
              <w:adjustRightInd w:val="0"/>
              <w:snapToGrid w:val="0"/>
              <w:jc w:val="center"/>
              <w:rPr>
                <w:rFonts w:ascii="宋体" w:hAnsi="宋体" w:cs="宋体"/>
                <w:bCs/>
                <w:spacing w:val="0"/>
                <w:sz w:val="24"/>
              </w:rPr>
            </w:pPr>
            <w:r>
              <w:rPr>
                <w:rFonts w:hint="eastAsia" w:ascii="宋体" w:hAnsi="宋体" w:cs="宋体"/>
                <w:bCs/>
                <w:spacing w:val="0"/>
                <w:sz w:val="24"/>
              </w:rPr>
              <w:t>措施</w:t>
            </w:r>
          </w:p>
        </w:tc>
        <w:tc>
          <w:tcPr>
            <w:tcW w:w="4826" w:type="pct"/>
            <w:tcBorders>
              <w:tl2br w:val="nil"/>
              <w:tr2bl w:val="nil"/>
            </w:tcBorders>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default" w:ascii="宋体" w:hAnsi="宋体" w:cs="宋体"/>
                <w:b/>
                <w:bCs w:val="0"/>
                <w:spacing w:val="0"/>
                <w:sz w:val="24"/>
                <w:lang w:val="en-US" w:eastAsia="zh-CN"/>
              </w:rPr>
            </w:pPr>
            <w:r>
              <w:rPr>
                <w:rFonts w:hint="eastAsia" w:ascii="宋体" w:hAnsi="宋体" w:cs="宋体"/>
                <w:b/>
                <w:bCs w:val="0"/>
                <w:spacing w:val="0"/>
                <w:sz w:val="24"/>
                <w:lang w:val="en-US" w:eastAsia="zh-CN"/>
              </w:rPr>
              <w:t>（</w:t>
            </w:r>
            <w:r>
              <w:rPr>
                <w:rFonts w:hint="default" w:ascii="Times New Roman" w:hAnsi="Times New Roman" w:cs="Times New Roman"/>
                <w:b/>
                <w:bCs w:val="0"/>
                <w:spacing w:val="0"/>
                <w:sz w:val="24"/>
                <w:lang w:val="en-US" w:eastAsia="zh-CN"/>
              </w:rPr>
              <w:t>2</w:t>
            </w:r>
            <w:r>
              <w:rPr>
                <w:rFonts w:hint="eastAsia" w:ascii="宋体" w:hAnsi="宋体" w:cs="宋体"/>
                <w:b/>
                <w:bCs w:val="0"/>
                <w:spacing w:val="0"/>
                <w:sz w:val="24"/>
                <w:lang w:val="en-US" w:eastAsia="zh-CN"/>
              </w:rPr>
              <w:t>）有组织废气产生和排放情况</w:t>
            </w:r>
          </w:p>
          <w:p>
            <w:pPr>
              <w:pStyle w:val="4"/>
              <w:pageBreakBefore w:val="0"/>
              <w:widowControl w:val="0"/>
              <w:kinsoku/>
              <w:wordWrap/>
              <w:overflowPunct/>
              <w:topLinePunct w:val="0"/>
              <w:autoSpaceDE/>
              <w:autoSpaceDN/>
              <w:bidi w:val="0"/>
              <w:spacing w:before="0" w:after="0" w:line="500" w:lineRule="exact"/>
              <w:ind w:firstLine="401"/>
              <w:textAlignment w:val="auto"/>
              <w:rPr>
                <w:rFonts w:hint="eastAsia" w:ascii="宋体" w:hAnsi="宋体" w:cs="宋体"/>
                <w:b w:val="0"/>
                <w:bCs/>
                <w:spacing w:val="0"/>
                <w:sz w:val="24"/>
                <w:lang w:val="en-US" w:eastAsia="zh-CN"/>
              </w:rPr>
            </w:pPr>
            <w:r>
              <w:rPr>
                <w:rFonts w:hint="eastAsia" w:ascii="宋体" w:hAnsi="宋体" w:cs="宋体"/>
                <w:b w:val="0"/>
                <w:bCs/>
                <w:spacing w:val="0"/>
                <w:sz w:val="24"/>
                <w:lang w:val="en-US" w:eastAsia="zh-CN"/>
              </w:rPr>
              <w:t>本项目有组织废气产生及排放情况一览表见下表。</w:t>
            </w:r>
          </w:p>
          <w:p>
            <w:pPr>
              <w:pageBreakBefore w:val="0"/>
              <w:widowControl w:val="0"/>
              <w:kinsoku/>
              <w:wordWrap/>
              <w:overflowPunct/>
              <w:topLinePunct w:val="0"/>
              <w:autoSpaceDE/>
              <w:autoSpaceDN/>
              <w:bidi w:val="0"/>
              <w:spacing w:line="500" w:lineRule="exact"/>
              <w:ind w:firstLine="1903" w:firstLineChars="790"/>
              <w:jc w:val="both"/>
              <w:textAlignment w:val="auto"/>
              <w:rPr>
                <w:rFonts w:hint="default"/>
                <w:b/>
                <w:bCs/>
                <w:spacing w:val="0"/>
                <w:sz w:val="24"/>
                <w:szCs w:val="24"/>
                <w:vertAlign w:val="baseline"/>
                <w:lang w:val="en-US" w:eastAsia="zh-CN"/>
              </w:rPr>
            </w:pPr>
            <w:r>
              <w:rPr>
                <w:rFonts w:hint="eastAsia"/>
                <w:b/>
                <w:bCs/>
                <w:spacing w:val="0"/>
                <w:sz w:val="24"/>
                <w:szCs w:val="24"/>
                <w:lang w:val="en-US" w:eastAsia="zh-CN"/>
              </w:rPr>
              <w:t>表 4-2  本项目生产车间有组织废气产排情况表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93"/>
              <w:gridCol w:w="903"/>
              <w:gridCol w:w="775"/>
              <w:gridCol w:w="675"/>
              <w:gridCol w:w="650"/>
              <w:gridCol w:w="737"/>
              <w:gridCol w:w="600"/>
              <w:gridCol w:w="713"/>
              <w:gridCol w:w="800"/>
              <w:gridCol w:w="625"/>
              <w:gridCol w:w="550"/>
              <w:gridCol w:w="632"/>
              <w:gridCol w:w="4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3"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编号</w:t>
                  </w:r>
                </w:p>
              </w:tc>
              <w:tc>
                <w:tcPr>
                  <w:tcW w:w="903"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废气产污</w:t>
                  </w:r>
                </w:p>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环节</w:t>
                  </w:r>
                </w:p>
              </w:tc>
              <w:tc>
                <w:tcPr>
                  <w:tcW w:w="775"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污染物</w:t>
                  </w:r>
                </w:p>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种类</w:t>
                  </w:r>
                </w:p>
              </w:tc>
              <w:tc>
                <w:tcPr>
                  <w:tcW w:w="2062" w:type="dxa"/>
                  <w:gridSpan w:val="3"/>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产生情况</w:t>
                  </w:r>
                </w:p>
              </w:tc>
              <w:tc>
                <w:tcPr>
                  <w:tcW w:w="2113" w:type="dxa"/>
                  <w:gridSpan w:val="3"/>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排放情况</w:t>
                  </w:r>
                </w:p>
              </w:tc>
              <w:tc>
                <w:tcPr>
                  <w:tcW w:w="1175" w:type="dxa"/>
                  <w:gridSpan w:val="2"/>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执行标准</w:t>
                  </w:r>
                </w:p>
              </w:tc>
              <w:tc>
                <w:tcPr>
                  <w:tcW w:w="632"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排放</w:t>
                  </w:r>
                </w:p>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去向</w:t>
                  </w:r>
                </w:p>
              </w:tc>
              <w:tc>
                <w:tcPr>
                  <w:tcW w:w="451"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排放</w:t>
                  </w:r>
                </w:p>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3"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p>
              </w:tc>
              <w:tc>
                <w:tcPr>
                  <w:tcW w:w="903"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p>
              </w:tc>
              <w:tc>
                <w:tcPr>
                  <w:tcW w:w="775"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p>
              </w:tc>
              <w:tc>
                <w:tcPr>
                  <w:tcW w:w="675"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浓度</w:t>
                  </w:r>
                </w:p>
              </w:tc>
              <w:tc>
                <w:tcPr>
                  <w:tcW w:w="650"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速率</w:t>
                  </w:r>
                </w:p>
              </w:tc>
              <w:tc>
                <w:tcPr>
                  <w:tcW w:w="737"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产生量</w:t>
                  </w:r>
                </w:p>
              </w:tc>
              <w:tc>
                <w:tcPr>
                  <w:tcW w:w="600"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浓度</w:t>
                  </w:r>
                </w:p>
              </w:tc>
              <w:tc>
                <w:tcPr>
                  <w:tcW w:w="713"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速率</w:t>
                  </w:r>
                </w:p>
              </w:tc>
              <w:tc>
                <w:tcPr>
                  <w:tcW w:w="800"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排放量</w:t>
                  </w:r>
                </w:p>
              </w:tc>
              <w:tc>
                <w:tcPr>
                  <w:tcW w:w="625"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浓度</w:t>
                  </w:r>
                </w:p>
              </w:tc>
              <w:tc>
                <w:tcPr>
                  <w:tcW w:w="550"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速率</w:t>
                  </w:r>
                </w:p>
              </w:tc>
              <w:tc>
                <w:tcPr>
                  <w:tcW w:w="632"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p>
              </w:tc>
              <w:tc>
                <w:tcPr>
                  <w:tcW w:w="451"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3"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p>
              </w:tc>
              <w:tc>
                <w:tcPr>
                  <w:tcW w:w="903"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p>
              </w:tc>
              <w:tc>
                <w:tcPr>
                  <w:tcW w:w="775"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p>
              </w:tc>
              <w:tc>
                <w:tcPr>
                  <w:tcW w:w="675"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mg/m</w:t>
                  </w:r>
                  <w:r>
                    <w:rPr>
                      <w:rFonts w:hint="default" w:ascii="Times New Roman" w:hAnsi="Times New Roman" w:cs="Times New Roman"/>
                      <w:b/>
                      <w:bCs/>
                      <w:color w:val="auto"/>
                      <w:spacing w:val="0"/>
                      <w:kern w:val="0"/>
                      <w:sz w:val="21"/>
                      <w:szCs w:val="21"/>
                      <w:vertAlign w:val="superscript"/>
                    </w:rPr>
                    <w:t>3</w:t>
                  </w:r>
                </w:p>
              </w:tc>
              <w:tc>
                <w:tcPr>
                  <w:tcW w:w="650"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kg/h</w:t>
                  </w:r>
                </w:p>
              </w:tc>
              <w:tc>
                <w:tcPr>
                  <w:tcW w:w="737"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t/a</w:t>
                  </w:r>
                </w:p>
              </w:tc>
              <w:tc>
                <w:tcPr>
                  <w:tcW w:w="600"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mg/m</w:t>
                  </w:r>
                  <w:r>
                    <w:rPr>
                      <w:rFonts w:hint="default" w:ascii="Times New Roman" w:hAnsi="Times New Roman" w:cs="Times New Roman"/>
                      <w:b/>
                      <w:bCs/>
                      <w:color w:val="auto"/>
                      <w:spacing w:val="0"/>
                      <w:kern w:val="0"/>
                      <w:sz w:val="21"/>
                      <w:szCs w:val="21"/>
                      <w:vertAlign w:val="superscript"/>
                    </w:rPr>
                    <w:t>3</w:t>
                  </w:r>
                </w:p>
              </w:tc>
              <w:tc>
                <w:tcPr>
                  <w:tcW w:w="713"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kg/h</w:t>
                  </w:r>
                </w:p>
              </w:tc>
              <w:tc>
                <w:tcPr>
                  <w:tcW w:w="800"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t/a</w:t>
                  </w:r>
                </w:p>
              </w:tc>
              <w:tc>
                <w:tcPr>
                  <w:tcW w:w="625"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mg/m</w:t>
                  </w:r>
                  <w:r>
                    <w:rPr>
                      <w:rFonts w:hint="default" w:ascii="Times New Roman" w:hAnsi="Times New Roman" w:cs="Times New Roman"/>
                      <w:b/>
                      <w:bCs/>
                      <w:color w:val="auto"/>
                      <w:spacing w:val="0"/>
                      <w:kern w:val="0"/>
                      <w:sz w:val="21"/>
                      <w:szCs w:val="21"/>
                      <w:vertAlign w:val="superscript"/>
                    </w:rPr>
                    <w:t>3</w:t>
                  </w:r>
                </w:p>
              </w:tc>
              <w:tc>
                <w:tcPr>
                  <w:tcW w:w="550"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kg/h</w:t>
                  </w:r>
                </w:p>
              </w:tc>
              <w:tc>
                <w:tcPr>
                  <w:tcW w:w="632"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m</w:t>
                  </w:r>
                </w:p>
              </w:tc>
              <w:tc>
                <w:tcPr>
                  <w:tcW w:w="451"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h/a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3" w:type="dxa"/>
                  <w:tcBorders>
                    <w:tl2br w:val="nil"/>
                    <w:tr2bl w:val="nil"/>
                  </w:tcBorders>
                  <w:noWrap w:val="0"/>
                  <w:vAlign w:val="center"/>
                </w:tcPr>
                <w:p>
                  <w:pPr>
                    <w:widowControl/>
                    <w:jc w:val="center"/>
                    <w:textAlignment w:val="center"/>
                    <w:rPr>
                      <w:rFonts w:hint="default" w:ascii="Times New Roman" w:hAnsi="Times New Roman" w:cs="Times New Roman"/>
                      <w:color w:val="auto"/>
                      <w:spacing w:val="0"/>
                      <w:kern w:val="0"/>
                      <w:sz w:val="21"/>
                      <w:szCs w:val="21"/>
                    </w:rPr>
                  </w:pPr>
                  <w:bookmarkStart w:id="9" w:name="OLE_LINK1" w:colFirst="5" w:colLast="5"/>
                  <w:bookmarkStart w:id="10" w:name="OLE_LINK2" w:colFirst="5" w:colLast="5"/>
                  <w:r>
                    <w:rPr>
                      <w:rFonts w:hint="default" w:ascii="Times New Roman" w:hAnsi="Times New Roman" w:cs="Times New Roman"/>
                      <w:color w:val="auto"/>
                      <w:spacing w:val="0"/>
                      <w:kern w:val="0"/>
                      <w:sz w:val="21"/>
                      <w:szCs w:val="21"/>
                      <w:lang w:bidi="ar"/>
                    </w:rPr>
                    <w:t>1</w:t>
                  </w:r>
                </w:p>
              </w:tc>
              <w:tc>
                <w:tcPr>
                  <w:tcW w:w="903"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auto"/>
                      <w:spacing w:val="0"/>
                      <w:sz w:val="21"/>
                      <w:szCs w:val="21"/>
                      <w:lang w:val="en-US" w:eastAsia="zh-CN"/>
                    </w:rPr>
                  </w:pPr>
                  <w:r>
                    <w:rPr>
                      <w:rFonts w:hint="eastAsia" w:ascii="Times New Roman" w:hAnsi="Times New Roman" w:cs="Times New Roman"/>
                      <w:color w:val="auto"/>
                      <w:spacing w:val="0"/>
                      <w:sz w:val="21"/>
                      <w:szCs w:val="21"/>
                      <w:lang w:val="en-US" w:eastAsia="zh-CN"/>
                    </w:rPr>
                    <w:t>印刷</w:t>
                  </w:r>
                </w:p>
              </w:tc>
              <w:tc>
                <w:tcPr>
                  <w:tcW w:w="77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kern w:val="0"/>
                      <w:sz w:val="21"/>
                      <w:szCs w:val="21"/>
                      <w:lang w:val="en-US" w:eastAsia="zh-CN"/>
                    </w:rPr>
                  </w:pPr>
                  <w:r>
                    <w:rPr>
                      <w:rFonts w:hint="eastAsia" w:cs="Times New Roman"/>
                      <w:color w:val="auto"/>
                      <w:spacing w:val="0"/>
                      <w:kern w:val="0"/>
                      <w:sz w:val="21"/>
                      <w:szCs w:val="21"/>
                      <w:lang w:val="en-US" w:eastAsia="zh-CN"/>
                    </w:rPr>
                    <w:t>非甲烷总烃</w:t>
                  </w:r>
                </w:p>
              </w:tc>
              <w:tc>
                <w:tcPr>
                  <w:tcW w:w="67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0.</w:t>
                  </w:r>
                  <w:r>
                    <w:rPr>
                      <w:rFonts w:hint="eastAsia" w:cs="Times New Roman"/>
                      <w:color w:val="auto"/>
                      <w:spacing w:val="0"/>
                      <w:sz w:val="21"/>
                      <w:szCs w:val="21"/>
                      <w:lang w:val="en-US" w:eastAsia="zh-CN"/>
                    </w:rPr>
                    <w:t>56</w:t>
                  </w:r>
                </w:p>
              </w:tc>
              <w:tc>
                <w:tcPr>
                  <w:tcW w:w="65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0.</w:t>
                  </w:r>
                  <w:r>
                    <w:rPr>
                      <w:rFonts w:hint="eastAsia" w:ascii="Times New Roman" w:hAnsi="Times New Roman" w:eastAsia="宋体" w:cs="Times New Roman"/>
                      <w:color w:val="auto"/>
                      <w:spacing w:val="0"/>
                      <w:sz w:val="21"/>
                      <w:szCs w:val="21"/>
                      <w:lang w:val="en-US" w:eastAsia="zh-CN"/>
                    </w:rPr>
                    <w:t>00</w:t>
                  </w:r>
                  <w:r>
                    <w:rPr>
                      <w:rFonts w:hint="eastAsia" w:cs="Times New Roman"/>
                      <w:color w:val="auto"/>
                      <w:spacing w:val="0"/>
                      <w:sz w:val="21"/>
                      <w:szCs w:val="21"/>
                      <w:lang w:val="en-US" w:eastAsia="zh-CN"/>
                    </w:rPr>
                    <w:t>2</w:t>
                  </w:r>
                </w:p>
              </w:tc>
              <w:tc>
                <w:tcPr>
                  <w:tcW w:w="73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0.00</w:t>
                  </w:r>
                  <w:r>
                    <w:rPr>
                      <w:rFonts w:hint="eastAsia" w:cs="Times New Roman"/>
                      <w:color w:val="auto"/>
                      <w:spacing w:val="0"/>
                      <w:sz w:val="21"/>
                      <w:szCs w:val="21"/>
                      <w:lang w:val="en-US" w:eastAsia="zh-CN"/>
                    </w:rPr>
                    <w:t>16</w:t>
                  </w:r>
                </w:p>
              </w:tc>
              <w:tc>
                <w:tcPr>
                  <w:tcW w:w="6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0.</w:t>
                  </w:r>
                  <w:r>
                    <w:rPr>
                      <w:rFonts w:hint="eastAsia" w:cs="Times New Roman"/>
                      <w:color w:val="auto"/>
                      <w:spacing w:val="0"/>
                      <w:sz w:val="21"/>
                      <w:szCs w:val="21"/>
                      <w:lang w:val="en-US" w:eastAsia="zh-CN"/>
                    </w:rPr>
                    <w:t>056</w:t>
                  </w:r>
                </w:p>
              </w:tc>
              <w:tc>
                <w:tcPr>
                  <w:tcW w:w="71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0.000</w:t>
                  </w:r>
                  <w:r>
                    <w:rPr>
                      <w:rFonts w:hint="eastAsia" w:cs="Times New Roman"/>
                      <w:color w:val="auto"/>
                      <w:spacing w:val="0"/>
                      <w:sz w:val="21"/>
                      <w:szCs w:val="21"/>
                      <w:lang w:val="en-US" w:eastAsia="zh-CN"/>
                    </w:rPr>
                    <w:t>2</w:t>
                  </w:r>
                </w:p>
              </w:tc>
              <w:tc>
                <w:tcPr>
                  <w:tcW w:w="8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0.000</w:t>
                  </w:r>
                  <w:r>
                    <w:rPr>
                      <w:rFonts w:hint="eastAsia" w:cs="Times New Roman"/>
                      <w:color w:val="auto"/>
                      <w:spacing w:val="0"/>
                      <w:sz w:val="21"/>
                      <w:szCs w:val="21"/>
                      <w:lang w:val="en-US" w:eastAsia="zh-CN"/>
                    </w:rPr>
                    <w:t>16</w:t>
                  </w:r>
                </w:p>
              </w:tc>
              <w:tc>
                <w:tcPr>
                  <w:tcW w:w="625"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50</w:t>
                  </w:r>
                </w:p>
              </w:tc>
              <w:tc>
                <w:tcPr>
                  <w:tcW w:w="550"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1.8</w:t>
                  </w:r>
                </w:p>
              </w:tc>
              <w:tc>
                <w:tcPr>
                  <w:tcW w:w="632" w:type="dxa"/>
                  <w:vMerge w:val="restart"/>
                  <w:tcBorders>
                    <w:tl2br w:val="nil"/>
                    <w:tr2bl w:val="nil"/>
                  </w:tcBorders>
                  <w:noWrap w:val="0"/>
                  <w:vAlign w:val="center"/>
                </w:tcPr>
                <w:p>
                  <w:pPr>
                    <w:adjustRightInd w:val="0"/>
                    <w:snapToGrid w:val="0"/>
                    <w:jc w:val="center"/>
                    <w:rPr>
                      <w:rFonts w:hint="eastAsia" w:cs="Times New Roman"/>
                      <w:color w:val="auto"/>
                      <w:spacing w:val="0"/>
                      <w:sz w:val="21"/>
                      <w:szCs w:val="21"/>
                      <w:lang w:val="en-US" w:eastAsia="zh-CN"/>
                    </w:rPr>
                  </w:pPr>
                  <w:r>
                    <w:rPr>
                      <w:rFonts w:hint="eastAsia" w:cs="Times New Roman"/>
                      <w:color w:val="auto"/>
                      <w:spacing w:val="0"/>
                      <w:sz w:val="21"/>
                      <w:szCs w:val="21"/>
                      <w:lang w:val="en-US" w:eastAsia="zh-CN"/>
                    </w:rPr>
                    <w:t>25</w:t>
                  </w:r>
                </w:p>
                <w:p>
                  <w:pPr>
                    <w:adjustRightInd w:val="0"/>
                    <w:snapToGrid w:val="0"/>
                    <w:jc w:val="center"/>
                    <w:rPr>
                      <w:rFonts w:hint="default" w:ascii="Times New Roman" w:hAnsi="Times New Roman" w:cs="Times New Roman"/>
                      <w:color w:val="auto"/>
                      <w:spacing w:val="0"/>
                      <w:kern w:val="0"/>
                      <w:sz w:val="21"/>
                      <w:szCs w:val="21"/>
                      <w:lang w:val="en-US"/>
                    </w:rPr>
                  </w:pPr>
                  <w:r>
                    <w:rPr>
                      <w:rFonts w:hint="eastAsia" w:cs="Times New Roman"/>
                      <w:color w:val="auto"/>
                      <w:spacing w:val="0"/>
                      <w:sz w:val="21"/>
                      <w:szCs w:val="21"/>
                      <w:lang w:val="en-US" w:eastAsia="zh-CN"/>
                    </w:rPr>
                    <w:t>（1#）</w:t>
                  </w:r>
                </w:p>
              </w:tc>
              <w:tc>
                <w:tcPr>
                  <w:tcW w:w="451" w:type="dxa"/>
                  <w:vMerge w:val="restart"/>
                  <w:tcBorders>
                    <w:tl2br w:val="nil"/>
                    <w:tr2bl w:val="nil"/>
                  </w:tcBorders>
                  <w:noWrap w:val="0"/>
                  <w:vAlign w:val="center"/>
                </w:tcPr>
                <w:p>
                  <w:pPr>
                    <w:keepNext w:val="0"/>
                    <w:keepLines w:val="0"/>
                    <w:widowControl/>
                    <w:suppressLineNumbers w:val="0"/>
                    <w:adjustRightInd w:val="0"/>
                    <w:snapToGrid w:val="0"/>
                    <w:jc w:val="center"/>
                    <w:textAlignment w:val="auto"/>
                    <w:rPr>
                      <w:rFonts w:hint="default" w:ascii="Times New Roman" w:hAnsi="Times New Roman" w:eastAsia="宋体" w:cs="Times New Roman"/>
                      <w:color w:val="auto"/>
                      <w:spacing w:val="0"/>
                      <w:sz w:val="21"/>
                      <w:szCs w:val="21"/>
                      <w:lang w:val="en-US" w:eastAsia="zh-CN" w:bidi="ar"/>
                    </w:rPr>
                  </w:pPr>
                  <w:r>
                    <w:rPr>
                      <w:rFonts w:hint="eastAsia" w:cs="Times New Roman"/>
                      <w:color w:val="auto"/>
                      <w:spacing w:val="0"/>
                      <w:sz w:val="21"/>
                      <w:szCs w:val="21"/>
                      <w:lang w:val="en-US" w:eastAsia="zh-CN" w:bidi="ar"/>
                    </w:rPr>
                    <w:t>750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3" w:type="dxa"/>
                  <w:tcBorders>
                    <w:tl2br w:val="nil"/>
                    <w:tr2bl w:val="nil"/>
                  </w:tcBorders>
                  <w:noWrap w:val="0"/>
                  <w:vAlign w:val="center"/>
                </w:tcPr>
                <w:p>
                  <w:pPr>
                    <w:widowControl/>
                    <w:jc w:val="center"/>
                    <w:textAlignment w:val="center"/>
                    <w:rPr>
                      <w:rFonts w:hint="eastAsia" w:ascii="Times New Roman" w:hAnsi="Times New Roman" w:eastAsia="宋体" w:cs="Times New Roman"/>
                      <w:color w:val="auto"/>
                      <w:spacing w:val="0"/>
                      <w:kern w:val="0"/>
                      <w:sz w:val="21"/>
                      <w:szCs w:val="21"/>
                      <w:lang w:val="en-US" w:eastAsia="zh-CN" w:bidi="ar"/>
                    </w:rPr>
                  </w:pPr>
                  <w:r>
                    <w:rPr>
                      <w:rFonts w:hint="eastAsia" w:ascii="Times New Roman" w:hAnsi="Times New Roman" w:cs="Times New Roman"/>
                      <w:color w:val="auto"/>
                      <w:spacing w:val="0"/>
                      <w:kern w:val="0"/>
                      <w:sz w:val="21"/>
                      <w:szCs w:val="21"/>
                      <w:lang w:val="en-US" w:eastAsia="zh-CN" w:bidi="ar"/>
                    </w:rPr>
                    <w:t>2</w:t>
                  </w:r>
                </w:p>
              </w:tc>
              <w:tc>
                <w:tcPr>
                  <w:tcW w:w="903" w:type="dxa"/>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lang w:val="en-US" w:eastAsia="zh-CN"/>
                    </w:rPr>
                  </w:pPr>
                  <w:r>
                    <w:rPr>
                      <w:rFonts w:hint="eastAsia" w:cs="Times New Roman"/>
                      <w:color w:val="auto"/>
                      <w:spacing w:val="0"/>
                      <w:sz w:val="21"/>
                      <w:szCs w:val="21"/>
                      <w:lang w:val="en-US" w:eastAsia="zh-CN"/>
                    </w:rPr>
                    <w:t>胶黏</w:t>
                  </w:r>
                </w:p>
              </w:tc>
              <w:tc>
                <w:tcPr>
                  <w:tcW w:w="775" w:type="dxa"/>
                  <w:tcBorders>
                    <w:tl2br w:val="nil"/>
                    <w:tr2bl w:val="nil"/>
                  </w:tcBorders>
                  <w:noWrap w:val="0"/>
                  <w:vAlign w:val="center"/>
                </w:tcPr>
                <w:p>
                  <w:pPr>
                    <w:adjustRightInd w:val="0"/>
                    <w:snapToGrid w:val="0"/>
                    <w:jc w:val="center"/>
                    <w:rPr>
                      <w:rFonts w:hint="default" w:ascii="Times New Roman" w:hAnsi="Times New Roman" w:cs="Times New Roman"/>
                      <w:color w:val="auto"/>
                      <w:spacing w:val="0"/>
                      <w:kern w:val="0"/>
                      <w:sz w:val="21"/>
                      <w:szCs w:val="21"/>
                      <w:lang w:val="en-US" w:eastAsia="zh-CN"/>
                    </w:rPr>
                  </w:pPr>
                  <w:r>
                    <w:rPr>
                      <w:rFonts w:hint="eastAsia" w:cs="Times New Roman"/>
                      <w:color w:val="auto"/>
                      <w:spacing w:val="0"/>
                      <w:kern w:val="0"/>
                      <w:sz w:val="21"/>
                      <w:szCs w:val="21"/>
                      <w:lang w:val="en-US" w:eastAsia="zh-CN"/>
                    </w:rPr>
                    <w:t>非甲烷总烃</w:t>
                  </w:r>
                </w:p>
              </w:tc>
              <w:tc>
                <w:tcPr>
                  <w:tcW w:w="67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5</w:t>
                  </w:r>
                </w:p>
              </w:tc>
              <w:tc>
                <w:tcPr>
                  <w:tcW w:w="65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0.0</w:t>
                  </w:r>
                  <w:r>
                    <w:rPr>
                      <w:rFonts w:hint="eastAsia" w:cs="Times New Roman"/>
                      <w:color w:val="auto"/>
                      <w:spacing w:val="0"/>
                      <w:sz w:val="21"/>
                      <w:szCs w:val="21"/>
                      <w:lang w:val="en-US" w:eastAsia="zh-CN"/>
                    </w:rPr>
                    <w:t>11</w:t>
                  </w:r>
                </w:p>
              </w:tc>
              <w:tc>
                <w:tcPr>
                  <w:tcW w:w="73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0.0</w:t>
                  </w:r>
                  <w:r>
                    <w:rPr>
                      <w:rFonts w:hint="eastAsia" w:cs="Times New Roman"/>
                      <w:color w:val="auto"/>
                      <w:spacing w:val="0"/>
                      <w:sz w:val="21"/>
                      <w:szCs w:val="21"/>
                      <w:lang w:val="en-US" w:eastAsia="zh-CN"/>
                    </w:rPr>
                    <w:t>08</w:t>
                  </w:r>
                </w:p>
              </w:tc>
              <w:tc>
                <w:tcPr>
                  <w:tcW w:w="6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0</w:t>
                  </w:r>
                  <w:r>
                    <w:rPr>
                      <w:rFonts w:hint="eastAsia" w:cs="Times New Roman"/>
                      <w:color w:val="auto"/>
                      <w:spacing w:val="0"/>
                      <w:sz w:val="21"/>
                      <w:szCs w:val="21"/>
                      <w:lang w:val="en-US" w:eastAsia="zh-CN"/>
                    </w:rPr>
                    <w:t>.5</w:t>
                  </w:r>
                </w:p>
              </w:tc>
              <w:tc>
                <w:tcPr>
                  <w:tcW w:w="71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0.00</w:t>
                  </w:r>
                  <w:r>
                    <w:rPr>
                      <w:rFonts w:hint="eastAsia" w:cs="Times New Roman"/>
                      <w:color w:val="auto"/>
                      <w:spacing w:val="0"/>
                      <w:sz w:val="21"/>
                      <w:szCs w:val="21"/>
                      <w:lang w:val="en-US" w:eastAsia="zh-CN"/>
                    </w:rPr>
                    <w:t>11</w:t>
                  </w:r>
                </w:p>
              </w:tc>
              <w:tc>
                <w:tcPr>
                  <w:tcW w:w="8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0.00</w:t>
                  </w:r>
                  <w:r>
                    <w:rPr>
                      <w:rFonts w:hint="eastAsia" w:cs="Times New Roman"/>
                      <w:color w:val="auto"/>
                      <w:spacing w:val="0"/>
                      <w:sz w:val="21"/>
                      <w:szCs w:val="21"/>
                      <w:lang w:val="en-US" w:eastAsia="zh-CN"/>
                    </w:rPr>
                    <w:t>08</w:t>
                  </w:r>
                </w:p>
              </w:tc>
              <w:tc>
                <w:tcPr>
                  <w:tcW w:w="625" w:type="dxa"/>
                  <w:vMerge w:val="continue"/>
                  <w:tcBorders>
                    <w:tl2br w:val="nil"/>
                    <w:tr2bl w:val="nil"/>
                  </w:tcBorders>
                  <w:noWrap w:val="0"/>
                  <w:vAlign w:val="center"/>
                </w:tcPr>
                <w:p>
                  <w:pPr>
                    <w:adjustRightInd w:val="0"/>
                    <w:snapToGrid w:val="0"/>
                    <w:jc w:val="center"/>
                    <w:rPr>
                      <w:rFonts w:hint="eastAsia" w:ascii="Times New Roman" w:hAnsi="Times New Roman" w:cs="Times New Roman"/>
                      <w:color w:val="auto"/>
                      <w:spacing w:val="0"/>
                      <w:sz w:val="21"/>
                      <w:szCs w:val="21"/>
                      <w:lang w:val="en-US" w:eastAsia="zh-CN"/>
                    </w:rPr>
                  </w:pPr>
                </w:p>
              </w:tc>
              <w:tc>
                <w:tcPr>
                  <w:tcW w:w="550" w:type="dxa"/>
                  <w:vMerge w:val="continue"/>
                  <w:tcBorders>
                    <w:tl2br w:val="nil"/>
                    <w:tr2bl w:val="nil"/>
                  </w:tcBorders>
                  <w:noWrap w:val="0"/>
                  <w:vAlign w:val="center"/>
                </w:tcPr>
                <w:p>
                  <w:pPr>
                    <w:adjustRightInd w:val="0"/>
                    <w:snapToGrid w:val="0"/>
                    <w:jc w:val="center"/>
                    <w:rPr>
                      <w:rFonts w:hint="eastAsia" w:ascii="Times New Roman" w:hAnsi="Times New Roman" w:cs="Times New Roman"/>
                      <w:color w:val="auto"/>
                      <w:spacing w:val="0"/>
                      <w:sz w:val="21"/>
                      <w:szCs w:val="21"/>
                      <w:lang w:val="en-US" w:eastAsia="zh-CN"/>
                    </w:rPr>
                  </w:pPr>
                </w:p>
              </w:tc>
              <w:tc>
                <w:tcPr>
                  <w:tcW w:w="632" w:type="dxa"/>
                  <w:vMerge w:val="continue"/>
                  <w:tcBorders>
                    <w:tl2br w:val="nil"/>
                    <w:tr2bl w:val="nil"/>
                  </w:tcBorders>
                  <w:noWrap w:val="0"/>
                  <w:vAlign w:val="center"/>
                </w:tcPr>
                <w:p>
                  <w:pPr>
                    <w:adjustRightInd w:val="0"/>
                    <w:snapToGrid w:val="0"/>
                    <w:jc w:val="center"/>
                    <w:rPr>
                      <w:rFonts w:hint="eastAsia" w:ascii="Times New Roman" w:hAnsi="Times New Roman" w:cs="Times New Roman"/>
                      <w:color w:val="auto"/>
                      <w:spacing w:val="0"/>
                      <w:sz w:val="21"/>
                      <w:szCs w:val="21"/>
                      <w:lang w:val="en-US" w:eastAsia="zh-CN"/>
                    </w:rPr>
                  </w:pPr>
                </w:p>
              </w:tc>
              <w:tc>
                <w:tcPr>
                  <w:tcW w:w="451" w:type="dxa"/>
                  <w:vMerge w:val="continue"/>
                  <w:tcBorders>
                    <w:tl2br w:val="nil"/>
                    <w:tr2bl w:val="nil"/>
                  </w:tcBorders>
                  <w:noWrap w:val="0"/>
                  <w:vAlign w:val="center"/>
                </w:tcPr>
                <w:p>
                  <w:pPr>
                    <w:keepNext w:val="0"/>
                    <w:keepLines w:val="0"/>
                    <w:widowControl/>
                    <w:suppressLineNumbers w:val="0"/>
                    <w:adjustRightInd w:val="0"/>
                    <w:snapToGrid w:val="0"/>
                    <w:jc w:val="center"/>
                    <w:textAlignment w:val="auto"/>
                    <w:rPr>
                      <w:rFonts w:hint="eastAsia" w:ascii="Times New Roman" w:hAnsi="Times New Roman" w:eastAsia="宋体" w:cs="Times New Roman"/>
                      <w:color w:val="auto"/>
                      <w:spacing w:val="0"/>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3" w:type="dxa"/>
                  <w:tcBorders>
                    <w:tl2br w:val="nil"/>
                    <w:tr2bl w:val="nil"/>
                  </w:tcBorders>
                  <w:noWrap w:val="0"/>
                  <w:vAlign w:val="center"/>
                </w:tcPr>
                <w:p>
                  <w:pPr>
                    <w:widowControl/>
                    <w:jc w:val="center"/>
                    <w:textAlignment w:val="center"/>
                    <w:rPr>
                      <w:rFonts w:hint="default" w:ascii="Times New Roman" w:hAnsi="Times New Roman" w:cs="Times New Roman"/>
                      <w:color w:val="auto"/>
                      <w:spacing w:val="0"/>
                      <w:kern w:val="0"/>
                      <w:sz w:val="21"/>
                      <w:szCs w:val="21"/>
                      <w:lang w:val="en-US" w:eastAsia="zh-CN" w:bidi="ar"/>
                    </w:rPr>
                  </w:pPr>
                  <w:r>
                    <w:rPr>
                      <w:rFonts w:hint="eastAsia" w:cs="Times New Roman"/>
                      <w:color w:val="auto"/>
                      <w:spacing w:val="0"/>
                      <w:kern w:val="0"/>
                      <w:sz w:val="21"/>
                      <w:szCs w:val="21"/>
                      <w:lang w:val="en-US" w:eastAsia="zh-CN" w:bidi="ar"/>
                    </w:rPr>
                    <w:t>3</w:t>
                  </w:r>
                </w:p>
              </w:tc>
              <w:tc>
                <w:tcPr>
                  <w:tcW w:w="903" w:type="dxa"/>
                  <w:tcBorders>
                    <w:tl2br w:val="nil"/>
                    <w:tr2bl w:val="nil"/>
                  </w:tcBorders>
                  <w:noWrap w:val="0"/>
                  <w:vAlign w:val="center"/>
                </w:tcPr>
                <w:p>
                  <w:pPr>
                    <w:adjustRightInd w:val="0"/>
                    <w:snapToGrid w:val="0"/>
                    <w:jc w:val="center"/>
                    <w:rPr>
                      <w:rFonts w:hint="eastAsia" w:cs="Times New Roman"/>
                      <w:color w:val="auto"/>
                      <w:spacing w:val="0"/>
                      <w:sz w:val="21"/>
                      <w:szCs w:val="21"/>
                      <w:lang w:val="en-US" w:eastAsia="zh-CN"/>
                    </w:rPr>
                  </w:pPr>
                  <w:r>
                    <w:rPr>
                      <w:rFonts w:hint="eastAsia" w:cs="Times New Roman"/>
                      <w:color w:val="auto"/>
                      <w:spacing w:val="0"/>
                      <w:sz w:val="21"/>
                      <w:szCs w:val="21"/>
                      <w:lang w:val="en-US" w:eastAsia="zh-CN"/>
                    </w:rPr>
                    <w:t>成型</w:t>
                  </w:r>
                </w:p>
                <w:p>
                  <w:pPr>
                    <w:adjustRightInd w:val="0"/>
                    <w:snapToGrid w:val="0"/>
                    <w:jc w:val="center"/>
                    <w:rPr>
                      <w:rFonts w:hint="default" w:ascii="Times New Roman" w:hAnsi="Times New Roman" w:cs="Times New Roman"/>
                      <w:color w:val="auto"/>
                      <w:spacing w:val="0"/>
                      <w:sz w:val="21"/>
                      <w:szCs w:val="21"/>
                      <w:lang w:val="en-US" w:eastAsia="zh-CN"/>
                    </w:rPr>
                  </w:pPr>
                  <w:r>
                    <w:rPr>
                      <w:rFonts w:hint="eastAsia" w:cs="Times New Roman"/>
                      <w:color w:val="auto"/>
                      <w:spacing w:val="0"/>
                      <w:sz w:val="21"/>
                      <w:szCs w:val="21"/>
                      <w:lang w:val="en-US" w:eastAsia="zh-CN"/>
                    </w:rPr>
                    <w:t>（粘合）</w:t>
                  </w:r>
                </w:p>
              </w:tc>
              <w:tc>
                <w:tcPr>
                  <w:tcW w:w="775" w:type="dxa"/>
                  <w:tcBorders>
                    <w:tl2br w:val="nil"/>
                    <w:tr2bl w:val="nil"/>
                  </w:tcBorders>
                  <w:noWrap w:val="0"/>
                  <w:vAlign w:val="center"/>
                </w:tcPr>
                <w:p>
                  <w:pPr>
                    <w:adjustRightInd w:val="0"/>
                    <w:snapToGrid w:val="0"/>
                    <w:jc w:val="center"/>
                    <w:rPr>
                      <w:rFonts w:hint="eastAsia" w:cs="Times New Roman"/>
                      <w:color w:val="auto"/>
                      <w:spacing w:val="0"/>
                      <w:kern w:val="0"/>
                      <w:sz w:val="21"/>
                      <w:szCs w:val="21"/>
                      <w:lang w:val="en-US" w:eastAsia="zh-CN"/>
                    </w:rPr>
                  </w:pPr>
                  <w:r>
                    <w:rPr>
                      <w:rFonts w:hint="eastAsia" w:cs="Times New Roman"/>
                      <w:color w:val="auto"/>
                      <w:spacing w:val="0"/>
                      <w:kern w:val="0"/>
                      <w:sz w:val="21"/>
                      <w:szCs w:val="21"/>
                      <w:lang w:val="en-US" w:eastAsia="zh-CN"/>
                    </w:rPr>
                    <w:t>非甲烷总烃</w:t>
                  </w:r>
                </w:p>
              </w:tc>
              <w:tc>
                <w:tcPr>
                  <w:tcW w:w="675" w:type="dxa"/>
                  <w:tcBorders>
                    <w:tl2br w:val="nil"/>
                    <w:tr2bl w:val="nil"/>
                  </w:tcBorders>
                  <w:noWrap w:val="0"/>
                  <w:vAlign w:val="center"/>
                </w:tcPr>
                <w:p>
                  <w:pPr>
                    <w:adjustRightInd w:val="0"/>
                    <w:snapToGrid w:val="0"/>
                    <w:jc w:val="center"/>
                    <w:rPr>
                      <w:rFonts w:hint="default" w:cs="Times New Roman"/>
                      <w:color w:val="auto"/>
                      <w:spacing w:val="0"/>
                      <w:sz w:val="21"/>
                      <w:szCs w:val="21"/>
                      <w:lang w:val="en-US" w:eastAsia="zh-CN"/>
                    </w:rPr>
                  </w:pPr>
                  <w:r>
                    <w:rPr>
                      <w:rFonts w:hint="eastAsia" w:cs="Times New Roman"/>
                      <w:color w:val="auto"/>
                      <w:spacing w:val="0"/>
                      <w:sz w:val="21"/>
                      <w:szCs w:val="21"/>
                      <w:lang w:val="en-US" w:eastAsia="zh-CN"/>
                    </w:rPr>
                    <w:t>1.4</w:t>
                  </w:r>
                </w:p>
              </w:tc>
              <w:tc>
                <w:tcPr>
                  <w:tcW w:w="65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0.0017</w:t>
                  </w:r>
                </w:p>
              </w:tc>
              <w:tc>
                <w:tcPr>
                  <w:tcW w:w="73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0.00128</w:t>
                  </w:r>
                </w:p>
              </w:tc>
              <w:tc>
                <w:tcPr>
                  <w:tcW w:w="6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0.14</w:t>
                  </w:r>
                </w:p>
              </w:tc>
              <w:tc>
                <w:tcPr>
                  <w:tcW w:w="71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0.00017</w:t>
                  </w:r>
                </w:p>
              </w:tc>
              <w:tc>
                <w:tcPr>
                  <w:tcW w:w="8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0.000128</w:t>
                  </w:r>
                </w:p>
              </w:tc>
              <w:tc>
                <w:tcPr>
                  <w:tcW w:w="625" w:type="dxa"/>
                  <w:vMerge w:val="continue"/>
                  <w:tcBorders>
                    <w:tl2br w:val="nil"/>
                    <w:tr2bl w:val="nil"/>
                  </w:tcBorders>
                  <w:noWrap w:val="0"/>
                  <w:vAlign w:val="center"/>
                </w:tcPr>
                <w:p>
                  <w:pPr>
                    <w:adjustRightInd w:val="0"/>
                    <w:snapToGrid w:val="0"/>
                    <w:jc w:val="center"/>
                    <w:rPr>
                      <w:rFonts w:hint="eastAsia" w:ascii="Times New Roman" w:hAnsi="Times New Roman" w:cs="Times New Roman"/>
                      <w:color w:val="auto"/>
                      <w:spacing w:val="0"/>
                      <w:sz w:val="21"/>
                      <w:szCs w:val="21"/>
                      <w:lang w:val="en-US" w:eastAsia="zh-CN"/>
                    </w:rPr>
                  </w:pPr>
                </w:p>
              </w:tc>
              <w:tc>
                <w:tcPr>
                  <w:tcW w:w="550" w:type="dxa"/>
                  <w:vMerge w:val="continue"/>
                  <w:tcBorders>
                    <w:tl2br w:val="nil"/>
                    <w:tr2bl w:val="nil"/>
                  </w:tcBorders>
                  <w:noWrap w:val="0"/>
                  <w:vAlign w:val="center"/>
                </w:tcPr>
                <w:p>
                  <w:pPr>
                    <w:adjustRightInd w:val="0"/>
                    <w:snapToGrid w:val="0"/>
                    <w:jc w:val="center"/>
                    <w:rPr>
                      <w:rFonts w:hint="eastAsia" w:ascii="Times New Roman" w:hAnsi="Times New Roman" w:cs="Times New Roman"/>
                      <w:color w:val="auto"/>
                      <w:spacing w:val="0"/>
                      <w:sz w:val="21"/>
                      <w:szCs w:val="21"/>
                      <w:lang w:val="en-US" w:eastAsia="zh-CN"/>
                    </w:rPr>
                  </w:pPr>
                </w:p>
              </w:tc>
              <w:tc>
                <w:tcPr>
                  <w:tcW w:w="632" w:type="dxa"/>
                  <w:vMerge w:val="continue"/>
                  <w:tcBorders>
                    <w:tl2br w:val="nil"/>
                    <w:tr2bl w:val="nil"/>
                  </w:tcBorders>
                  <w:noWrap w:val="0"/>
                  <w:vAlign w:val="center"/>
                </w:tcPr>
                <w:p>
                  <w:pPr>
                    <w:adjustRightInd w:val="0"/>
                    <w:snapToGrid w:val="0"/>
                    <w:jc w:val="center"/>
                    <w:rPr>
                      <w:rFonts w:hint="eastAsia" w:ascii="Times New Roman" w:hAnsi="Times New Roman" w:cs="Times New Roman"/>
                      <w:color w:val="auto"/>
                      <w:spacing w:val="0"/>
                      <w:sz w:val="21"/>
                      <w:szCs w:val="21"/>
                      <w:lang w:val="en-US" w:eastAsia="zh-CN"/>
                    </w:rPr>
                  </w:pPr>
                </w:p>
              </w:tc>
              <w:tc>
                <w:tcPr>
                  <w:tcW w:w="451" w:type="dxa"/>
                  <w:vMerge w:val="continue"/>
                  <w:tcBorders>
                    <w:tl2br w:val="nil"/>
                    <w:tr2bl w:val="nil"/>
                  </w:tcBorders>
                  <w:noWrap w:val="0"/>
                  <w:vAlign w:val="center"/>
                </w:tcPr>
                <w:p>
                  <w:pPr>
                    <w:keepNext w:val="0"/>
                    <w:keepLines w:val="0"/>
                    <w:widowControl/>
                    <w:suppressLineNumbers w:val="0"/>
                    <w:adjustRightInd w:val="0"/>
                    <w:snapToGrid w:val="0"/>
                    <w:jc w:val="center"/>
                    <w:textAlignment w:val="auto"/>
                    <w:rPr>
                      <w:rFonts w:hint="default" w:ascii="Times New Roman" w:hAnsi="Times New Roman" w:eastAsia="宋体" w:cs="Times New Roman"/>
                      <w:color w:val="auto"/>
                      <w:spacing w:val="0"/>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3" w:type="dxa"/>
                  <w:tcBorders>
                    <w:tl2br w:val="nil"/>
                    <w:tr2bl w:val="nil"/>
                  </w:tcBorders>
                  <w:noWrap w:val="0"/>
                  <w:vAlign w:val="center"/>
                </w:tcPr>
                <w:p>
                  <w:pPr>
                    <w:widowControl/>
                    <w:jc w:val="center"/>
                    <w:textAlignment w:val="center"/>
                    <w:rPr>
                      <w:rFonts w:hint="default" w:cs="Times New Roman"/>
                      <w:color w:val="auto"/>
                      <w:spacing w:val="0"/>
                      <w:kern w:val="0"/>
                      <w:sz w:val="21"/>
                      <w:szCs w:val="21"/>
                      <w:lang w:val="en-US" w:eastAsia="zh-CN" w:bidi="ar"/>
                    </w:rPr>
                  </w:pPr>
                  <w:r>
                    <w:rPr>
                      <w:rFonts w:hint="eastAsia" w:cs="Times New Roman"/>
                      <w:color w:val="auto"/>
                      <w:spacing w:val="0"/>
                      <w:kern w:val="0"/>
                      <w:sz w:val="21"/>
                      <w:szCs w:val="21"/>
                      <w:lang w:val="en-US" w:eastAsia="zh-CN" w:bidi="ar"/>
                    </w:rPr>
                    <w:t>4</w:t>
                  </w:r>
                </w:p>
              </w:tc>
              <w:tc>
                <w:tcPr>
                  <w:tcW w:w="903" w:type="dxa"/>
                  <w:tcBorders>
                    <w:tl2br w:val="nil"/>
                    <w:tr2bl w:val="nil"/>
                  </w:tcBorders>
                  <w:noWrap w:val="0"/>
                  <w:vAlign w:val="center"/>
                </w:tcPr>
                <w:p>
                  <w:pPr>
                    <w:adjustRightInd w:val="0"/>
                    <w:snapToGrid w:val="0"/>
                    <w:jc w:val="center"/>
                    <w:rPr>
                      <w:rFonts w:hint="eastAsia" w:cs="Times New Roman"/>
                      <w:color w:val="auto"/>
                      <w:spacing w:val="0"/>
                      <w:sz w:val="21"/>
                      <w:szCs w:val="21"/>
                      <w:lang w:val="en-US" w:eastAsia="zh-CN"/>
                    </w:rPr>
                  </w:pPr>
                  <w:r>
                    <w:rPr>
                      <w:rFonts w:hint="eastAsia" w:cs="Times New Roman"/>
                      <w:color w:val="auto"/>
                      <w:spacing w:val="0"/>
                      <w:sz w:val="21"/>
                      <w:szCs w:val="21"/>
                      <w:lang w:val="en-US" w:eastAsia="zh-CN"/>
                    </w:rPr>
                    <w:t>木制品</w:t>
                  </w:r>
                </w:p>
                <w:p>
                  <w:pPr>
                    <w:adjustRightInd w:val="0"/>
                    <w:snapToGrid w:val="0"/>
                    <w:jc w:val="center"/>
                    <w:rPr>
                      <w:rFonts w:hint="eastAsia" w:cs="Times New Roman"/>
                      <w:color w:val="auto"/>
                      <w:spacing w:val="0"/>
                      <w:sz w:val="21"/>
                      <w:szCs w:val="21"/>
                      <w:lang w:val="en-US" w:eastAsia="zh-CN"/>
                    </w:rPr>
                  </w:pPr>
                  <w:r>
                    <w:rPr>
                      <w:rFonts w:hint="eastAsia" w:cs="Times New Roman"/>
                      <w:color w:val="auto"/>
                      <w:spacing w:val="0"/>
                      <w:sz w:val="21"/>
                      <w:szCs w:val="21"/>
                      <w:lang w:val="en-US" w:eastAsia="zh-CN"/>
                    </w:rPr>
                    <w:t>下料、</w:t>
                  </w:r>
                </w:p>
                <w:p>
                  <w:pPr>
                    <w:adjustRightInd w:val="0"/>
                    <w:snapToGrid w:val="0"/>
                    <w:jc w:val="center"/>
                    <w:rPr>
                      <w:rFonts w:hint="default" w:cs="Times New Roman"/>
                      <w:color w:val="auto"/>
                      <w:spacing w:val="0"/>
                      <w:sz w:val="21"/>
                      <w:szCs w:val="21"/>
                      <w:lang w:val="en-US" w:eastAsia="zh-CN"/>
                    </w:rPr>
                  </w:pPr>
                  <w:r>
                    <w:rPr>
                      <w:rFonts w:hint="eastAsia" w:cs="Times New Roman"/>
                      <w:color w:val="auto"/>
                      <w:spacing w:val="0"/>
                      <w:sz w:val="21"/>
                      <w:szCs w:val="21"/>
                      <w:lang w:val="en-US" w:eastAsia="zh-CN"/>
                    </w:rPr>
                    <w:t>加工</w:t>
                  </w:r>
                </w:p>
              </w:tc>
              <w:tc>
                <w:tcPr>
                  <w:tcW w:w="775" w:type="dxa"/>
                  <w:tcBorders>
                    <w:tl2br w:val="nil"/>
                    <w:tr2bl w:val="nil"/>
                  </w:tcBorders>
                  <w:noWrap w:val="0"/>
                  <w:vAlign w:val="center"/>
                </w:tcPr>
                <w:p>
                  <w:pPr>
                    <w:adjustRightInd w:val="0"/>
                    <w:snapToGrid w:val="0"/>
                    <w:jc w:val="center"/>
                    <w:rPr>
                      <w:rFonts w:hint="default" w:cs="Times New Roman"/>
                      <w:color w:val="auto"/>
                      <w:spacing w:val="0"/>
                      <w:kern w:val="0"/>
                      <w:sz w:val="21"/>
                      <w:szCs w:val="21"/>
                      <w:lang w:val="en-US" w:eastAsia="zh-CN"/>
                    </w:rPr>
                  </w:pPr>
                  <w:r>
                    <w:rPr>
                      <w:rFonts w:hint="eastAsia" w:cs="Times New Roman"/>
                      <w:color w:val="auto"/>
                      <w:spacing w:val="0"/>
                      <w:kern w:val="0"/>
                      <w:sz w:val="21"/>
                      <w:szCs w:val="21"/>
                      <w:lang w:val="en-US" w:eastAsia="zh-CN"/>
                    </w:rPr>
                    <w:t>颗粒物</w:t>
                  </w:r>
                </w:p>
              </w:tc>
              <w:tc>
                <w:tcPr>
                  <w:tcW w:w="675" w:type="dxa"/>
                  <w:tcBorders>
                    <w:tl2br w:val="nil"/>
                    <w:tr2bl w:val="nil"/>
                  </w:tcBorders>
                  <w:noWrap w:val="0"/>
                  <w:vAlign w:val="center"/>
                </w:tcPr>
                <w:p>
                  <w:pPr>
                    <w:adjustRightInd w:val="0"/>
                    <w:snapToGrid w:val="0"/>
                    <w:jc w:val="center"/>
                    <w:rPr>
                      <w:rFonts w:hint="default" w:cs="Times New Roman"/>
                      <w:color w:val="auto"/>
                      <w:spacing w:val="0"/>
                      <w:sz w:val="21"/>
                      <w:szCs w:val="21"/>
                      <w:lang w:val="en-US" w:eastAsia="zh-CN"/>
                    </w:rPr>
                  </w:pPr>
                  <w:r>
                    <w:rPr>
                      <w:rFonts w:hint="eastAsia" w:cs="Times New Roman"/>
                      <w:color w:val="auto"/>
                      <w:spacing w:val="0"/>
                      <w:sz w:val="21"/>
                      <w:szCs w:val="21"/>
                      <w:lang w:val="en-US" w:eastAsia="zh-CN"/>
                    </w:rPr>
                    <w:t>91.2</w:t>
                  </w:r>
                </w:p>
              </w:tc>
              <w:tc>
                <w:tcPr>
                  <w:tcW w:w="650" w:type="dxa"/>
                  <w:tcBorders>
                    <w:tl2br w:val="nil"/>
                    <w:tr2bl w:val="nil"/>
                  </w:tcBorders>
                  <w:noWrap w:val="0"/>
                  <w:vAlign w:val="center"/>
                </w:tcPr>
                <w:p>
                  <w:pPr>
                    <w:adjustRightInd w:val="0"/>
                    <w:snapToGrid w:val="0"/>
                    <w:jc w:val="center"/>
                    <w:rPr>
                      <w:rFonts w:hint="default" w:cs="Times New Roman"/>
                      <w:color w:val="auto"/>
                      <w:spacing w:val="0"/>
                      <w:sz w:val="21"/>
                      <w:szCs w:val="21"/>
                      <w:lang w:val="en-US" w:eastAsia="zh-CN"/>
                    </w:rPr>
                  </w:pPr>
                  <w:r>
                    <w:rPr>
                      <w:rFonts w:hint="eastAsia" w:cs="Times New Roman"/>
                      <w:color w:val="auto"/>
                      <w:spacing w:val="0"/>
                      <w:sz w:val="21"/>
                      <w:szCs w:val="21"/>
                      <w:lang w:val="en-US" w:eastAsia="zh-CN"/>
                    </w:rPr>
                    <w:t>0.274</w:t>
                  </w:r>
                </w:p>
              </w:tc>
              <w:tc>
                <w:tcPr>
                  <w:tcW w:w="737" w:type="dxa"/>
                  <w:tcBorders>
                    <w:tl2br w:val="nil"/>
                    <w:tr2bl w:val="nil"/>
                  </w:tcBorders>
                  <w:noWrap w:val="0"/>
                  <w:vAlign w:val="center"/>
                </w:tcPr>
                <w:p>
                  <w:pPr>
                    <w:adjustRightInd w:val="0"/>
                    <w:snapToGrid w:val="0"/>
                    <w:jc w:val="center"/>
                    <w:rPr>
                      <w:rFonts w:hint="default" w:cs="Times New Roman"/>
                      <w:color w:val="auto"/>
                      <w:spacing w:val="0"/>
                      <w:sz w:val="21"/>
                      <w:szCs w:val="21"/>
                      <w:lang w:val="en-US" w:eastAsia="zh-CN"/>
                    </w:rPr>
                  </w:pPr>
                  <w:r>
                    <w:rPr>
                      <w:rFonts w:hint="eastAsia" w:cs="Times New Roman"/>
                      <w:color w:val="auto"/>
                      <w:spacing w:val="0"/>
                      <w:sz w:val="21"/>
                      <w:szCs w:val="21"/>
                      <w:lang w:val="en-US" w:eastAsia="zh-CN"/>
                    </w:rPr>
                    <w:t>0.5472</w:t>
                  </w:r>
                </w:p>
              </w:tc>
              <w:tc>
                <w:tcPr>
                  <w:tcW w:w="600" w:type="dxa"/>
                  <w:tcBorders>
                    <w:tl2br w:val="nil"/>
                    <w:tr2bl w:val="nil"/>
                  </w:tcBorders>
                  <w:noWrap w:val="0"/>
                  <w:vAlign w:val="center"/>
                </w:tcPr>
                <w:p>
                  <w:pPr>
                    <w:adjustRightInd w:val="0"/>
                    <w:snapToGrid w:val="0"/>
                    <w:jc w:val="center"/>
                    <w:rPr>
                      <w:rFonts w:hint="default" w:cs="Times New Roman"/>
                      <w:color w:val="auto"/>
                      <w:spacing w:val="0"/>
                      <w:sz w:val="21"/>
                      <w:szCs w:val="21"/>
                      <w:lang w:val="en-US" w:eastAsia="zh-CN"/>
                    </w:rPr>
                  </w:pPr>
                  <w:r>
                    <w:rPr>
                      <w:rFonts w:hint="eastAsia" w:cs="Times New Roman"/>
                      <w:color w:val="auto"/>
                      <w:spacing w:val="0"/>
                      <w:sz w:val="21"/>
                      <w:szCs w:val="21"/>
                      <w:lang w:val="en-US" w:eastAsia="zh-CN"/>
                    </w:rPr>
                    <w:t>4.56</w:t>
                  </w:r>
                </w:p>
              </w:tc>
              <w:tc>
                <w:tcPr>
                  <w:tcW w:w="713" w:type="dxa"/>
                  <w:tcBorders>
                    <w:tl2br w:val="nil"/>
                    <w:tr2bl w:val="nil"/>
                  </w:tcBorders>
                  <w:noWrap w:val="0"/>
                  <w:vAlign w:val="center"/>
                </w:tcPr>
                <w:p>
                  <w:pPr>
                    <w:adjustRightInd w:val="0"/>
                    <w:snapToGrid w:val="0"/>
                    <w:jc w:val="center"/>
                    <w:rPr>
                      <w:rFonts w:hint="default" w:cs="Times New Roman"/>
                      <w:color w:val="auto"/>
                      <w:spacing w:val="0"/>
                      <w:sz w:val="21"/>
                      <w:szCs w:val="21"/>
                      <w:lang w:val="en-US" w:eastAsia="zh-CN"/>
                    </w:rPr>
                  </w:pPr>
                  <w:r>
                    <w:rPr>
                      <w:rFonts w:hint="eastAsia" w:cs="Times New Roman"/>
                      <w:color w:val="auto"/>
                      <w:spacing w:val="0"/>
                      <w:sz w:val="21"/>
                      <w:szCs w:val="21"/>
                      <w:lang w:val="en-US" w:eastAsia="zh-CN"/>
                    </w:rPr>
                    <w:t>0.0137</w:t>
                  </w:r>
                </w:p>
              </w:tc>
              <w:tc>
                <w:tcPr>
                  <w:tcW w:w="800" w:type="dxa"/>
                  <w:tcBorders>
                    <w:tl2br w:val="nil"/>
                    <w:tr2bl w:val="nil"/>
                  </w:tcBorders>
                  <w:noWrap w:val="0"/>
                  <w:vAlign w:val="center"/>
                </w:tcPr>
                <w:p>
                  <w:pPr>
                    <w:adjustRightInd w:val="0"/>
                    <w:snapToGrid w:val="0"/>
                    <w:jc w:val="center"/>
                    <w:rPr>
                      <w:rFonts w:hint="default" w:cs="Times New Roman"/>
                      <w:color w:val="auto"/>
                      <w:spacing w:val="0"/>
                      <w:sz w:val="21"/>
                      <w:szCs w:val="21"/>
                      <w:lang w:val="en-US" w:eastAsia="zh-CN"/>
                    </w:rPr>
                  </w:pPr>
                  <w:r>
                    <w:rPr>
                      <w:rFonts w:hint="eastAsia" w:cs="Times New Roman"/>
                      <w:color w:val="auto"/>
                      <w:spacing w:val="0"/>
                      <w:sz w:val="21"/>
                      <w:szCs w:val="21"/>
                      <w:lang w:val="en-US" w:eastAsia="zh-CN"/>
                    </w:rPr>
                    <w:t>0.0274</w:t>
                  </w:r>
                </w:p>
              </w:tc>
              <w:tc>
                <w:tcPr>
                  <w:tcW w:w="625" w:type="dxa"/>
                  <w:tcBorders>
                    <w:tl2br w:val="nil"/>
                    <w:tr2bl w:val="nil"/>
                  </w:tcBorders>
                  <w:noWrap w:val="0"/>
                  <w:vAlign w:val="center"/>
                </w:tcPr>
                <w:p>
                  <w:pPr>
                    <w:adjustRightInd w:val="0"/>
                    <w:snapToGrid w:val="0"/>
                    <w:jc w:val="center"/>
                    <w:rPr>
                      <w:rFonts w:hint="default" w:cs="Times New Roman"/>
                      <w:color w:val="auto"/>
                      <w:spacing w:val="0"/>
                      <w:sz w:val="21"/>
                      <w:szCs w:val="21"/>
                      <w:lang w:val="en-US" w:eastAsia="zh-CN"/>
                    </w:rPr>
                  </w:pPr>
                  <w:r>
                    <w:rPr>
                      <w:rFonts w:hint="eastAsia" w:cs="Times New Roman"/>
                      <w:color w:val="auto"/>
                      <w:spacing w:val="0"/>
                      <w:sz w:val="21"/>
                      <w:szCs w:val="21"/>
                      <w:lang w:val="en-US" w:eastAsia="zh-CN"/>
                    </w:rPr>
                    <w:t>15</w:t>
                  </w:r>
                </w:p>
              </w:tc>
              <w:tc>
                <w:tcPr>
                  <w:tcW w:w="550" w:type="dxa"/>
                  <w:tcBorders>
                    <w:tl2br w:val="nil"/>
                    <w:tr2bl w:val="nil"/>
                  </w:tcBorders>
                  <w:noWrap w:val="0"/>
                  <w:vAlign w:val="center"/>
                </w:tcPr>
                <w:p>
                  <w:pPr>
                    <w:adjustRightInd w:val="0"/>
                    <w:snapToGrid w:val="0"/>
                    <w:jc w:val="center"/>
                    <w:rPr>
                      <w:rFonts w:hint="default" w:cs="Times New Roman"/>
                      <w:color w:val="auto"/>
                      <w:spacing w:val="0"/>
                      <w:sz w:val="21"/>
                      <w:szCs w:val="21"/>
                      <w:lang w:val="en-US" w:eastAsia="zh-CN"/>
                    </w:rPr>
                  </w:pPr>
                  <w:r>
                    <w:rPr>
                      <w:rFonts w:hint="eastAsia" w:cs="Times New Roman"/>
                      <w:color w:val="auto"/>
                      <w:spacing w:val="0"/>
                      <w:sz w:val="21"/>
                      <w:szCs w:val="21"/>
                      <w:lang w:val="en-US" w:eastAsia="zh-CN"/>
                    </w:rPr>
                    <w:t>/</w:t>
                  </w:r>
                </w:p>
              </w:tc>
              <w:tc>
                <w:tcPr>
                  <w:tcW w:w="632" w:type="dxa"/>
                  <w:tcBorders>
                    <w:tl2br w:val="nil"/>
                    <w:tr2bl w:val="nil"/>
                  </w:tcBorders>
                  <w:noWrap w:val="0"/>
                  <w:vAlign w:val="center"/>
                </w:tcPr>
                <w:p>
                  <w:pPr>
                    <w:adjustRightInd w:val="0"/>
                    <w:snapToGrid w:val="0"/>
                    <w:jc w:val="center"/>
                    <w:rPr>
                      <w:rFonts w:hint="eastAsia" w:cs="Times New Roman"/>
                      <w:color w:val="auto"/>
                      <w:spacing w:val="0"/>
                      <w:sz w:val="21"/>
                      <w:szCs w:val="21"/>
                      <w:lang w:val="en-US" w:eastAsia="zh-CN"/>
                    </w:rPr>
                  </w:pPr>
                  <w:r>
                    <w:rPr>
                      <w:rFonts w:hint="eastAsia" w:cs="Times New Roman"/>
                      <w:color w:val="auto"/>
                      <w:spacing w:val="0"/>
                      <w:sz w:val="21"/>
                      <w:szCs w:val="21"/>
                      <w:lang w:val="en-US" w:eastAsia="zh-CN"/>
                    </w:rPr>
                    <w:t>25</w:t>
                  </w:r>
                </w:p>
                <w:p>
                  <w:pPr>
                    <w:adjustRightInd w:val="0"/>
                    <w:snapToGrid w:val="0"/>
                    <w:jc w:val="center"/>
                    <w:rPr>
                      <w:rFonts w:hint="default" w:ascii="Times New Roman" w:hAnsi="Times New Roman" w:cs="Times New Roman"/>
                      <w:color w:val="auto"/>
                      <w:spacing w:val="0"/>
                      <w:sz w:val="21"/>
                      <w:szCs w:val="21"/>
                      <w:lang w:val="en-US" w:eastAsia="zh-CN"/>
                    </w:rPr>
                  </w:pPr>
                  <w:r>
                    <w:rPr>
                      <w:rFonts w:hint="eastAsia" w:cs="Times New Roman"/>
                      <w:color w:val="auto"/>
                      <w:spacing w:val="0"/>
                      <w:sz w:val="21"/>
                      <w:szCs w:val="21"/>
                      <w:lang w:val="en-US" w:eastAsia="zh-CN"/>
                    </w:rPr>
                    <w:t>（2#）</w:t>
                  </w:r>
                </w:p>
              </w:tc>
              <w:tc>
                <w:tcPr>
                  <w:tcW w:w="451" w:type="dxa"/>
                  <w:tcBorders>
                    <w:tl2br w:val="nil"/>
                    <w:tr2bl w:val="nil"/>
                  </w:tcBorders>
                  <w:noWrap w:val="0"/>
                  <w:vAlign w:val="center"/>
                </w:tcPr>
                <w:p>
                  <w:pPr>
                    <w:keepNext w:val="0"/>
                    <w:keepLines w:val="0"/>
                    <w:widowControl/>
                    <w:suppressLineNumbers w:val="0"/>
                    <w:adjustRightInd w:val="0"/>
                    <w:snapToGrid w:val="0"/>
                    <w:jc w:val="center"/>
                    <w:textAlignment w:val="auto"/>
                    <w:rPr>
                      <w:rFonts w:hint="default" w:ascii="Times New Roman" w:hAnsi="Times New Roman" w:eastAsia="宋体" w:cs="Times New Roman"/>
                      <w:color w:val="auto"/>
                      <w:spacing w:val="0"/>
                      <w:sz w:val="21"/>
                      <w:szCs w:val="21"/>
                      <w:lang w:val="en-US" w:eastAsia="zh-CN" w:bidi="ar"/>
                    </w:rPr>
                  </w:pPr>
                  <w:r>
                    <w:rPr>
                      <w:rFonts w:hint="eastAsia" w:cs="Times New Roman"/>
                      <w:color w:val="auto"/>
                      <w:spacing w:val="0"/>
                      <w:sz w:val="21"/>
                      <w:szCs w:val="21"/>
                      <w:lang w:val="en-US" w:eastAsia="zh-CN" w:bidi="ar"/>
                    </w:rPr>
                    <w:t>2000</w:t>
                  </w:r>
                </w:p>
              </w:tc>
            </w:tr>
            <w:bookmarkEnd w:id="9"/>
            <w:bookmarkEnd w:id="10"/>
          </w:tbl>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b w:val="0"/>
                <w:bCs/>
                <w:spacing w:val="0"/>
                <w:lang w:val="en-US" w:eastAsia="zh-CN"/>
              </w:rPr>
            </w:pPr>
            <w:r>
              <w:rPr>
                <w:rFonts w:hint="eastAsia"/>
                <w:b/>
                <w:bCs w:val="0"/>
                <w:spacing w:val="0"/>
                <w:sz w:val="24"/>
                <w:szCs w:val="24"/>
                <w:lang w:val="en-US" w:eastAsia="zh-CN"/>
              </w:rPr>
              <w:t>表4-3  本项目印刷、胶黏、成型有组织废气产排情况表（合并计算）</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58"/>
              <w:gridCol w:w="1098"/>
              <w:gridCol w:w="666"/>
              <w:gridCol w:w="613"/>
              <w:gridCol w:w="609"/>
              <w:gridCol w:w="718"/>
              <w:gridCol w:w="613"/>
              <w:gridCol w:w="718"/>
              <w:gridCol w:w="827"/>
              <w:gridCol w:w="613"/>
              <w:gridCol w:w="448"/>
              <w:gridCol w:w="664"/>
              <w:gridCol w:w="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58"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编号</w:t>
                  </w:r>
                </w:p>
              </w:tc>
              <w:tc>
                <w:tcPr>
                  <w:tcW w:w="1098"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废气产污</w:t>
                  </w:r>
                </w:p>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环节</w:t>
                  </w:r>
                </w:p>
              </w:tc>
              <w:tc>
                <w:tcPr>
                  <w:tcW w:w="666"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污染物</w:t>
                  </w:r>
                </w:p>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种类</w:t>
                  </w:r>
                </w:p>
              </w:tc>
              <w:tc>
                <w:tcPr>
                  <w:tcW w:w="1940" w:type="dxa"/>
                  <w:gridSpan w:val="3"/>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产生情况</w:t>
                  </w:r>
                </w:p>
              </w:tc>
              <w:tc>
                <w:tcPr>
                  <w:tcW w:w="2158" w:type="dxa"/>
                  <w:gridSpan w:val="3"/>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排放情况</w:t>
                  </w:r>
                </w:p>
              </w:tc>
              <w:tc>
                <w:tcPr>
                  <w:tcW w:w="1061" w:type="dxa"/>
                  <w:gridSpan w:val="2"/>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执行标准</w:t>
                  </w:r>
                </w:p>
              </w:tc>
              <w:tc>
                <w:tcPr>
                  <w:tcW w:w="664"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排放</w:t>
                  </w:r>
                </w:p>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去向</w:t>
                  </w:r>
                </w:p>
              </w:tc>
              <w:tc>
                <w:tcPr>
                  <w:tcW w:w="459"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排放</w:t>
                  </w:r>
                </w:p>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58"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p>
              </w:tc>
              <w:tc>
                <w:tcPr>
                  <w:tcW w:w="1098"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p>
              </w:tc>
              <w:tc>
                <w:tcPr>
                  <w:tcW w:w="666"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p>
              </w:tc>
              <w:tc>
                <w:tcPr>
                  <w:tcW w:w="613"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浓度</w:t>
                  </w:r>
                </w:p>
              </w:tc>
              <w:tc>
                <w:tcPr>
                  <w:tcW w:w="609"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速率</w:t>
                  </w:r>
                </w:p>
              </w:tc>
              <w:tc>
                <w:tcPr>
                  <w:tcW w:w="718"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产生量</w:t>
                  </w:r>
                </w:p>
              </w:tc>
              <w:tc>
                <w:tcPr>
                  <w:tcW w:w="613"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浓度</w:t>
                  </w:r>
                </w:p>
              </w:tc>
              <w:tc>
                <w:tcPr>
                  <w:tcW w:w="718"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速率</w:t>
                  </w:r>
                </w:p>
              </w:tc>
              <w:tc>
                <w:tcPr>
                  <w:tcW w:w="827"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排放量</w:t>
                  </w:r>
                </w:p>
              </w:tc>
              <w:tc>
                <w:tcPr>
                  <w:tcW w:w="613"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浓度</w:t>
                  </w:r>
                </w:p>
              </w:tc>
              <w:tc>
                <w:tcPr>
                  <w:tcW w:w="448"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速率</w:t>
                  </w:r>
                </w:p>
              </w:tc>
              <w:tc>
                <w:tcPr>
                  <w:tcW w:w="664"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p>
              </w:tc>
              <w:tc>
                <w:tcPr>
                  <w:tcW w:w="459"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58"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p>
              </w:tc>
              <w:tc>
                <w:tcPr>
                  <w:tcW w:w="1098"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p>
              </w:tc>
              <w:tc>
                <w:tcPr>
                  <w:tcW w:w="666" w:type="dxa"/>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p>
              </w:tc>
              <w:tc>
                <w:tcPr>
                  <w:tcW w:w="613"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mg/m</w:t>
                  </w:r>
                  <w:r>
                    <w:rPr>
                      <w:rFonts w:hint="default" w:ascii="Times New Roman" w:hAnsi="Times New Roman" w:cs="Times New Roman"/>
                      <w:b/>
                      <w:bCs/>
                      <w:color w:val="auto"/>
                      <w:spacing w:val="0"/>
                      <w:kern w:val="0"/>
                      <w:sz w:val="21"/>
                      <w:szCs w:val="21"/>
                      <w:vertAlign w:val="superscript"/>
                    </w:rPr>
                    <w:t>3</w:t>
                  </w:r>
                </w:p>
              </w:tc>
              <w:tc>
                <w:tcPr>
                  <w:tcW w:w="609"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kg/h</w:t>
                  </w:r>
                </w:p>
              </w:tc>
              <w:tc>
                <w:tcPr>
                  <w:tcW w:w="718"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t/a</w:t>
                  </w:r>
                </w:p>
              </w:tc>
              <w:tc>
                <w:tcPr>
                  <w:tcW w:w="613"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mg/m</w:t>
                  </w:r>
                  <w:r>
                    <w:rPr>
                      <w:rFonts w:hint="default" w:ascii="Times New Roman" w:hAnsi="Times New Roman" w:cs="Times New Roman"/>
                      <w:b/>
                      <w:bCs/>
                      <w:color w:val="auto"/>
                      <w:spacing w:val="0"/>
                      <w:kern w:val="0"/>
                      <w:sz w:val="21"/>
                      <w:szCs w:val="21"/>
                      <w:vertAlign w:val="superscript"/>
                    </w:rPr>
                    <w:t>3</w:t>
                  </w:r>
                </w:p>
              </w:tc>
              <w:tc>
                <w:tcPr>
                  <w:tcW w:w="718"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kg/h</w:t>
                  </w:r>
                </w:p>
              </w:tc>
              <w:tc>
                <w:tcPr>
                  <w:tcW w:w="827"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t/a</w:t>
                  </w:r>
                </w:p>
              </w:tc>
              <w:tc>
                <w:tcPr>
                  <w:tcW w:w="613"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mg/m</w:t>
                  </w:r>
                  <w:r>
                    <w:rPr>
                      <w:rFonts w:hint="default" w:ascii="Times New Roman" w:hAnsi="Times New Roman" w:cs="Times New Roman"/>
                      <w:b/>
                      <w:bCs/>
                      <w:color w:val="auto"/>
                      <w:spacing w:val="0"/>
                      <w:kern w:val="0"/>
                      <w:sz w:val="21"/>
                      <w:szCs w:val="21"/>
                      <w:vertAlign w:val="superscript"/>
                    </w:rPr>
                    <w:t>3</w:t>
                  </w:r>
                </w:p>
              </w:tc>
              <w:tc>
                <w:tcPr>
                  <w:tcW w:w="448"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kg/h</w:t>
                  </w:r>
                </w:p>
              </w:tc>
              <w:tc>
                <w:tcPr>
                  <w:tcW w:w="664"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m</w:t>
                  </w:r>
                </w:p>
              </w:tc>
              <w:tc>
                <w:tcPr>
                  <w:tcW w:w="459"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kern w:val="0"/>
                      <w:sz w:val="21"/>
                      <w:szCs w:val="21"/>
                    </w:rPr>
                  </w:pPr>
                  <w:r>
                    <w:rPr>
                      <w:rFonts w:hint="default" w:ascii="Times New Roman" w:hAnsi="Times New Roman" w:cs="Times New Roman"/>
                      <w:b/>
                      <w:bCs/>
                      <w:color w:val="auto"/>
                      <w:spacing w:val="0"/>
                      <w:kern w:val="0"/>
                      <w:sz w:val="21"/>
                      <w:szCs w:val="21"/>
                    </w:rPr>
                    <w:t>h/a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58" w:type="dxa"/>
                  <w:tcBorders>
                    <w:tl2br w:val="nil"/>
                    <w:tr2bl w:val="nil"/>
                  </w:tcBorders>
                  <w:noWrap w:val="0"/>
                  <w:vAlign w:val="center"/>
                </w:tcPr>
                <w:p>
                  <w:pPr>
                    <w:widowControl/>
                    <w:jc w:val="center"/>
                    <w:textAlignment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lang w:bidi="ar"/>
                    </w:rPr>
                    <w:t>1</w:t>
                  </w:r>
                </w:p>
              </w:tc>
              <w:tc>
                <w:tcPr>
                  <w:tcW w:w="1098" w:type="dxa"/>
                  <w:tcBorders>
                    <w:tl2br w:val="nil"/>
                    <w:tr2bl w:val="nil"/>
                  </w:tcBorders>
                  <w:noWrap w:val="0"/>
                  <w:vAlign w:val="center"/>
                </w:tcPr>
                <w:p>
                  <w:pPr>
                    <w:adjustRightInd w:val="0"/>
                    <w:snapToGrid w:val="0"/>
                    <w:jc w:val="center"/>
                    <w:rPr>
                      <w:rFonts w:hint="eastAsia" w:cs="Times New Roman"/>
                      <w:color w:val="auto"/>
                      <w:spacing w:val="0"/>
                      <w:sz w:val="21"/>
                      <w:szCs w:val="21"/>
                      <w:lang w:val="en-US" w:eastAsia="zh-CN"/>
                    </w:rPr>
                  </w:pPr>
                  <w:r>
                    <w:rPr>
                      <w:rFonts w:hint="eastAsia" w:ascii="Times New Roman" w:hAnsi="Times New Roman" w:cs="Times New Roman"/>
                      <w:color w:val="auto"/>
                      <w:spacing w:val="0"/>
                      <w:sz w:val="21"/>
                      <w:szCs w:val="21"/>
                      <w:lang w:val="en-US" w:eastAsia="zh-CN"/>
                    </w:rPr>
                    <w:t>印刷</w:t>
                  </w:r>
                  <w:r>
                    <w:rPr>
                      <w:rFonts w:hint="eastAsia" w:cs="Times New Roman"/>
                      <w:color w:val="auto"/>
                      <w:spacing w:val="0"/>
                      <w:sz w:val="21"/>
                      <w:szCs w:val="21"/>
                      <w:lang w:val="en-US" w:eastAsia="zh-CN"/>
                    </w:rPr>
                    <w:t>、</w:t>
                  </w:r>
                </w:p>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胶黏、成型</w:t>
                  </w:r>
                </w:p>
              </w:tc>
              <w:tc>
                <w:tcPr>
                  <w:tcW w:w="666" w:type="dxa"/>
                  <w:tcBorders>
                    <w:tl2br w:val="nil"/>
                    <w:tr2bl w:val="nil"/>
                  </w:tcBorders>
                  <w:noWrap w:val="0"/>
                  <w:vAlign w:val="center"/>
                </w:tcPr>
                <w:p>
                  <w:pPr>
                    <w:adjustRightInd w:val="0"/>
                    <w:snapToGrid w:val="0"/>
                    <w:jc w:val="center"/>
                    <w:rPr>
                      <w:rFonts w:hint="eastAsia" w:cs="Times New Roman"/>
                      <w:color w:val="auto"/>
                      <w:spacing w:val="0"/>
                      <w:kern w:val="0"/>
                      <w:sz w:val="21"/>
                      <w:szCs w:val="21"/>
                      <w:lang w:val="en-US" w:eastAsia="zh-CN"/>
                    </w:rPr>
                  </w:pPr>
                  <w:r>
                    <w:rPr>
                      <w:rFonts w:hint="eastAsia" w:cs="Times New Roman"/>
                      <w:color w:val="auto"/>
                      <w:spacing w:val="0"/>
                      <w:kern w:val="0"/>
                      <w:sz w:val="21"/>
                      <w:szCs w:val="21"/>
                      <w:lang w:val="en-US" w:eastAsia="zh-CN"/>
                    </w:rPr>
                    <w:t>非甲烷</w:t>
                  </w:r>
                </w:p>
                <w:p>
                  <w:pPr>
                    <w:adjustRightInd w:val="0"/>
                    <w:snapToGrid w:val="0"/>
                    <w:jc w:val="center"/>
                    <w:rPr>
                      <w:rFonts w:hint="default" w:ascii="Times New Roman" w:hAnsi="Times New Roman" w:eastAsia="宋体" w:cs="Times New Roman"/>
                      <w:color w:val="auto"/>
                      <w:spacing w:val="0"/>
                      <w:kern w:val="0"/>
                      <w:sz w:val="21"/>
                      <w:szCs w:val="21"/>
                      <w:lang w:val="en-US" w:eastAsia="zh-CN"/>
                    </w:rPr>
                  </w:pPr>
                  <w:r>
                    <w:rPr>
                      <w:rFonts w:hint="eastAsia" w:cs="Times New Roman"/>
                      <w:color w:val="auto"/>
                      <w:spacing w:val="0"/>
                      <w:kern w:val="0"/>
                      <w:sz w:val="21"/>
                      <w:szCs w:val="21"/>
                      <w:lang w:val="en-US" w:eastAsia="zh-CN"/>
                    </w:rPr>
                    <w:t>总烃</w:t>
                  </w:r>
                </w:p>
              </w:tc>
              <w:tc>
                <w:tcPr>
                  <w:tcW w:w="61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2.07</w:t>
                  </w:r>
                </w:p>
              </w:tc>
              <w:tc>
                <w:tcPr>
                  <w:tcW w:w="60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0.</w:t>
                  </w:r>
                  <w:r>
                    <w:rPr>
                      <w:rFonts w:hint="eastAsia" w:ascii="Times New Roman" w:hAnsi="Times New Roman" w:eastAsia="宋体" w:cs="Times New Roman"/>
                      <w:color w:val="auto"/>
                      <w:spacing w:val="0"/>
                      <w:sz w:val="21"/>
                      <w:szCs w:val="21"/>
                      <w:lang w:val="en-US" w:eastAsia="zh-CN"/>
                    </w:rPr>
                    <w:t>0</w:t>
                  </w:r>
                  <w:r>
                    <w:rPr>
                      <w:rFonts w:hint="eastAsia" w:cs="Times New Roman"/>
                      <w:color w:val="auto"/>
                      <w:spacing w:val="0"/>
                      <w:sz w:val="21"/>
                      <w:szCs w:val="21"/>
                      <w:lang w:val="en-US" w:eastAsia="zh-CN"/>
                    </w:rPr>
                    <w:t>145</w:t>
                  </w:r>
                </w:p>
              </w:tc>
              <w:tc>
                <w:tcPr>
                  <w:tcW w:w="71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0.0</w:t>
                  </w:r>
                  <w:r>
                    <w:rPr>
                      <w:rFonts w:hint="eastAsia" w:cs="Times New Roman"/>
                      <w:color w:val="auto"/>
                      <w:spacing w:val="0"/>
                      <w:sz w:val="21"/>
                      <w:szCs w:val="21"/>
                      <w:lang w:val="en-US" w:eastAsia="zh-CN"/>
                    </w:rPr>
                    <w:t>1088</w:t>
                  </w:r>
                </w:p>
              </w:tc>
              <w:tc>
                <w:tcPr>
                  <w:tcW w:w="61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0.</w:t>
                  </w:r>
                  <w:r>
                    <w:rPr>
                      <w:rFonts w:hint="eastAsia" w:cs="Times New Roman"/>
                      <w:color w:val="auto"/>
                      <w:spacing w:val="0"/>
                      <w:sz w:val="21"/>
                      <w:szCs w:val="21"/>
                      <w:lang w:val="en-US" w:eastAsia="zh-CN"/>
                    </w:rPr>
                    <w:t>207</w:t>
                  </w:r>
                </w:p>
              </w:tc>
              <w:tc>
                <w:tcPr>
                  <w:tcW w:w="71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0.00</w:t>
                  </w:r>
                  <w:r>
                    <w:rPr>
                      <w:rFonts w:hint="eastAsia" w:cs="Times New Roman"/>
                      <w:color w:val="auto"/>
                      <w:spacing w:val="0"/>
                      <w:sz w:val="21"/>
                      <w:szCs w:val="21"/>
                      <w:lang w:val="en-US" w:eastAsia="zh-CN"/>
                    </w:rPr>
                    <w:t>145</w:t>
                  </w:r>
                </w:p>
              </w:tc>
              <w:tc>
                <w:tcPr>
                  <w:tcW w:w="82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0.00</w:t>
                  </w:r>
                  <w:r>
                    <w:rPr>
                      <w:rFonts w:hint="eastAsia" w:cs="Times New Roman"/>
                      <w:color w:val="auto"/>
                      <w:spacing w:val="0"/>
                      <w:sz w:val="21"/>
                      <w:szCs w:val="21"/>
                      <w:lang w:val="en-US" w:eastAsia="zh-CN"/>
                    </w:rPr>
                    <w:t>1088</w:t>
                  </w:r>
                </w:p>
              </w:tc>
              <w:tc>
                <w:tcPr>
                  <w:tcW w:w="61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50</w:t>
                  </w:r>
                </w:p>
              </w:tc>
              <w:tc>
                <w:tcPr>
                  <w:tcW w:w="44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1.8</w:t>
                  </w:r>
                </w:p>
              </w:tc>
              <w:tc>
                <w:tcPr>
                  <w:tcW w:w="664" w:type="dxa"/>
                  <w:tcBorders>
                    <w:tl2br w:val="nil"/>
                    <w:tr2bl w:val="nil"/>
                  </w:tcBorders>
                  <w:noWrap w:val="0"/>
                  <w:vAlign w:val="center"/>
                </w:tcPr>
                <w:p>
                  <w:pPr>
                    <w:adjustRightInd w:val="0"/>
                    <w:snapToGrid w:val="0"/>
                    <w:jc w:val="center"/>
                    <w:rPr>
                      <w:rFonts w:hint="eastAsia" w:cs="Times New Roman"/>
                      <w:color w:val="auto"/>
                      <w:spacing w:val="0"/>
                      <w:sz w:val="21"/>
                      <w:szCs w:val="21"/>
                      <w:lang w:val="en-US" w:eastAsia="zh-CN"/>
                    </w:rPr>
                  </w:pPr>
                  <w:r>
                    <w:rPr>
                      <w:rFonts w:hint="eastAsia" w:cs="Times New Roman"/>
                      <w:color w:val="auto"/>
                      <w:spacing w:val="0"/>
                      <w:sz w:val="21"/>
                      <w:szCs w:val="21"/>
                      <w:lang w:val="en-US" w:eastAsia="zh-CN"/>
                    </w:rPr>
                    <w:t>25</w:t>
                  </w:r>
                </w:p>
                <w:p>
                  <w:pPr>
                    <w:adjustRightInd w:val="0"/>
                    <w:snapToGrid w:val="0"/>
                    <w:jc w:val="center"/>
                    <w:rPr>
                      <w:rFonts w:hint="default" w:ascii="Times New Roman" w:hAnsi="Times New Roman" w:cs="Times New Roman"/>
                      <w:color w:val="auto"/>
                      <w:spacing w:val="0"/>
                      <w:kern w:val="0"/>
                      <w:sz w:val="21"/>
                      <w:szCs w:val="21"/>
                      <w:lang w:val="en-US"/>
                    </w:rPr>
                  </w:pPr>
                  <w:r>
                    <w:rPr>
                      <w:rFonts w:hint="eastAsia" w:cs="Times New Roman"/>
                      <w:color w:val="auto"/>
                      <w:spacing w:val="0"/>
                      <w:sz w:val="21"/>
                      <w:szCs w:val="21"/>
                      <w:lang w:val="en-US" w:eastAsia="zh-CN"/>
                    </w:rPr>
                    <w:t>（1#）</w:t>
                  </w:r>
                </w:p>
              </w:tc>
              <w:tc>
                <w:tcPr>
                  <w:tcW w:w="459" w:type="dxa"/>
                  <w:tcBorders>
                    <w:tl2br w:val="nil"/>
                    <w:tr2bl w:val="nil"/>
                  </w:tcBorders>
                  <w:noWrap w:val="0"/>
                  <w:vAlign w:val="center"/>
                </w:tcPr>
                <w:p>
                  <w:pPr>
                    <w:keepNext w:val="0"/>
                    <w:keepLines w:val="0"/>
                    <w:widowControl/>
                    <w:suppressLineNumbers w:val="0"/>
                    <w:adjustRightInd w:val="0"/>
                    <w:snapToGrid w:val="0"/>
                    <w:jc w:val="center"/>
                    <w:textAlignment w:val="auto"/>
                    <w:rPr>
                      <w:rFonts w:hint="default" w:ascii="Times New Roman" w:hAnsi="Times New Roman" w:eastAsia="宋体" w:cs="Times New Roman"/>
                      <w:color w:val="auto"/>
                      <w:spacing w:val="0"/>
                      <w:sz w:val="21"/>
                      <w:szCs w:val="21"/>
                      <w:lang w:val="en-US" w:eastAsia="zh-CN" w:bidi="ar"/>
                    </w:rPr>
                  </w:pPr>
                  <w:r>
                    <w:rPr>
                      <w:rFonts w:hint="eastAsia" w:cs="Times New Roman"/>
                      <w:color w:val="auto"/>
                      <w:spacing w:val="0"/>
                      <w:sz w:val="21"/>
                      <w:szCs w:val="21"/>
                      <w:lang w:val="en-US" w:eastAsia="zh-CN" w:bidi="ar"/>
                    </w:rPr>
                    <w:t>750</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eastAsia" w:cs="Times New Roman"/>
                <w:b w:val="0"/>
                <w:bCs/>
                <w:spacing w:val="0"/>
                <w:sz w:val="24"/>
                <w:szCs w:val="24"/>
                <w:lang w:val="en-US" w:eastAsia="zh-CN"/>
              </w:rPr>
            </w:pPr>
            <w:r>
              <w:rPr>
                <w:rFonts w:hint="default" w:ascii="Times New Roman" w:hAnsi="Times New Roman" w:cs="Times New Roman"/>
                <w:b w:val="0"/>
                <w:bCs w:val="0"/>
                <w:color w:val="auto"/>
                <w:spacing w:val="0"/>
                <w:sz w:val="24"/>
                <w:szCs w:val="24"/>
              </w:rPr>
              <w:t>上表可见，</w:t>
            </w:r>
            <w:r>
              <w:rPr>
                <w:rFonts w:hint="default" w:ascii="Times New Roman" w:hAnsi="Times New Roman" w:cs="Times New Roman"/>
                <w:b w:val="0"/>
                <w:bCs w:val="0"/>
                <w:color w:val="auto"/>
                <w:spacing w:val="0"/>
                <w:sz w:val="24"/>
                <w:szCs w:val="24"/>
                <w:lang w:val="en-US" w:eastAsia="zh-CN"/>
              </w:rPr>
              <w:t>本项目</w:t>
            </w:r>
            <w:r>
              <w:rPr>
                <w:rFonts w:hint="eastAsia" w:ascii="Times New Roman" w:hAnsi="Times New Roman" w:cs="Times New Roman"/>
                <w:b w:val="0"/>
                <w:bCs w:val="0"/>
                <w:color w:val="auto"/>
                <w:spacing w:val="0"/>
                <w:sz w:val="24"/>
                <w:szCs w:val="24"/>
                <w:lang w:val="en-US" w:eastAsia="zh-CN"/>
              </w:rPr>
              <w:t>印刷、粘箱</w:t>
            </w:r>
            <w:r>
              <w:rPr>
                <w:rFonts w:hint="eastAsia" w:cs="Times New Roman"/>
                <w:b w:val="0"/>
                <w:bCs w:val="0"/>
                <w:color w:val="auto"/>
                <w:spacing w:val="0"/>
                <w:sz w:val="24"/>
                <w:szCs w:val="24"/>
                <w:lang w:val="en-US" w:eastAsia="zh-CN"/>
              </w:rPr>
              <w:t>、成型</w:t>
            </w:r>
            <w:r>
              <w:rPr>
                <w:rFonts w:hint="default" w:ascii="Times New Roman" w:hAnsi="Times New Roman" w:cs="Times New Roman"/>
                <w:b w:val="0"/>
                <w:bCs w:val="0"/>
                <w:color w:val="auto"/>
                <w:spacing w:val="0"/>
                <w:sz w:val="24"/>
                <w:szCs w:val="24"/>
              </w:rPr>
              <w:t>产生的</w:t>
            </w:r>
            <w:r>
              <w:rPr>
                <w:rFonts w:hint="eastAsia" w:cs="Times New Roman"/>
                <w:b w:val="0"/>
                <w:bCs w:val="0"/>
                <w:color w:val="auto"/>
                <w:spacing w:val="0"/>
                <w:sz w:val="24"/>
                <w:szCs w:val="24"/>
                <w:lang w:val="en-US" w:eastAsia="zh-CN"/>
              </w:rPr>
              <w:t>非甲烷总烃</w:t>
            </w:r>
            <w:r>
              <w:rPr>
                <w:rFonts w:hint="default" w:ascii="Times New Roman" w:hAnsi="Times New Roman" w:cs="Times New Roman"/>
                <w:b w:val="0"/>
                <w:bCs w:val="0"/>
                <w:color w:val="auto"/>
                <w:spacing w:val="0"/>
                <w:sz w:val="24"/>
                <w:szCs w:val="24"/>
              </w:rPr>
              <w:t>经“二级活性炭吸附装置”收集处理后，排放速率和排放浓度均能满足</w:t>
            </w:r>
            <w:r>
              <w:rPr>
                <w:rFonts w:hint="eastAsia" w:ascii="Times New Roman" w:hAnsi="Times New Roman" w:cs="Times New Roman"/>
                <w:b w:val="0"/>
                <w:bCs w:val="0"/>
                <w:color w:val="auto"/>
                <w:spacing w:val="0"/>
                <w:sz w:val="24"/>
                <w:szCs w:val="24"/>
                <w:lang w:val="en-US" w:eastAsia="zh-CN"/>
              </w:rPr>
              <w:t>江苏省《</w:t>
            </w:r>
            <w:r>
              <w:rPr>
                <w:rFonts w:hint="eastAsia"/>
                <w:b w:val="0"/>
                <w:bCs w:val="0"/>
                <w:color w:val="auto"/>
                <w:spacing w:val="0"/>
                <w:sz w:val="24"/>
                <w:szCs w:val="24"/>
                <w:lang w:val="en-US" w:eastAsia="zh-CN"/>
              </w:rPr>
              <w:t>印刷工业大气污染物排放标准</w:t>
            </w:r>
            <w:r>
              <w:rPr>
                <w:rFonts w:hint="eastAsia" w:ascii="Times New Roman" w:hAnsi="Times New Roman" w:cs="Times New Roman"/>
                <w:b w:val="0"/>
                <w:bCs w:val="0"/>
                <w:color w:val="auto"/>
                <w:spacing w:val="0"/>
                <w:sz w:val="24"/>
                <w:szCs w:val="24"/>
                <w:lang w:val="en-US" w:eastAsia="zh-CN"/>
              </w:rPr>
              <w:t>》</w:t>
            </w:r>
            <w:r>
              <w:rPr>
                <w:rFonts w:hint="eastAsia"/>
                <w:b w:val="0"/>
                <w:bCs w:val="0"/>
                <w:color w:val="auto"/>
                <w:spacing w:val="0"/>
                <w:sz w:val="24"/>
                <w:szCs w:val="24"/>
                <w:lang w:val="en-US" w:eastAsia="zh-CN"/>
              </w:rPr>
              <w:t>（DB32/ 4438-2022）</w:t>
            </w:r>
            <w:r>
              <w:rPr>
                <w:rFonts w:hint="default" w:ascii="Times New Roman" w:hAnsi="Times New Roman" w:cs="Times New Roman"/>
                <w:b w:val="0"/>
                <w:bCs w:val="0"/>
                <w:color w:val="auto"/>
                <w:spacing w:val="0"/>
                <w:sz w:val="24"/>
                <w:szCs w:val="24"/>
              </w:rPr>
              <w:t>中相关标准限值</w:t>
            </w:r>
            <w:r>
              <w:rPr>
                <w:rFonts w:hint="eastAsia" w:cs="Times New Roman"/>
                <w:b w:val="0"/>
                <w:bCs w:val="0"/>
                <w:color w:val="auto"/>
                <w:spacing w:val="0"/>
                <w:sz w:val="24"/>
                <w:szCs w:val="24"/>
                <w:lang w:eastAsia="zh-CN"/>
              </w:rPr>
              <w:t>，</w:t>
            </w:r>
            <w:r>
              <w:rPr>
                <w:rFonts w:hint="eastAsia" w:cs="Times New Roman"/>
                <w:b w:val="0"/>
                <w:bCs w:val="0"/>
                <w:color w:val="auto"/>
                <w:spacing w:val="0"/>
                <w:sz w:val="24"/>
                <w:szCs w:val="24"/>
                <w:lang w:val="en-US" w:eastAsia="zh-CN"/>
              </w:rPr>
              <w:t>木制品加工产生的颗粒物经集尘罩收集+布袋除尘器处理后，排放浓度能满足</w:t>
            </w:r>
            <w:r>
              <w:rPr>
                <w:rFonts w:hint="eastAsia" w:ascii="宋体" w:hAnsi="宋体" w:eastAsia="宋体" w:cs="宋体"/>
                <w:b w:val="0"/>
                <w:bCs/>
                <w:spacing w:val="0"/>
                <w:sz w:val="24"/>
                <w:szCs w:val="24"/>
                <w:lang w:val="en-US" w:eastAsia="zh-CN"/>
              </w:rPr>
              <w:t>《木材加工行业大气污染物排放标准》</w:t>
            </w:r>
            <w:r>
              <w:rPr>
                <w:rFonts w:hint="default" w:ascii="Times New Roman" w:hAnsi="Times New Roman" w:eastAsia="宋体" w:cs="Times New Roman"/>
                <w:b w:val="0"/>
                <w:bCs/>
                <w:spacing w:val="0"/>
                <w:sz w:val="24"/>
                <w:szCs w:val="24"/>
                <w:lang w:val="en-US" w:eastAsia="zh-CN"/>
              </w:rPr>
              <w:t>（DB32/4436-2022）</w:t>
            </w:r>
            <w:r>
              <w:rPr>
                <w:rFonts w:hint="eastAsia" w:ascii="Times New Roman" w:hAnsi="Times New Roman" w:eastAsia="宋体" w:cs="Times New Roman"/>
                <w:b w:val="0"/>
                <w:bCs/>
                <w:spacing w:val="0"/>
                <w:sz w:val="24"/>
                <w:szCs w:val="24"/>
                <w:lang w:val="en-US" w:eastAsia="zh-CN"/>
              </w:rPr>
              <w:t>中</w:t>
            </w:r>
            <w:r>
              <w:rPr>
                <w:rFonts w:hint="eastAsia" w:cs="Times New Roman"/>
                <w:b w:val="0"/>
                <w:bCs/>
                <w:spacing w:val="0"/>
                <w:sz w:val="24"/>
                <w:szCs w:val="24"/>
                <w:lang w:val="en-US" w:eastAsia="zh-CN"/>
              </w:rPr>
              <w:t>相关标准限值。</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cs="Times New Roman"/>
                <w:b/>
                <w:bCs/>
                <w:color w:val="auto"/>
                <w:spacing w:val="0"/>
                <w:kern w:val="0"/>
                <w:sz w:val="24"/>
                <w:szCs w:val="24"/>
                <w:highlight w:val="yellow"/>
              </w:rPr>
            </w:pPr>
            <w:r>
              <w:rPr>
                <w:rFonts w:hint="default" w:ascii="Times New Roman" w:hAnsi="Times New Roman" w:cs="Times New Roman"/>
                <w:b/>
                <w:bCs/>
                <w:color w:val="auto"/>
                <w:spacing w:val="0"/>
                <w:kern w:val="0"/>
                <w:sz w:val="24"/>
                <w:szCs w:val="24"/>
                <w:highlight w:val="none"/>
              </w:rPr>
              <w:t>表4-</w:t>
            </w:r>
            <w:r>
              <w:rPr>
                <w:rFonts w:hint="eastAsia" w:cs="Times New Roman"/>
                <w:b/>
                <w:bCs/>
                <w:color w:val="auto"/>
                <w:spacing w:val="0"/>
                <w:kern w:val="0"/>
                <w:sz w:val="24"/>
                <w:szCs w:val="24"/>
                <w:highlight w:val="none"/>
                <w:lang w:val="en-US" w:eastAsia="zh-CN"/>
              </w:rPr>
              <w:t>4</w:t>
            </w:r>
            <w:r>
              <w:rPr>
                <w:rFonts w:hint="default" w:ascii="Times New Roman" w:hAnsi="Times New Roman" w:cs="Times New Roman"/>
                <w:b/>
                <w:bCs/>
                <w:color w:val="auto"/>
                <w:spacing w:val="0"/>
                <w:kern w:val="0"/>
                <w:sz w:val="24"/>
                <w:szCs w:val="24"/>
                <w:highlight w:val="none"/>
                <w:lang w:val="en-US" w:eastAsia="zh-CN"/>
              </w:rPr>
              <w:t xml:space="preserve"> </w:t>
            </w:r>
            <w:r>
              <w:rPr>
                <w:rFonts w:hint="default" w:ascii="Times New Roman" w:hAnsi="Times New Roman" w:cs="Times New Roman"/>
                <w:b/>
                <w:bCs/>
                <w:color w:val="auto"/>
                <w:spacing w:val="0"/>
                <w:kern w:val="0"/>
                <w:sz w:val="24"/>
                <w:szCs w:val="24"/>
                <w:highlight w:val="none"/>
              </w:rPr>
              <w:t xml:space="preserve"> 本项目有组织排放口基本情况一览表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01"/>
              <w:gridCol w:w="1378"/>
              <w:gridCol w:w="923"/>
              <w:gridCol w:w="691"/>
              <w:gridCol w:w="717"/>
              <w:gridCol w:w="1242"/>
              <w:gridCol w:w="1483"/>
              <w:gridCol w:w="1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编号</w:t>
                  </w:r>
                </w:p>
              </w:tc>
              <w:tc>
                <w:tcPr>
                  <w:tcW w:w="127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名称</w:t>
                  </w:r>
                </w:p>
              </w:tc>
              <w:tc>
                <w:tcPr>
                  <w:tcW w:w="85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排气筒高度（m）</w:t>
                  </w:r>
                </w:p>
              </w:tc>
              <w:tc>
                <w:tcPr>
                  <w:tcW w:w="64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内径（m）</w:t>
                  </w:r>
                </w:p>
              </w:tc>
              <w:tc>
                <w:tcPr>
                  <w:tcW w:w="66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温度（</w:t>
                  </w:r>
                  <w:r>
                    <w:rPr>
                      <w:rFonts w:hint="default" w:ascii="Times New Roman" w:hAnsi="Times New Roman" w:cs="Times New Roman"/>
                      <w:b/>
                      <w:color w:val="auto"/>
                      <w:spacing w:val="0"/>
                      <w:kern w:val="0"/>
                      <w:sz w:val="21"/>
                      <w:szCs w:val="21"/>
                    </w:rPr>
                    <w:t>℃</w:t>
                  </w:r>
                  <w:r>
                    <w:rPr>
                      <w:rFonts w:hint="default" w:ascii="Times New Roman" w:hAnsi="Times New Roman" w:cs="Times New Roman"/>
                      <w:b/>
                      <w:bCs/>
                      <w:color w:val="auto"/>
                      <w:spacing w:val="0"/>
                      <w:sz w:val="21"/>
                      <w:szCs w:val="21"/>
                    </w:rPr>
                    <w:t>）</w:t>
                  </w:r>
                </w:p>
              </w:tc>
              <w:tc>
                <w:tcPr>
                  <w:tcW w:w="115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类型</w:t>
                  </w:r>
                </w:p>
              </w:tc>
              <w:tc>
                <w:tcPr>
                  <w:tcW w:w="264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地理坐标（</w:t>
                  </w:r>
                  <w:r>
                    <w:rPr>
                      <w:rFonts w:hint="default" w:ascii="Times New Roman" w:hAnsi="Times New Roman" w:cs="Times New Roman"/>
                      <w:b/>
                      <w:color w:val="auto"/>
                      <w:spacing w:val="0"/>
                      <w:sz w:val="21"/>
                      <w:szCs w:val="21"/>
                      <w:vertAlign w:val="superscript"/>
                    </w:rPr>
                    <w:t>o</w:t>
                  </w:r>
                  <w:r>
                    <w:rPr>
                      <w:rFonts w:hint="default" w:ascii="Times New Roman" w:hAnsi="Times New Roman" w:cs="Times New Roman"/>
                      <w:b/>
                      <w:bCs/>
                      <w:color w:val="auto"/>
                      <w:spacing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pacing w:val="0"/>
                      <w:sz w:val="21"/>
                      <w:szCs w:val="21"/>
                    </w:rPr>
                  </w:pPr>
                </w:p>
              </w:tc>
              <w:tc>
                <w:tcPr>
                  <w:tcW w:w="12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pacing w:val="0"/>
                      <w:sz w:val="21"/>
                      <w:szCs w:val="21"/>
                    </w:rPr>
                  </w:pPr>
                </w:p>
              </w:tc>
              <w:tc>
                <w:tcPr>
                  <w:tcW w:w="85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pacing w:val="0"/>
                      <w:sz w:val="21"/>
                      <w:szCs w:val="21"/>
                    </w:rPr>
                  </w:pPr>
                </w:p>
              </w:tc>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pacing w:val="0"/>
                      <w:sz w:val="21"/>
                      <w:szCs w:val="21"/>
                    </w:rPr>
                  </w:pPr>
                </w:p>
              </w:tc>
              <w:tc>
                <w:tcPr>
                  <w:tcW w:w="6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pacing w:val="0"/>
                      <w:sz w:val="21"/>
                      <w:szCs w:val="21"/>
                    </w:rPr>
                  </w:pPr>
                </w:p>
              </w:tc>
              <w:tc>
                <w:tcPr>
                  <w:tcW w:w="115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pacing w:val="0"/>
                      <w:sz w:val="21"/>
                      <w:szCs w:val="21"/>
                    </w:rPr>
                  </w:pPr>
                </w:p>
              </w:tc>
              <w:tc>
                <w:tcPr>
                  <w:tcW w:w="1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pacing w:val="0"/>
                      <w:sz w:val="21"/>
                      <w:szCs w:val="21"/>
                      <w:highlight w:val="none"/>
                    </w:rPr>
                  </w:pPr>
                  <w:r>
                    <w:rPr>
                      <w:rFonts w:hint="default" w:ascii="Times New Roman" w:hAnsi="Times New Roman" w:cs="Times New Roman"/>
                      <w:b/>
                      <w:bCs/>
                      <w:color w:val="auto"/>
                      <w:spacing w:val="0"/>
                      <w:sz w:val="21"/>
                      <w:szCs w:val="21"/>
                      <w:highlight w:val="none"/>
                    </w:rPr>
                    <w:t>经度</w:t>
                  </w: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pacing w:val="0"/>
                      <w:sz w:val="21"/>
                      <w:szCs w:val="21"/>
                      <w:highlight w:val="none"/>
                    </w:rPr>
                  </w:pPr>
                  <w:r>
                    <w:rPr>
                      <w:rFonts w:hint="default" w:ascii="Times New Roman" w:hAnsi="Times New Roman" w:cs="Times New Roman"/>
                      <w:b/>
                      <w:bCs/>
                      <w:color w:val="auto"/>
                      <w:spacing w:val="0"/>
                      <w:sz w:val="21"/>
                      <w:szCs w:val="21"/>
                      <w:highlight w:val="none"/>
                    </w:rPr>
                    <w:t>纬度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1#</w:t>
                  </w:r>
                </w:p>
              </w:tc>
              <w:tc>
                <w:tcPr>
                  <w:tcW w:w="1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非甲烷总烃</w:t>
                  </w:r>
                </w:p>
              </w:tc>
              <w:tc>
                <w:tcPr>
                  <w:tcW w:w="8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25</w:t>
                  </w:r>
                </w:p>
              </w:tc>
              <w:tc>
                <w:tcPr>
                  <w:tcW w:w="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0.3</w:t>
                  </w:r>
                </w:p>
              </w:tc>
              <w:tc>
                <w:tcPr>
                  <w:tcW w:w="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25</w:t>
                  </w:r>
                </w:p>
              </w:tc>
              <w:tc>
                <w:tcPr>
                  <w:tcW w:w="11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一般排放口</w:t>
                  </w:r>
                </w:p>
              </w:tc>
              <w:tc>
                <w:tcPr>
                  <w:tcW w:w="137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sz w:val="21"/>
                      <w:szCs w:val="21"/>
                      <w:lang w:val="en-US" w:eastAsia="zh-CN"/>
                    </w:rPr>
                  </w:pPr>
                  <w:r>
                    <w:rPr>
                      <w:rFonts w:hint="eastAsia"/>
                    </w:rPr>
                    <w:t>120.5295</w:t>
                  </w:r>
                  <w:r>
                    <w:rPr>
                      <w:rFonts w:hint="eastAsia"/>
                      <w:lang w:val="en-US" w:eastAsia="zh-CN"/>
                    </w:rPr>
                    <w:t>40</w:t>
                  </w:r>
                </w:p>
              </w:tc>
              <w:tc>
                <w:tcPr>
                  <w:tcW w:w="126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auto"/>
                      <w:spacing w:val="0"/>
                      <w:sz w:val="21"/>
                      <w:szCs w:val="21"/>
                      <w:lang w:val="en-US" w:eastAsia="zh-CN"/>
                    </w:rPr>
                  </w:pPr>
                  <w:r>
                    <w:rPr>
                      <w:rFonts w:hint="eastAsia"/>
                    </w:rPr>
                    <w:t>32.59852</w:t>
                  </w:r>
                  <w:r>
                    <w:rPr>
                      <w:rFonts w:hint="eastAsia"/>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spacing w:val="0"/>
                      <w:sz w:val="21"/>
                      <w:szCs w:val="21"/>
                      <w:lang w:val="en-US" w:eastAsia="zh-CN"/>
                    </w:rPr>
                  </w:pPr>
                  <w:r>
                    <w:rPr>
                      <w:rFonts w:hint="eastAsia" w:cs="Times New Roman"/>
                      <w:color w:val="auto"/>
                      <w:spacing w:val="0"/>
                      <w:sz w:val="21"/>
                      <w:szCs w:val="21"/>
                      <w:lang w:val="en-US" w:eastAsia="zh-CN"/>
                    </w:rPr>
                    <w:t>2#</w:t>
                  </w:r>
                </w:p>
              </w:tc>
              <w:tc>
                <w:tcPr>
                  <w:tcW w:w="1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sz w:val="21"/>
                      <w:szCs w:val="21"/>
                      <w:lang w:val="en-US" w:eastAsia="zh-CN"/>
                    </w:rPr>
                  </w:pPr>
                  <w:r>
                    <w:rPr>
                      <w:rFonts w:hint="eastAsia" w:cs="Times New Roman"/>
                      <w:color w:val="auto"/>
                      <w:spacing w:val="0"/>
                      <w:sz w:val="21"/>
                      <w:szCs w:val="21"/>
                      <w:lang w:val="en-US" w:eastAsia="zh-CN"/>
                    </w:rPr>
                    <w:t>颗粒物</w:t>
                  </w:r>
                </w:p>
              </w:tc>
              <w:tc>
                <w:tcPr>
                  <w:tcW w:w="8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spacing w:val="0"/>
                      <w:sz w:val="21"/>
                      <w:szCs w:val="21"/>
                      <w:lang w:val="en-US" w:eastAsia="zh-CN"/>
                    </w:rPr>
                  </w:pPr>
                  <w:r>
                    <w:rPr>
                      <w:rFonts w:hint="eastAsia" w:cs="Times New Roman"/>
                      <w:color w:val="auto"/>
                      <w:spacing w:val="0"/>
                      <w:sz w:val="21"/>
                      <w:szCs w:val="21"/>
                      <w:lang w:val="en-US" w:eastAsia="zh-CN"/>
                    </w:rPr>
                    <w:t>25</w:t>
                  </w:r>
                </w:p>
              </w:tc>
              <w:tc>
                <w:tcPr>
                  <w:tcW w:w="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spacing w:val="0"/>
                      <w:sz w:val="21"/>
                      <w:szCs w:val="21"/>
                      <w:lang w:val="en-US" w:eastAsia="zh-CN"/>
                    </w:rPr>
                  </w:pPr>
                  <w:r>
                    <w:rPr>
                      <w:rFonts w:hint="eastAsia" w:cs="Times New Roman"/>
                      <w:color w:val="auto"/>
                      <w:spacing w:val="0"/>
                      <w:sz w:val="21"/>
                      <w:szCs w:val="21"/>
                      <w:lang w:val="en-US" w:eastAsia="zh-CN"/>
                    </w:rPr>
                    <w:t>0.1</w:t>
                  </w:r>
                </w:p>
              </w:tc>
              <w:tc>
                <w:tcPr>
                  <w:tcW w:w="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25</w:t>
                  </w:r>
                </w:p>
              </w:tc>
              <w:tc>
                <w:tcPr>
                  <w:tcW w:w="11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一般排放口</w:t>
                  </w:r>
                </w:p>
              </w:tc>
              <w:tc>
                <w:tcPr>
                  <w:tcW w:w="137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sz w:val="21"/>
                      <w:szCs w:val="21"/>
                      <w:lang w:val="en-US" w:eastAsia="zh-CN"/>
                    </w:rPr>
                  </w:pPr>
                  <w:r>
                    <w:rPr>
                      <w:rFonts w:hint="eastAsia"/>
                    </w:rPr>
                    <w:t>120.5295</w:t>
                  </w:r>
                  <w:r>
                    <w:rPr>
                      <w:rFonts w:hint="eastAsia"/>
                      <w:lang w:val="en-US" w:eastAsia="zh-CN"/>
                    </w:rPr>
                    <w:t>40</w:t>
                  </w:r>
                </w:p>
              </w:tc>
              <w:tc>
                <w:tcPr>
                  <w:tcW w:w="126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sz w:val="21"/>
                      <w:szCs w:val="21"/>
                      <w:lang w:val="en-US" w:eastAsia="zh-CN"/>
                    </w:rPr>
                  </w:pPr>
                  <w:r>
                    <w:rPr>
                      <w:rFonts w:hint="eastAsia"/>
                    </w:rPr>
                    <w:t>32.59839</w:t>
                  </w:r>
                </w:p>
              </w:tc>
            </w:tr>
          </w:tbl>
          <w:p>
            <w:pPr>
              <w:pStyle w:val="4"/>
              <w:pageBreakBefore w:val="0"/>
              <w:widowControl w:val="0"/>
              <w:kinsoku/>
              <w:wordWrap/>
              <w:overflowPunct/>
              <w:topLinePunct w:val="0"/>
              <w:autoSpaceDE/>
              <w:autoSpaceDN/>
              <w:bidi w:val="0"/>
              <w:spacing w:before="0" w:after="0" w:line="500" w:lineRule="exact"/>
              <w:ind w:firstLine="480" w:firstLineChars="200"/>
              <w:textAlignment w:val="auto"/>
              <w:rPr>
                <w:rFonts w:hint="default" w:ascii="宋体" w:hAnsi="宋体" w:eastAsia="宋体" w:cs="宋体"/>
                <w:b w:val="0"/>
                <w:bCs/>
                <w:spacing w:val="0"/>
                <w:sz w:val="24"/>
                <w:szCs w:val="24"/>
                <w:lang w:val="en-US" w:eastAsia="zh-CN"/>
              </w:rPr>
            </w:pPr>
            <w:r>
              <w:rPr>
                <w:rFonts w:hint="eastAsia"/>
                <w:b w:val="0"/>
                <w:bCs/>
                <w:spacing w:val="0"/>
                <w:sz w:val="24"/>
                <w:szCs w:val="24"/>
                <w:lang w:val="en-US" w:eastAsia="zh-CN"/>
              </w:rPr>
              <w:t>项目建成后全厂共设置2根排气筒，1#排气筒排放的是印刷、胶黏、成型产生的非甲烷总烃，排气筒高度设置为25米，</w:t>
            </w:r>
            <w:r>
              <w:rPr>
                <w:rFonts w:hint="eastAsia" w:ascii="宋体" w:hAnsi="宋体" w:eastAsia="宋体" w:cs="宋体"/>
                <w:b w:val="0"/>
                <w:bCs w:val="0"/>
                <w:color w:val="auto"/>
                <w:sz w:val="24"/>
                <w:szCs w:val="24"/>
              </w:rPr>
              <w:t>排气筒风速</w:t>
            </w:r>
            <w:r>
              <w:rPr>
                <w:rFonts w:hint="eastAsia" w:ascii="宋体" w:hAnsi="宋体" w:eastAsia="宋体" w:cs="宋体"/>
                <w:b w:val="0"/>
                <w:bCs w:val="0"/>
                <w:color w:val="auto"/>
                <w:sz w:val="24"/>
                <w:szCs w:val="24"/>
                <w:lang w:val="en-US" w:eastAsia="zh-CN"/>
              </w:rPr>
              <w:t>均</w:t>
            </w:r>
            <w:r>
              <w:rPr>
                <w:rFonts w:hint="eastAsia" w:ascii="宋体" w:hAnsi="宋体" w:eastAsia="宋体" w:cs="宋体"/>
                <w:b w:val="0"/>
                <w:bCs w:val="0"/>
                <w:color w:val="auto"/>
                <w:sz w:val="24"/>
                <w:szCs w:val="24"/>
              </w:rPr>
              <w:t>符合《大气污染治理工程技术导则》（</w:t>
            </w:r>
            <w:r>
              <w:rPr>
                <w:rFonts w:hint="default" w:ascii="Times New Roman" w:hAnsi="Times New Roman" w:eastAsia="宋体" w:cs="Times New Roman"/>
                <w:b w:val="0"/>
                <w:bCs w:val="0"/>
                <w:color w:val="auto"/>
                <w:sz w:val="24"/>
                <w:szCs w:val="24"/>
              </w:rPr>
              <w:t>HJ2000-2010</w:t>
            </w:r>
            <w:r>
              <w:rPr>
                <w:rFonts w:hint="eastAsia" w:ascii="宋体" w:hAnsi="宋体" w:eastAsia="宋体" w:cs="宋体"/>
                <w:b w:val="0"/>
                <w:bCs w:val="0"/>
                <w:color w:val="auto"/>
                <w:sz w:val="24"/>
                <w:szCs w:val="24"/>
              </w:rPr>
              <w:t>）中流速宜取</w:t>
            </w:r>
            <w:r>
              <w:rPr>
                <w:rFonts w:hint="default" w:ascii="Times New Roman" w:hAnsi="Times New Roman" w:eastAsia="宋体" w:cs="Times New Roman"/>
                <w:b w:val="0"/>
                <w:bCs w:val="0"/>
                <w:color w:val="auto"/>
                <w:sz w:val="24"/>
                <w:szCs w:val="24"/>
              </w:rPr>
              <w:t>15m/s</w:t>
            </w:r>
            <w:r>
              <w:rPr>
                <w:rFonts w:hint="eastAsia" w:ascii="宋体" w:hAnsi="宋体" w:eastAsia="宋体" w:cs="宋体"/>
                <w:b w:val="0"/>
                <w:bCs w:val="0"/>
                <w:color w:val="auto"/>
                <w:sz w:val="24"/>
                <w:szCs w:val="24"/>
                <w:lang w:val="en-US" w:eastAsia="zh-CN"/>
              </w:rPr>
              <w:t>左右，因此，本项目</w:t>
            </w:r>
            <w:r>
              <w:rPr>
                <w:rFonts w:hint="eastAsia" w:ascii="Times New Roman" w:hAnsi="Times New Roman" w:eastAsia="宋体" w:cs="Times New Roman"/>
                <w:b w:val="0"/>
                <w:bCs/>
                <w:spacing w:val="0"/>
                <w:sz w:val="24"/>
                <w:szCs w:val="24"/>
                <w:lang w:val="en-US" w:eastAsia="zh-CN"/>
              </w:rPr>
              <w:t>排气筒设置是合理的。</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ascii="宋体" w:hAnsi="宋体" w:cs="宋体"/>
                <w:b/>
                <w:bCs w:val="0"/>
                <w:spacing w:val="0"/>
                <w:sz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default"/>
                <w:spacing w:val="0"/>
                <w:vertAlign w:val="baseline"/>
                <w:lang w:val="en-US" w:eastAsia="zh-CN"/>
              </w:rPr>
            </w:pPr>
            <w:r>
              <w:rPr>
                <w:rFonts w:hint="eastAsia" w:ascii="宋体" w:hAnsi="宋体" w:cs="宋体"/>
                <w:b/>
                <w:bCs w:val="0"/>
                <w:spacing w:val="0"/>
                <w:sz w:val="24"/>
                <w:lang w:val="en-US" w:eastAsia="zh-CN"/>
              </w:rPr>
              <w:t>（</w:t>
            </w:r>
            <w:r>
              <w:rPr>
                <w:rFonts w:hint="default" w:ascii="Times New Roman" w:hAnsi="Times New Roman" w:cs="Times New Roman"/>
                <w:b/>
                <w:bCs w:val="0"/>
                <w:spacing w:val="0"/>
                <w:sz w:val="24"/>
                <w:lang w:val="en-US" w:eastAsia="zh-CN"/>
              </w:rPr>
              <w:t>3</w:t>
            </w:r>
            <w:r>
              <w:rPr>
                <w:rFonts w:hint="eastAsia" w:ascii="宋体" w:hAnsi="宋体" w:cs="宋体"/>
                <w:b/>
                <w:bCs w:val="0"/>
                <w:spacing w:val="0"/>
                <w:sz w:val="24"/>
                <w:lang w:val="en-US" w:eastAsia="zh-CN"/>
              </w:rPr>
              <w:t>）无组织废气产生和排放情况表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jc w:val="center"/>
              <w:textAlignment w:val="auto"/>
              <w:rPr>
                <w:rFonts w:hint="default" w:ascii="宋体" w:hAnsi="宋体" w:cs="宋体"/>
                <w:b/>
                <w:bCs w:val="0"/>
                <w:spacing w:val="0"/>
                <w:sz w:val="24"/>
                <w:vertAlign w:val="baseline"/>
                <w:lang w:val="en-US" w:eastAsia="zh-CN"/>
              </w:rPr>
            </w:pPr>
            <w:r>
              <w:rPr>
                <w:rFonts w:hint="eastAsia" w:ascii="宋体" w:hAnsi="宋体" w:cs="宋体"/>
                <w:b/>
                <w:bCs w:val="0"/>
                <w:spacing w:val="0"/>
                <w:sz w:val="24"/>
                <w:lang w:val="en-US" w:eastAsia="zh-CN"/>
              </w:rPr>
              <w:t xml:space="preserve">表 </w:t>
            </w:r>
            <w:r>
              <w:rPr>
                <w:rFonts w:hint="default" w:ascii="Times New Roman" w:hAnsi="Times New Roman" w:cs="Times New Roman"/>
                <w:b/>
                <w:bCs w:val="0"/>
                <w:spacing w:val="0"/>
                <w:sz w:val="24"/>
                <w:lang w:val="en-US" w:eastAsia="zh-CN"/>
              </w:rPr>
              <w:t>4-</w:t>
            </w:r>
            <w:r>
              <w:rPr>
                <w:rFonts w:hint="eastAsia" w:cs="Times New Roman"/>
                <w:b/>
                <w:bCs w:val="0"/>
                <w:spacing w:val="0"/>
                <w:sz w:val="24"/>
                <w:lang w:val="en-US" w:eastAsia="zh-CN"/>
              </w:rPr>
              <w:t>5</w:t>
            </w:r>
            <w:r>
              <w:rPr>
                <w:rFonts w:hint="default" w:ascii="Times New Roman" w:hAnsi="Times New Roman" w:cs="Times New Roman"/>
                <w:b/>
                <w:bCs w:val="0"/>
                <w:spacing w:val="0"/>
                <w:sz w:val="24"/>
                <w:lang w:val="en-US" w:eastAsia="zh-CN"/>
              </w:rPr>
              <w:t xml:space="preserve">  </w:t>
            </w:r>
            <w:r>
              <w:rPr>
                <w:rFonts w:hint="eastAsia" w:ascii="宋体" w:hAnsi="宋体" w:cs="宋体"/>
                <w:b/>
                <w:bCs w:val="0"/>
                <w:spacing w:val="0"/>
                <w:sz w:val="24"/>
                <w:lang w:val="en-US" w:eastAsia="zh-CN"/>
              </w:rPr>
              <w:t>本项目生产车间无组织废气产排情况表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36"/>
              <w:gridCol w:w="1285"/>
              <w:gridCol w:w="1015"/>
              <w:gridCol w:w="1015"/>
              <w:gridCol w:w="1015"/>
              <w:gridCol w:w="1018"/>
              <w:gridCol w:w="1117"/>
              <w:gridCol w:w="10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36" w:type="dxa"/>
                  <w:tcBorders>
                    <w:tl2br w:val="nil"/>
                    <w:tr2bl w:val="nil"/>
                  </w:tcBorders>
                  <w:noWrap w:val="0"/>
                  <w:vAlign w:val="center"/>
                </w:tcPr>
                <w:p>
                  <w:pPr>
                    <w:pStyle w:val="45"/>
                    <w:keepNext w:val="0"/>
                    <w:keepLines w:val="0"/>
                    <w:pageBreakBefore w:val="0"/>
                    <w:widowControl w:val="0"/>
                    <w:kinsoku/>
                    <w:wordWrap/>
                    <w:topLinePunct w:val="0"/>
                    <w:autoSpaceDE/>
                    <w:autoSpaceDN/>
                    <w:bidi w:val="0"/>
                    <w:adjustRightInd w:val="0"/>
                    <w:snapToGrid w:val="0"/>
                    <w:spacing w:before="0" w:after="0" w:line="240" w:lineRule="auto"/>
                    <w:jc w:val="center"/>
                    <w:rPr>
                      <w:rFonts w:hint="default" w:ascii="Times New Roman" w:hAnsi="Times New Roman" w:eastAsia="宋体" w:cs="Times New Roman"/>
                      <w:b/>
                      <w:bCs/>
                      <w:snapToGrid w:val="0"/>
                      <w:color w:val="auto"/>
                      <w:sz w:val="21"/>
                      <w:szCs w:val="21"/>
                    </w:rPr>
                  </w:pPr>
                  <w:r>
                    <w:rPr>
                      <w:rFonts w:hint="eastAsia" w:ascii="宋体" w:hAnsi="宋体" w:cs="宋体"/>
                      <w:b/>
                      <w:bCs w:val="0"/>
                      <w:spacing w:val="0"/>
                      <w:sz w:val="24"/>
                      <w:lang w:val="en-US" w:eastAsia="zh-CN"/>
                    </w:rPr>
                    <w:t xml:space="preserve"> </w:t>
                  </w:r>
                  <w:r>
                    <w:rPr>
                      <w:rFonts w:hint="default" w:ascii="Times New Roman" w:hAnsi="Times New Roman" w:eastAsia="宋体" w:cs="Times New Roman"/>
                      <w:b/>
                      <w:bCs/>
                      <w:snapToGrid w:val="0"/>
                      <w:color w:val="auto"/>
                      <w:sz w:val="21"/>
                      <w:szCs w:val="21"/>
                    </w:rPr>
                    <w:t>来源</w:t>
                  </w:r>
                </w:p>
              </w:tc>
              <w:tc>
                <w:tcPr>
                  <w:tcW w:w="1285" w:type="dxa"/>
                  <w:tcBorders>
                    <w:tl2br w:val="nil"/>
                    <w:tr2bl w:val="nil"/>
                  </w:tcBorders>
                  <w:noWrap w:val="0"/>
                  <w:vAlign w:val="center"/>
                </w:tcPr>
                <w:p>
                  <w:pPr>
                    <w:pStyle w:val="45"/>
                    <w:keepNext w:val="0"/>
                    <w:keepLines w:val="0"/>
                    <w:pageBreakBefore w:val="0"/>
                    <w:widowControl w:val="0"/>
                    <w:kinsoku/>
                    <w:wordWrap/>
                    <w:topLinePunct w:val="0"/>
                    <w:autoSpaceDE/>
                    <w:autoSpaceDN/>
                    <w:bidi w:val="0"/>
                    <w:adjustRightInd w:val="0"/>
                    <w:snapToGrid w:val="0"/>
                    <w:spacing w:before="0" w:after="0" w:line="240" w:lineRule="auto"/>
                    <w:jc w:val="center"/>
                    <w:rPr>
                      <w:rFonts w:hint="default" w:ascii="Times New Roman" w:hAnsi="Times New Roman" w:eastAsia="宋体" w:cs="Times New Roman"/>
                      <w:b/>
                      <w:bCs/>
                      <w:snapToGrid w:val="0"/>
                      <w:color w:val="auto"/>
                      <w:sz w:val="21"/>
                      <w:szCs w:val="21"/>
                    </w:rPr>
                  </w:pPr>
                  <w:r>
                    <w:rPr>
                      <w:rFonts w:hint="default" w:ascii="Times New Roman" w:hAnsi="Times New Roman" w:eastAsia="宋体" w:cs="Times New Roman"/>
                      <w:b/>
                      <w:bCs/>
                      <w:snapToGrid w:val="0"/>
                      <w:color w:val="auto"/>
                      <w:sz w:val="21"/>
                      <w:szCs w:val="21"/>
                    </w:rPr>
                    <w:t>污染物名称</w:t>
                  </w:r>
                </w:p>
              </w:tc>
              <w:tc>
                <w:tcPr>
                  <w:tcW w:w="1015" w:type="dxa"/>
                  <w:tcBorders>
                    <w:tl2br w:val="nil"/>
                    <w:tr2bl w:val="nil"/>
                  </w:tcBorders>
                  <w:noWrap w:val="0"/>
                  <w:vAlign w:val="center"/>
                </w:tcPr>
                <w:p>
                  <w:pPr>
                    <w:pStyle w:val="45"/>
                    <w:keepNext w:val="0"/>
                    <w:keepLines w:val="0"/>
                    <w:pageBreakBefore w:val="0"/>
                    <w:widowControl w:val="0"/>
                    <w:kinsoku/>
                    <w:wordWrap/>
                    <w:topLinePunct w:val="0"/>
                    <w:autoSpaceDE/>
                    <w:autoSpaceDN/>
                    <w:bidi w:val="0"/>
                    <w:adjustRightInd w:val="0"/>
                    <w:snapToGrid w:val="0"/>
                    <w:spacing w:before="0" w:after="0" w:line="240" w:lineRule="auto"/>
                    <w:jc w:val="center"/>
                    <w:rPr>
                      <w:rFonts w:hint="default" w:ascii="Times New Roman" w:hAnsi="Times New Roman" w:eastAsia="宋体" w:cs="Times New Roman"/>
                      <w:b/>
                      <w:bCs/>
                      <w:snapToGrid w:val="0"/>
                      <w:color w:val="auto"/>
                      <w:sz w:val="21"/>
                      <w:szCs w:val="21"/>
                    </w:rPr>
                  </w:pPr>
                  <w:r>
                    <w:rPr>
                      <w:rFonts w:hint="default" w:ascii="Times New Roman" w:hAnsi="Times New Roman" w:eastAsia="宋体" w:cs="Times New Roman"/>
                      <w:b/>
                      <w:bCs/>
                      <w:snapToGrid w:val="0"/>
                      <w:color w:val="auto"/>
                      <w:sz w:val="21"/>
                      <w:szCs w:val="21"/>
                    </w:rPr>
                    <w:t>产生速率kg/h</w:t>
                  </w:r>
                </w:p>
              </w:tc>
              <w:tc>
                <w:tcPr>
                  <w:tcW w:w="1015" w:type="dxa"/>
                  <w:tcBorders>
                    <w:tl2br w:val="nil"/>
                    <w:tr2bl w:val="nil"/>
                  </w:tcBorders>
                  <w:noWrap w:val="0"/>
                  <w:vAlign w:val="center"/>
                </w:tcPr>
                <w:p>
                  <w:pPr>
                    <w:pStyle w:val="45"/>
                    <w:keepNext w:val="0"/>
                    <w:keepLines w:val="0"/>
                    <w:pageBreakBefore w:val="0"/>
                    <w:widowControl w:val="0"/>
                    <w:kinsoku/>
                    <w:wordWrap/>
                    <w:topLinePunct w:val="0"/>
                    <w:autoSpaceDE/>
                    <w:autoSpaceDN/>
                    <w:bidi w:val="0"/>
                    <w:adjustRightInd w:val="0"/>
                    <w:snapToGrid w:val="0"/>
                    <w:spacing w:before="0" w:after="0" w:line="240" w:lineRule="auto"/>
                    <w:jc w:val="center"/>
                    <w:rPr>
                      <w:rFonts w:hint="default" w:ascii="Times New Roman" w:hAnsi="Times New Roman" w:eastAsia="宋体" w:cs="Times New Roman"/>
                      <w:b/>
                      <w:bCs/>
                      <w:snapToGrid w:val="0"/>
                      <w:color w:val="auto"/>
                      <w:sz w:val="21"/>
                      <w:szCs w:val="21"/>
                    </w:rPr>
                  </w:pPr>
                  <w:r>
                    <w:rPr>
                      <w:rFonts w:hint="default" w:ascii="Times New Roman" w:hAnsi="Times New Roman" w:eastAsia="宋体" w:cs="Times New Roman"/>
                      <w:b/>
                      <w:bCs/>
                      <w:snapToGrid w:val="0"/>
                      <w:color w:val="auto"/>
                      <w:sz w:val="21"/>
                      <w:szCs w:val="21"/>
                    </w:rPr>
                    <w:t>产生量t/a</w:t>
                  </w:r>
                </w:p>
              </w:tc>
              <w:tc>
                <w:tcPr>
                  <w:tcW w:w="1015" w:type="dxa"/>
                  <w:tcBorders>
                    <w:tl2br w:val="nil"/>
                    <w:tr2bl w:val="nil"/>
                  </w:tcBorders>
                  <w:noWrap w:val="0"/>
                  <w:vAlign w:val="center"/>
                </w:tcPr>
                <w:p>
                  <w:pPr>
                    <w:pStyle w:val="45"/>
                    <w:keepNext w:val="0"/>
                    <w:keepLines w:val="0"/>
                    <w:pageBreakBefore w:val="0"/>
                    <w:widowControl w:val="0"/>
                    <w:kinsoku/>
                    <w:wordWrap/>
                    <w:topLinePunct w:val="0"/>
                    <w:autoSpaceDE/>
                    <w:autoSpaceDN/>
                    <w:bidi w:val="0"/>
                    <w:adjustRightInd w:val="0"/>
                    <w:snapToGrid w:val="0"/>
                    <w:spacing w:before="0" w:after="0" w:line="240" w:lineRule="auto"/>
                    <w:jc w:val="center"/>
                    <w:rPr>
                      <w:rFonts w:hint="default" w:ascii="Times New Roman" w:hAnsi="Times New Roman" w:eastAsia="宋体" w:cs="Times New Roman"/>
                      <w:b/>
                      <w:bCs/>
                      <w:snapToGrid w:val="0"/>
                      <w:color w:val="auto"/>
                      <w:sz w:val="21"/>
                      <w:szCs w:val="21"/>
                    </w:rPr>
                  </w:pPr>
                  <w:r>
                    <w:rPr>
                      <w:rFonts w:hint="eastAsia" w:ascii="Times New Roman" w:hAnsi="Times New Roman" w:eastAsia="宋体" w:cs="Times New Roman"/>
                      <w:b/>
                      <w:bCs/>
                      <w:snapToGrid w:val="0"/>
                      <w:color w:val="auto"/>
                      <w:sz w:val="21"/>
                      <w:szCs w:val="21"/>
                      <w:lang w:val="en-US" w:eastAsia="zh-CN"/>
                    </w:rPr>
                    <w:t>排放</w:t>
                  </w:r>
                  <w:r>
                    <w:rPr>
                      <w:rFonts w:hint="default" w:ascii="Times New Roman" w:hAnsi="Times New Roman" w:eastAsia="宋体" w:cs="Times New Roman"/>
                      <w:b/>
                      <w:bCs/>
                      <w:snapToGrid w:val="0"/>
                      <w:color w:val="auto"/>
                      <w:sz w:val="21"/>
                      <w:szCs w:val="21"/>
                    </w:rPr>
                    <w:t>速率kg/h</w:t>
                  </w:r>
                </w:p>
              </w:tc>
              <w:tc>
                <w:tcPr>
                  <w:tcW w:w="1018" w:type="dxa"/>
                  <w:tcBorders>
                    <w:tl2br w:val="nil"/>
                    <w:tr2bl w:val="nil"/>
                  </w:tcBorders>
                  <w:noWrap w:val="0"/>
                  <w:vAlign w:val="center"/>
                </w:tcPr>
                <w:p>
                  <w:pPr>
                    <w:pStyle w:val="45"/>
                    <w:keepNext w:val="0"/>
                    <w:keepLines w:val="0"/>
                    <w:pageBreakBefore w:val="0"/>
                    <w:widowControl w:val="0"/>
                    <w:kinsoku/>
                    <w:wordWrap/>
                    <w:topLinePunct w:val="0"/>
                    <w:autoSpaceDE/>
                    <w:autoSpaceDN/>
                    <w:bidi w:val="0"/>
                    <w:adjustRightInd w:val="0"/>
                    <w:snapToGrid w:val="0"/>
                    <w:spacing w:before="0" w:after="0" w:line="240" w:lineRule="auto"/>
                    <w:jc w:val="center"/>
                    <w:rPr>
                      <w:rFonts w:hint="default" w:ascii="Times New Roman" w:hAnsi="Times New Roman" w:eastAsia="宋体" w:cs="Times New Roman"/>
                      <w:b/>
                      <w:bCs/>
                      <w:snapToGrid w:val="0"/>
                      <w:color w:val="auto"/>
                      <w:sz w:val="21"/>
                      <w:szCs w:val="21"/>
                    </w:rPr>
                  </w:pPr>
                  <w:r>
                    <w:rPr>
                      <w:rFonts w:hint="eastAsia" w:ascii="Times New Roman" w:hAnsi="Times New Roman" w:eastAsia="宋体" w:cs="Times New Roman"/>
                      <w:b/>
                      <w:bCs/>
                      <w:snapToGrid w:val="0"/>
                      <w:color w:val="auto"/>
                      <w:sz w:val="21"/>
                      <w:szCs w:val="21"/>
                      <w:lang w:val="en-US" w:eastAsia="zh-CN"/>
                    </w:rPr>
                    <w:t>排放</w:t>
                  </w:r>
                  <w:r>
                    <w:rPr>
                      <w:rFonts w:hint="default" w:ascii="Times New Roman" w:hAnsi="Times New Roman" w:eastAsia="宋体" w:cs="Times New Roman"/>
                      <w:b/>
                      <w:bCs/>
                      <w:snapToGrid w:val="0"/>
                      <w:color w:val="auto"/>
                      <w:sz w:val="21"/>
                      <w:szCs w:val="21"/>
                    </w:rPr>
                    <w:t>量t/a</w:t>
                  </w:r>
                </w:p>
              </w:tc>
              <w:tc>
                <w:tcPr>
                  <w:tcW w:w="1117" w:type="dxa"/>
                  <w:tcBorders>
                    <w:tl2br w:val="nil"/>
                    <w:tr2bl w:val="nil"/>
                  </w:tcBorders>
                  <w:noWrap w:val="0"/>
                  <w:vAlign w:val="center"/>
                </w:tcPr>
                <w:p>
                  <w:pPr>
                    <w:pStyle w:val="45"/>
                    <w:keepNext w:val="0"/>
                    <w:keepLines w:val="0"/>
                    <w:pageBreakBefore w:val="0"/>
                    <w:widowControl w:val="0"/>
                    <w:kinsoku/>
                    <w:wordWrap/>
                    <w:topLinePunct w:val="0"/>
                    <w:autoSpaceDE/>
                    <w:autoSpaceDN/>
                    <w:bidi w:val="0"/>
                    <w:adjustRightInd w:val="0"/>
                    <w:snapToGrid w:val="0"/>
                    <w:spacing w:before="0" w:after="0" w:line="240" w:lineRule="auto"/>
                    <w:jc w:val="center"/>
                    <w:rPr>
                      <w:rFonts w:hint="default" w:ascii="Times New Roman" w:hAnsi="Times New Roman" w:eastAsia="宋体" w:cs="Times New Roman"/>
                      <w:b/>
                      <w:bCs/>
                      <w:snapToGrid w:val="0"/>
                      <w:color w:val="auto"/>
                      <w:sz w:val="21"/>
                      <w:szCs w:val="21"/>
                    </w:rPr>
                  </w:pPr>
                  <w:r>
                    <w:rPr>
                      <w:rFonts w:hint="default" w:ascii="Times New Roman" w:hAnsi="Times New Roman" w:eastAsia="宋体" w:cs="Times New Roman"/>
                      <w:b/>
                      <w:bCs/>
                      <w:snapToGrid w:val="0"/>
                      <w:color w:val="auto"/>
                      <w:sz w:val="21"/>
                      <w:szCs w:val="21"/>
                    </w:rPr>
                    <w:t>面源面积m</w:t>
                  </w:r>
                  <w:r>
                    <w:rPr>
                      <w:rFonts w:hint="default" w:ascii="Times New Roman" w:hAnsi="Times New Roman" w:eastAsia="宋体" w:cs="Times New Roman"/>
                      <w:b/>
                      <w:bCs/>
                      <w:snapToGrid w:val="0"/>
                      <w:color w:val="auto"/>
                      <w:sz w:val="21"/>
                      <w:szCs w:val="21"/>
                      <w:vertAlign w:val="superscript"/>
                    </w:rPr>
                    <w:t>2</w:t>
                  </w:r>
                </w:p>
              </w:tc>
              <w:tc>
                <w:tcPr>
                  <w:tcW w:w="1003" w:type="dxa"/>
                  <w:tcBorders>
                    <w:tl2br w:val="nil"/>
                    <w:tr2bl w:val="nil"/>
                  </w:tcBorders>
                  <w:noWrap w:val="0"/>
                  <w:vAlign w:val="center"/>
                </w:tcPr>
                <w:p>
                  <w:pPr>
                    <w:pStyle w:val="45"/>
                    <w:keepNext w:val="0"/>
                    <w:keepLines w:val="0"/>
                    <w:pageBreakBefore w:val="0"/>
                    <w:widowControl w:val="0"/>
                    <w:kinsoku/>
                    <w:wordWrap/>
                    <w:topLinePunct w:val="0"/>
                    <w:autoSpaceDE/>
                    <w:autoSpaceDN/>
                    <w:bidi w:val="0"/>
                    <w:adjustRightInd w:val="0"/>
                    <w:snapToGrid w:val="0"/>
                    <w:spacing w:before="0" w:after="0" w:line="240" w:lineRule="auto"/>
                    <w:jc w:val="center"/>
                    <w:rPr>
                      <w:rFonts w:hint="default" w:ascii="Times New Roman" w:hAnsi="Times New Roman" w:eastAsia="宋体" w:cs="Times New Roman"/>
                      <w:b/>
                      <w:bCs/>
                      <w:snapToGrid w:val="0"/>
                      <w:color w:val="auto"/>
                      <w:sz w:val="21"/>
                      <w:szCs w:val="21"/>
                    </w:rPr>
                  </w:pPr>
                  <w:r>
                    <w:rPr>
                      <w:rFonts w:hint="default" w:ascii="Times New Roman" w:hAnsi="Times New Roman" w:eastAsia="宋体" w:cs="Times New Roman"/>
                      <w:b/>
                      <w:bCs/>
                      <w:snapToGrid w:val="0"/>
                      <w:color w:val="auto"/>
                      <w:sz w:val="21"/>
                      <w:szCs w:val="21"/>
                    </w:rPr>
                    <w:t>面源高度m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36" w:type="dxa"/>
                  <w:tcBorders>
                    <w:tl2br w:val="nil"/>
                    <w:tr2bl w:val="nil"/>
                  </w:tcBorders>
                  <w:noWrap w:val="0"/>
                  <w:vAlign w:val="center"/>
                </w:tcPr>
                <w:p>
                  <w:pPr>
                    <w:pStyle w:val="45"/>
                    <w:keepNext w:val="0"/>
                    <w:keepLines w:val="0"/>
                    <w:pageBreakBefore w:val="0"/>
                    <w:kinsoku/>
                    <w:wordWrap/>
                    <w:topLinePunct w:val="0"/>
                    <w:autoSpaceDE/>
                    <w:autoSpaceDN/>
                    <w:bidi w:val="0"/>
                    <w:spacing w:line="240" w:lineRule="auto"/>
                    <w:jc w:val="center"/>
                    <w:rPr>
                      <w:rFonts w:hint="default" w:ascii="Times New Roman" w:hAnsi="Times New Roman" w:eastAsia="宋体" w:cs="Times New Roman"/>
                      <w:snapToGrid w:val="0"/>
                      <w:color w:val="auto"/>
                      <w:kern w:val="0"/>
                      <w:sz w:val="21"/>
                      <w:szCs w:val="21"/>
                    </w:rPr>
                  </w:pPr>
                  <w:r>
                    <w:rPr>
                      <w:rFonts w:hint="eastAsia" w:ascii="Times New Roman" w:hAnsi="Times New Roman" w:eastAsia="宋体" w:cs="Times New Roman"/>
                      <w:bCs/>
                      <w:color w:val="auto"/>
                      <w:sz w:val="21"/>
                      <w:szCs w:val="21"/>
                      <w:lang w:val="en-US" w:eastAsia="zh-CN"/>
                    </w:rPr>
                    <w:t>生产</w:t>
                  </w:r>
                  <w:r>
                    <w:rPr>
                      <w:rFonts w:hint="default" w:ascii="Times New Roman" w:hAnsi="Times New Roman" w:eastAsia="宋体" w:cs="Times New Roman"/>
                      <w:bCs/>
                      <w:color w:val="auto"/>
                      <w:sz w:val="21"/>
                      <w:szCs w:val="21"/>
                      <w:lang w:val="en-US" w:eastAsia="zh-CN"/>
                    </w:rPr>
                    <w:t>车间</w:t>
                  </w:r>
                </w:p>
              </w:tc>
              <w:tc>
                <w:tcPr>
                  <w:tcW w:w="1285" w:type="dxa"/>
                  <w:tcBorders>
                    <w:tl2br w:val="nil"/>
                    <w:tr2bl w:val="nil"/>
                  </w:tcBorders>
                  <w:noWrap w:val="0"/>
                  <w:vAlign w:val="center"/>
                </w:tcPr>
                <w:p>
                  <w:pPr>
                    <w:pStyle w:val="45"/>
                    <w:spacing w:line="240" w:lineRule="auto"/>
                    <w:jc w:val="center"/>
                    <w:rPr>
                      <w:rFonts w:hint="default" w:ascii="Times New Roman" w:hAnsi="Times New Roman" w:eastAsia="宋体"/>
                      <w:color w:val="auto"/>
                      <w:kern w:val="0"/>
                      <w:sz w:val="21"/>
                      <w:szCs w:val="21"/>
                      <w:lang w:val="en-US" w:eastAsia="zh-CN" w:bidi="ar-SA"/>
                    </w:rPr>
                  </w:pPr>
                  <w:r>
                    <w:rPr>
                      <w:rFonts w:hint="eastAsia" w:ascii="Times New Roman" w:hAnsi="Times New Roman" w:eastAsia="宋体"/>
                      <w:color w:val="auto"/>
                      <w:sz w:val="21"/>
                      <w:szCs w:val="21"/>
                      <w:lang w:val="en-US" w:eastAsia="zh-CN"/>
                    </w:rPr>
                    <w:t>非甲烷总烃</w:t>
                  </w:r>
                </w:p>
              </w:tc>
              <w:tc>
                <w:tcPr>
                  <w:tcW w:w="10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0.00</w:t>
                  </w:r>
                  <w:r>
                    <w:rPr>
                      <w:rFonts w:hint="eastAsia" w:cs="Times New Roman"/>
                      <w:color w:val="auto"/>
                      <w:kern w:val="0"/>
                      <w:sz w:val="21"/>
                      <w:szCs w:val="21"/>
                      <w:lang w:val="en-US" w:eastAsia="zh-CN" w:bidi="ar-SA"/>
                    </w:rPr>
                    <w:t>36</w:t>
                  </w:r>
                </w:p>
              </w:tc>
              <w:tc>
                <w:tcPr>
                  <w:tcW w:w="10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0.00</w:t>
                  </w:r>
                  <w:r>
                    <w:rPr>
                      <w:rFonts w:hint="eastAsia" w:cs="Times New Roman"/>
                      <w:color w:val="auto"/>
                      <w:kern w:val="0"/>
                      <w:sz w:val="21"/>
                      <w:szCs w:val="21"/>
                      <w:lang w:val="en-US" w:eastAsia="zh-CN" w:bidi="ar-SA"/>
                    </w:rPr>
                    <w:t>272</w:t>
                  </w:r>
                </w:p>
              </w:tc>
              <w:tc>
                <w:tcPr>
                  <w:tcW w:w="10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0.00</w:t>
                  </w:r>
                  <w:r>
                    <w:rPr>
                      <w:rFonts w:hint="eastAsia" w:cs="Times New Roman"/>
                      <w:color w:val="auto"/>
                      <w:kern w:val="0"/>
                      <w:sz w:val="21"/>
                      <w:szCs w:val="21"/>
                      <w:lang w:val="en-US" w:eastAsia="zh-CN" w:bidi="ar-SA"/>
                    </w:rPr>
                    <w:t>36</w:t>
                  </w:r>
                </w:p>
              </w:tc>
              <w:tc>
                <w:tcPr>
                  <w:tcW w:w="10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0.00</w:t>
                  </w:r>
                  <w:r>
                    <w:rPr>
                      <w:rFonts w:hint="eastAsia" w:cs="Times New Roman"/>
                      <w:color w:val="auto"/>
                      <w:kern w:val="0"/>
                      <w:sz w:val="21"/>
                      <w:szCs w:val="21"/>
                      <w:lang w:val="en-US" w:eastAsia="zh-CN" w:bidi="ar-SA"/>
                    </w:rPr>
                    <w:t>272</w:t>
                  </w:r>
                </w:p>
              </w:tc>
              <w:tc>
                <w:tcPr>
                  <w:tcW w:w="1117" w:type="dxa"/>
                  <w:tcBorders>
                    <w:tl2br w:val="nil"/>
                    <w:tr2bl w:val="nil"/>
                  </w:tcBorders>
                  <w:noWrap w:val="0"/>
                  <w:vAlign w:val="center"/>
                </w:tcPr>
                <w:p>
                  <w:pPr>
                    <w:keepNext w:val="0"/>
                    <w:keepLines w:val="0"/>
                    <w:pageBreakBefore w:val="0"/>
                    <w:widowControl w:val="0"/>
                    <w:kinsoku/>
                    <w:wordWrap/>
                    <w:topLinePunct w:val="0"/>
                    <w:autoSpaceDE/>
                    <w:autoSpaceDN/>
                    <w:bidi w:val="0"/>
                    <w:adjustRightInd w:val="0"/>
                    <w:snapToGrid w:val="0"/>
                    <w:spacing w:line="240" w:lineRule="auto"/>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350</w:t>
                  </w:r>
                </w:p>
              </w:tc>
              <w:tc>
                <w:tcPr>
                  <w:tcW w:w="1003" w:type="dxa"/>
                  <w:tcBorders>
                    <w:tl2br w:val="nil"/>
                    <w:tr2bl w:val="nil"/>
                  </w:tcBorders>
                  <w:noWrap w:val="0"/>
                  <w:vAlign w:val="center"/>
                </w:tcPr>
                <w:p>
                  <w:pPr>
                    <w:keepNext w:val="0"/>
                    <w:keepLines w:val="0"/>
                    <w:pageBreakBefore w:val="0"/>
                    <w:widowControl w:val="0"/>
                    <w:kinsoku/>
                    <w:wordWrap/>
                    <w:topLinePunct w:val="0"/>
                    <w:autoSpaceDE/>
                    <w:autoSpaceDN/>
                    <w:bidi w:val="0"/>
                    <w:adjustRightInd w:val="0"/>
                    <w:snapToGrid w:val="0"/>
                    <w:spacing w:line="240" w:lineRule="auto"/>
                    <w:jc w:val="center"/>
                    <w:rPr>
                      <w:rFonts w:hint="default" w:ascii="Times New Roman" w:hAnsi="Times New Roman" w:eastAsia="宋体" w:cs="Times New Roman"/>
                      <w:snapToGrid w:val="0"/>
                      <w:color w:val="auto"/>
                      <w:kern w:val="0"/>
                      <w:sz w:val="21"/>
                      <w:szCs w:val="21"/>
                      <w:lang w:val="en-US" w:eastAsia="zh-CN"/>
                    </w:rPr>
                  </w:pPr>
                  <w:r>
                    <w:rPr>
                      <w:rFonts w:hint="eastAsia" w:cs="Times New Roman"/>
                      <w:snapToGrid w:val="0"/>
                      <w:color w:val="auto"/>
                      <w:kern w:val="0"/>
                      <w:sz w:val="21"/>
                      <w:szCs w:val="21"/>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36" w:type="dxa"/>
                  <w:tcBorders>
                    <w:tl2br w:val="nil"/>
                    <w:tr2bl w:val="nil"/>
                  </w:tcBorders>
                  <w:noWrap w:val="0"/>
                  <w:vAlign w:val="center"/>
                </w:tcPr>
                <w:p>
                  <w:pPr>
                    <w:pStyle w:val="45"/>
                    <w:keepNext w:val="0"/>
                    <w:keepLines w:val="0"/>
                    <w:pageBreakBefore w:val="0"/>
                    <w:kinsoku/>
                    <w:wordWrap/>
                    <w:topLinePunct w:val="0"/>
                    <w:autoSpaceDE/>
                    <w:autoSpaceDN/>
                    <w:bidi w:val="0"/>
                    <w:spacing w:line="240" w:lineRule="auto"/>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生产车间</w:t>
                  </w:r>
                </w:p>
              </w:tc>
              <w:tc>
                <w:tcPr>
                  <w:tcW w:w="1285" w:type="dxa"/>
                  <w:tcBorders>
                    <w:tl2br w:val="nil"/>
                    <w:tr2bl w:val="nil"/>
                  </w:tcBorders>
                  <w:noWrap w:val="0"/>
                  <w:vAlign w:val="center"/>
                </w:tcPr>
                <w:p>
                  <w:pPr>
                    <w:pStyle w:val="45"/>
                    <w:spacing w:line="240" w:lineRule="auto"/>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颗粒物</w:t>
                  </w:r>
                </w:p>
              </w:tc>
              <w:tc>
                <w:tcPr>
                  <w:tcW w:w="10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0.0</w:t>
                  </w:r>
                  <w:r>
                    <w:rPr>
                      <w:rFonts w:hint="eastAsia" w:cs="Times New Roman"/>
                      <w:color w:val="auto"/>
                      <w:kern w:val="0"/>
                      <w:sz w:val="21"/>
                      <w:szCs w:val="21"/>
                      <w:lang w:val="en-US" w:eastAsia="zh-CN" w:bidi="ar-SA"/>
                    </w:rPr>
                    <w:t>304</w:t>
                  </w:r>
                </w:p>
              </w:tc>
              <w:tc>
                <w:tcPr>
                  <w:tcW w:w="10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w:t>
                  </w:r>
                  <w:r>
                    <w:rPr>
                      <w:rFonts w:hint="eastAsia" w:cs="Times New Roman"/>
                      <w:color w:val="auto"/>
                      <w:kern w:val="0"/>
                      <w:sz w:val="21"/>
                      <w:szCs w:val="21"/>
                      <w:lang w:val="en-US" w:eastAsia="zh-CN" w:bidi="ar-SA"/>
                    </w:rPr>
                    <w:t>0608</w:t>
                  </w:r>
                </w:p>
              </w:tc>
              <w:tc>
                <w:tcPr>
                  <w:tcW w:w="10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0.0</w:t>
                  </w:r>
                  <w:r>
                    <w:rPr>
                      <w:rFonts w:hint="eastAsia" w:cs="Times New Roman"/>
                      <w:color w:val="auto"/>
                      <w:kern w:val="0"/>
                      <w:sz w:val="21"/>
                      <w:szCs w:val="21"/>
                      <w:lang w:val="en-US" w:eastAsia="zh-CN" w:bidi="ar-SA"/>
                    </w:rPr>
                    <w:t>304</w:t>
                  </w:r>
                </w:p>
              </w:tc>
              <w:tc>
                <w:tcPr>
                  <w:tcW w:w="10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w:t>
                  </w:r>
                  <w:r>
                    <w:rPr>
                      <w:rFonts w:hint="eastAsia" w:cs="Times New Roman"/>
                      <w:color w:val="auto"/>
                      <w:kern w:val="0"/>
                      <w:sz w:val="21"/>
                      <w:szCs w:val="21"/>
                      <w:lang w:val="en-US" w:eastAsia="zh-CN" w:bidi="ar-SA"/>
                    </w:rPr>
                    <w:t>0608</w:t>
                  </w:r>
                </w:p>
              </w:tc>
              <w:tc>
                <w:tcPr>
                  <w:tcW w:w="1117" w:type="dxa"/>
                  <w:tcBorders>
                    <w:tl2br w:val="nil"/>
                    <w:tr2bl w:val="nil"/>
                  </w:tcBorders>
                  <w:noWrap w:val="0"/>
                  <w:vAlign w:val="center"/>
                </w:tcPr>
                <w:p>
                  <w:pPr>
                    <w:keepNext w:val="0"/>
                    <w:keepLines w:val="0"/>
                    <w:pageBreakBefore w:val="0"/>
                    <w:widowControl w:val="0"/>
                    <w:kinsoku/>
                    <w:wordWrap/>
                    <w:topLinePunct w:val="0"/>
                    <w:autoSpaceDE/>
                    <w:autoSpaceDN/>
                    <w:bidi w:val="0"/>
                    <w:adjustRightInd w:val="0"/>
                    <w:snapToGrid w:val="0"/>
                    <w:spacing w:line="240" w:lineRule="auto"/>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200</w:t>
                  </w:r>
                </w:p>
              </w:tc>
              <w:tc>
                <w:tcPr>
                  <w:tcW w:w="1003" w:type="dxa"/>
                  <w:tcBorders>
                    <w:tl2br w:val="nil"/>
                    <w:tr2bl w:val="nil"/>
                  </w:tcBorders>
                  <w:noWrap w:val="0"/>
                  <w:vAlign w:val="center"/>
                </w:tcPr>
                <w:p>
                  <w:pPr>
                    <w:keepNext w:val="0"/>
                    <w:keepLines w:val="0"/>
                    <w:pageBreakBefore w:val="0"/>
                    <w:widowControl w:val="0"/>
                    <w:kinsoku/>
                    <w:wordWrap/>
                    <w:topLinePunct w:val="0"/>
                    <w:autoSpaceDE/>
                    <w:autoSpaceDN/>
                    <w:bidi w:val="0"/>
                    <w:adjustRightInd w:val="0"/>
                    <w:snapToGrid w:val="0"/>
                    <w:spacing w:line="240" w:lineRule="auto"/>
                    <w:jc w:val="center"/>
                    <w:rPr>
                      <w:rFonts w:hint="default" w:ascii="Times New Roman" w:hAnsi="Times New Roman" w:eastAsia="宋体" w:cs="Times New Roman"/>
                      <w:snapToGrid w:val="0"/>
                      <w:color w:val="auto"/>
                      <w:kern w:val="0"/>
                      <w:sz w:val="21"/>
                      <w:szCs w:val="21"/>
                      <w:lang w:val="en-US" w:eastAsia="zh-CN"/>
                    </w:rPr>
                  </w:pPr>
                  <w:r>
                    <w:rPr>
                      <w:rFonts w:hint="eastAsia" w:cs="Times New Roman"/>
                      <w:snapToGrid w:val="0"/>
                      <w:color w:val="auto"/>
                      <w:kern w:val="0"/>
                      <w:sz w:val="21"/>
                      <w:szCs w:val="21"/>
                      <w:lang w:val="en-US" w:eastAsia="zh-CN"/>
                    </w:rPr>
                    <w:t>8</w:t>
                  </w:r>
                </w:p>
              </w:tc>
            </w:tr>
          </w:tbl>
          <w:p>
            <w:pPr>
              <w:numPr>
                <w:ilvl w:val="-1"/>
                <w:numId w:val="0"/>
              </w:numPr>
              <w:adjustRightInd w:val="0"/>
              <w:snapToGrid w:val="0"/>
              <w:spacing w:line="500" w:lineRule="exact"/>
              <w:ind w:firstLine="482" w:firstLineChars="200"/>
              <w:jc w:val="both"/>
              <w:rPr>
                <w:b/>
                <w:bCs/>
                <w:color w:val="000000"/>
              </w:rPr>
            </w:pPr>
            <w:r>
              <w:rPr>
                <w:rFonts w:hint="eastAsia" w:ascii="宋体" w:hAnsi="宋体" w:cs="宋体"/>
                <w:b/>
                <w:bCs w:val="0"/>
                <w:spacing w:val="0"/>
                <w:sz w:val="24"/>
                <w:lang w:val="en-US" w:eastAsia="zh-CN"/>
              </w:rPr>
              <w:t>（4）非正常情况</w:t>
            </w:r>
          </w:p>
          <w:p>
            <w:pPr>
              <w:numPr>
                <w:ilvl w:val="-1"/>
                <w:numId w:val="0"/>
              </w:numPr>
              <w:adjustRightInd w:val="0"/>
              <w:snapToGrid w:val="0"/>
              <w:spacing w:line="500" w:lineRule="exact"/>
              <w:ind w:firstLine="420" w:firstLineChars="200"/>
              <w:jc w:val="both"/>
              <w:rPr>
                <w:b/>
                <w:bCs/>
                <w:color w:val="000000"/>
              </w:rPr>
            </w:pPr>
            <w:r>
              <w:rPr>
                <w:rFonts w:hint="eastAsia"/>
                <w:lang w:val="en-US" w:eastAsia="zh-CN"/>
              </w:rPr>
              <w:t xml:space="preserve"> </w:t>
            </w:r>
            <w:r>
              <w:rPr>
                <w:color w:val="000000"/>
                <w:sz w:val="24"/>
              </w:rPr>
              <w:t>本项目</w:t>
            </w:r>
            <w:r>
              <w:rPr>
                <w:rFonts w:hint="eastAsia"/>
                <w:color w:val="000000"/>
                <w:sz w:val="24"/>
              </w:rPr>
              <w:t>非正常工况为环保处理设施达不到设计处理效果，导致排放量有所增加，</w:t>
            </w:r>
            <w:r>
              <w:rPr>
                <w:color w:val="000000"/>
                <w:sz w:val="24"/>
              </w:rPr>
              <w:t>则对污染物的去除效率</w:t>
            </w:r>
            <w:r>
              <w:rPr>
                <w:rFonts w:hint="eastAsia"/>
                <w:color w:val="000000"/>
                <w:sz w:val="24"/>
              </w:rPr>
              <w:t>为0</w:t>
            </w:r>
            <w:r>
              <w:rPr>
                <w:color w:val="000000"/>
                <w:sz w:val="24"/>
              </w:rPr>
              <w:t>，非正常排放历时不超过1个小时。非正常排放状况时具体排放源强见</w:t>
            </w:r>
            <w:r>
              <w:rPr>
                <w:rFonts w:hint="eastAsia"/>
                <w:color w:val="000000"/>
                <w:sz w:val="24"/>
              </w:rPr>
              <w:t>下</w:t>
            </w:r>
            <w:r>
              <w:rPr>
                <w:color w:val="000000"/>
                <w:sz w:val="24"/>
              </w:rPr>
              <w:t>表。</w:t>
            </w:r>
          </w:p>
          <w:p>
            <w:pPr>
              <w:widowControl/>
              <w:tabs>
                <w:tab w:val="left" w:pos="3255"/>
              </w:tabs>
              <w:adjustRightInd w:val="0"/>
              <w:snapToGrid w:val="0"/>
              <w:spacing w:line="500" w:lineRule="exact"/>
              <w:jc w:val="center"/>
              <w:rPr>
                <w:b/>
                <w:bCs/>
                <w:color w:val="000000"/>
                <w:szCs w:val="20"/>
              </w:rPr>
            </w:pPr>
            <w:r>
              <w:rPr>
                <w:b/>
                <w:bCs/>
                <w:color w:val="000000"/>
                <w:sz w:val="24"/>
              </w:rPr>
              <w:t>表</w:t>
            </w:r>
            <w:r>
              <w:rPr>
                <w:rFonts w:hint="eastAsia"/>
                <w:b/>
                <w:bCs/>
                <w:color w:val="000000"/>
                <w:sz w:val="24"/>
              </w:rPr>
              <w:t>4</w:t>
            </w:r>
            <w:r>
              <w:rPr>
                <w:b/>
                <w:bCs/>
                <w:color w:val="000000"/>
                <w:sz w:val="24"/>
              </w:rPr>
              <w:t>-</w:t>
            </w:r>
            <w:r>
              <w:rPr>
                <w:rFonts w:hint="eastAsia"/>
                <w:b/>
                <w:bCs/>
                <w:color w:val="000000"/>
                <w:sz w:val="24"/>
                <w:lang w:val="en-US" w:eastAsia="zh-CN"/>
              </w:rPr>
              <w:t>6</w:t>
            </w:r>
            <w:r>
              <w:rPr>
                <w:rFonts w:hint="eastAsia"/>
                <w:b/>
                <w:bCs/>
                <w:color w:val="000000"/>
                <w:sz w:val="24"/>
              </w:rPr>
              <w:t xml:space="preserve"> </w:t>
            </w:r>
            <w:r>
              <w:rPr>
                <w:b/>
                <w:bCs/>
                <w:color w:val="000000"/>
                <w:sz w:val="24"/>
              </w:rPr>
              <w:t xml:space="preserve"> 非正常排放状况时大气污染物排放源强</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498"/>
              <w:gridCol w:w="1481"/>
              <w:gridCol w:w="1026"/>
              <w:gridCol w:w="1040"/>
              <w:gridCol w:w="1149"/>
              <w:gridCol w:w="1198"/>
              <w:gridCol w:w="11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0" w:type="pct"/>
                  <w:noWrap/>
                  <w:vAlign w:val="center"/>
                </w:tcPr>
                <w:p>
                  <w:pPr>
                    <w:widowControl/>
                    <w:jc w:val="center"/>
                    <w:textAlignment w:val="center"/>
                    <w:rPr>
                      <w:b/>
                      <w:bCs/>
                      <w:color w:val="000000"/>
                      <w:sz w:val="21"/>
                      <w:szCs w:val="21"/>
                    </w:rPr>
                  </w:pPr>
                  <w:r>
                    <w:rPr>
                      <w:rFonts w:hint="eastAsia"/>
                      <w:b/>
                      <w:bCs/>
                      <w:color w:val="000000"/>
                      <w:sz w:val="21"/>
                      <w:szCs w:val="21"/>
                    </w:rPr>
                    <w:t>非正常排放源</w:t>
                  </w:r>
                </w:p>
              </w:tc>
              <w:tc>
                <w:tcPr>
                  <w:tcW w:w="870" w:type="pct"/>
                  <w:noWrap/>
                  <w:vAlign w:val="center"/>
                </w:tcPr>
                <w:p>
                  <w:pPr>
                    <w:widowControl/>
                    <w:jc w:val="center"/>
                    <w:textAlignment w:val="center"/>
                    <w:rPr>
                      <w:b/>
                      <w:bCs/>
                      <w:color w:val="000000"/>
                      <w:sz w:val="21"/>
                      <w:szCs w:val="21"/>
                    </w:rPr>
                  </w:pPr>
                  <w:r>
                    <w:rPr>
                      <w:rFonts w:hint="eastAsia"/>
                      <w:b/>
                      <w:bCs/>
                      <w:color w:val="000000"/>
                      <w:sz w:val="21"/>
                      <w:szCs w:val="21"/>
                    </w:rPr>
                    <w:t>非正常排放原因</w:t>
                  </w:r>
                </w:p>
              </w:tc>
              <w:tc>
                <w:tcPr>
                  <w:tcW w:w="603" w:type="pct"/>
                  <w:noWrap/>
                  <w:vAlign w:val="center"/>
                </w:tcPr>
                <w:p>
                  <w:pPr>
                    <w:widowControl/>
                    <w:jc w:val="center"/>
                    <w:textAlignment w:val="center"/>
                    <w:rPr>
                      <w:b/>
                      <w:bCs/>
                      <w:color w:val="000000"/>
                      <w:sz w:val="21"/>
                      <w:szCs w:val="21"/>
                    </w:rPr>
                  </w:pPr>
                  <w:r>
                    <w:rPr>
                      <w:rFonts w:hint="eastAsia"/>
                      <w:b/>
                      <w:bCs/>
                      <w:color w:val="000000"/>
                      <w:sz w:val="21"/>
                      <w:szCs w:val="21"/>
                    </w:rPr>
                    <w:t>污染物</w:t>
                  </w:r>
                </w:p>
              </w:tc>
              <w:tc>
                <w:tcPr>
                  <w:tcW w:w="611" w:type="pct"/>
                  <w:noWrap/>
                  <w:vAlign w:val="center"/>
                </w:tcPr>
                <w:p>
                  <w:pPr>
                    <w:widowControl/>
                    <w:jc w:val="center"/>
                    <w:textAlignment w:val="center"/>
                    <w:rPr>
                      <w:b/>
                      <w:bCs/>
                      <w:color w:val="000000"/>
                      <w:sz w:val="21"/>
                      <w:szCs w:val="21"/>
                    </w:rPr>
                  </w:pPr>
                  <w:r>
                    <w:rPr>
                      <w:rFonts w:hint="eastAsia"/>
                      <w:b/>
                      <w:bCs/>
                      <w:color w:val="000000"/>
                      <w:sz w:val="21"/>
                      <w:szCs w:val="21"/>
                    </w:rPr>
                    <w:t>排放浓度（</w:t>
                  </w:r>
                  <w:r>
                    <w:rPr>
                      <w:rFonts w:ascii="Times New Roman" w:hAnsi="Times New Roman"/>
                      <w:b/>
                      <w:bCs/>
                      <w:color w:val="000000"/>
                      <w:kern w:val="0"/>
                      <w:sz w:val="21"/>
                      <w:szCs w:val="21"/>
                    </w:rPr>
                    <w:t>mg/m</w:t>
                  </w:r>
                  <w:r>
                    <w:rPr>
                      <w:rFonts w:ascii="Times New Roman" w:hAnsi="Times New Roman"/>
                      <w:b/>
                      <w:bCs/>
                      <w:color w:val="000000"/>
                      <w:kern w:val="0"/>
                      <w:sz w:val="21"/>
                      <w:szCs w:val="21"/>
                      <w:vertAlign w:val="superscript"/>
                    </w:rPr>
                    <w:t>3</w:t>
                  </w:r>
                  <w:r>
                    <w:rPr>
                      <w:rFonts w:hint="eastAsia"/>
                      <w:b/>
                      <w:bCs/>
                      <w:color w:val="000000"/>
                      <w:sz w:val="21"/>
                      <w:szCs w:val="21"/>
                    </w:rPr>
                    <w:t>）</w:t>
                  </w:r>
                </w:p>
              </w:tc>
              <w:tc>
                <w:tcPr>
                  <w:tcW w:w="675" w:type="pct"/>
                  <w:noWrap/>
                  <w:vAlign w:val="center"/>
                </w:tcPr>
                <w:p>
                  <w:pPr>
                    <w:widowControl/>
                    <w:jc w:val="center"/>
                    <w:textAlignment w:val="center"/>
                    <w:rPr>
                      <w:b/>
                      <w:bCs/>
                      <w:color w:val="000000"/>
                      <w:sz w:val="21"/>
                      <w:szCs w:val="21"/>
                    </w:rPr>
                  </w:pPr>
                  <w:r>
                    <w:rPr>
                      <w:b/>
                      <w:bCs/>
                      <w:color w:val="000000"/>
                      <w:sz w:val="21"/>
                      <w:szCs w:val="21"/>
                    </w:rPr>
                    <w:t>排放速率(kg/h)</w:t>
                  </w:r>
                </w:p>
              </w:tc>
              <w:tc>
                <w:tcPr>
                  <w:tcW w:w="704" w:type="pct"/>
                  <w:noWrap/>
                  <w:vAlign w:val="center"/>
                </w:tcPr>
                <w:p>
                  <w:pPr>
                    <w:widowControl/>
                    <w:jc w:val="center"/>
                    <w:textAlignment w:val="center"/>
                    <w:rPr>
                      <w:b/>
                      <w:bCs/>
                      <w:color w:val="000000"/>
                      <w:sz w:val="21"/>
                      <w:szCs w:val="21"/>
                    </w:rPr>
                  </w:pPr>
                  <w:r>
                    <w:rPr>
                      <w:rFonts w:hint="eastAsia"/>
                      <w:b/>
                      <w:bCs/>
                      <w:color w:val="000000"/>
                      <w:sz w:val="21"/>
                      <w:szCs w:val="21"/>
                    </w:rPr>
                    <w:t>单次</w:t>
                  </w:r>
                  <w:r>
                    <w:rPr>
                      <w:b/>
                      <w:bCs/>
                      <w:color w:val="000000"/>
                      <w:sz w:val="21"/>
                      <w:szCs w:val="21"/>
                    </w:rPr>
                    <w:t>持续时间</w:t>
                  </w:r>
                  <w:r>
                    <w:rPr>
                      <w:rFonts w:hint="eastAsia"/>
                      <w:b/>
                      <w:bCs/>
                      <w:color w:val="000000"/>
                      <w:sz w:val="21"/>
                      <w:szCs w:val="21"/>
                    </w:rPr>
                    <w:t>/h</w:t>
                  </w:r>
                </w:p>
              </w:tc>
              <w:tc>
                <w:tcPr>
                  <w:tcW w:w="653" w:type="pct"/>
                  <w:noWrap/>
                  <w:vAlign w:val="center"/>
                </w:tcPr>
                <w:p>
                  <w:pPr>
                    <w:widowControl/>
                    <w:jc w:val="center"/>
                    <w:textAlignment w:val="center"/>
                    <w:rPr>
                      <w:b/>
                      <w:bCs/>
                      <w:color w:val="000000"/>
                      <w:sz w:val="21"/>
                      <w:szCs w:val="21"/>
                    </w:rPr>
                  </w:pPr>
                  <w:r>
                    <w:rPr>
                      <w:rFonts w:hint="eastAsia"/>
                      <w:b/>
                      <w:bCs/>
                      <w:color w:val="000000"/>
                      <w:sz w:val="21"/>
                      <w:szCs w:val="21"/>
                    </w:rPr>
                    <w:t>年发生频次/次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0" w:type="pct"/>
                  <w:noWrap/>
                  <w:vAlign w:val="center"/>
                </w:tcPr>
                <w:p>
                  <w:pPr>
                    <w:adjustRightInd w:val="0"/>
                    <w:snapToGrid w:val="0"/>
                    <w:jc w:val="center"/>
                    <w:rPr>
                      <w:color w:val="000000"/>
                      <w:sz w:val="21"/>
                      <w:szCs w:val="21"/>
                    </w:rPr>
                  </w:pPr>
                  <w:r>
                    <w:rPr>
                      <w:rFonts w:hint="eastAsia"/>
                      <w:color w:val="000000"/>
                      <w:sz w:val="21"/>
                      <w:szCs w:val="21"/>
                    </w:rPr>
                    <w:t>1#排气筒</w:t>
                  </w:r>
                </w:p>
              </w:tc>
              <w:tc>
                <w:tcPr>
                  <w:tcW w:w="870" w:type="pct"/>
                  <w:vMerge w:val="restart"/>
                  <w:noWrap/>
                  <w:vAlign w:val="center"/>
                </w:tcPr>
                <w:p>
                  <w:pPr>
                    <w:widowControl/>
                    <w:jc w:val="center"/>
                    <w:textAlignment w:val="center"/>
                    <w:rPr>
                      <w:color w:val="000000"/>
                      <w:sz w:val="21"/>
                      <w:szCs w:val="21"/>
                    </w:rPr>
                  </w:pPr>
                  <w:r>
                    <w:rPr>
                      <w:rFonts w:hint="default" w:ascii="Times New Roman" w:hAnsi="Times New Roman" w:cs="Times New Roman"/>
                      <w:color w:val="auto"/>
                      <w:sz w:val="21"/>
                      <w:szCs w:val="21"/>
                    </w:rPr>
                    <w:t>废气治理设施出现故障，无法进行正常净化处理</w:t>
                  </w:r>
                </w:p>
              </w:tc>
              <w:tc>
                <w:tcPr>
                  <w:tcW w:w="603" w:type="pct"/>
                  <w:noWrap w:val="0"/>
                  <w:vAlign w:val="center"/>
                </w:tcPr>
                <w:p>
                  <w:pPr>
                    <w:adjustRightInd w:val="0"/>
                    <w:snapToGrid w:val="0"/>
                    <w:jc w:val="center"/>
                    <w:rPr>
                      <w:rFonts w:hint="default" w:eastAsia="宋体"/>
                      <w:color w:val="000000"/>
                      <w:sz w:val="21"/>
                      <w:szCs w:val="21"/>
                      <w:lang w:val="en-US" w:eastAsia="zh-CN"/>
                    </w:rPr>
                  </w:pPr>
                  <w:r>
                    <w:rPr>
                      <w:rFonts w:hint="eastAsia"/>
                      <w:color w:val="000000"/>
                      <w:sz w:val="21"/>
                      <w:szCs w:val="21"/>
                      <w:lang w:val="en-US" w:eastAsia="zh-CN"/>
                    </w:rPr>
                    <w:t>非甲烷总烃</w:t>
                  </w:r>
                </w:p>
              </w:tc>
              <w:tc>
                <w:tcPr>
                  <w:tcW w:w="611" w:type="pct"/>
                  <w:noWrap w:val="0"/>
                  <w:vAlign w:val="center"/>
                </w:tcPr>
                <w:p>
                  <w:pPr>
                    <w:keepNext w:val="0"/>
                    <w:keepLines w:val="0"/>
                    <w:widowControl/>
                    <w:suppressLineNumbers w:val="0"/>
                    <w:jc w:val="center"/>
                    <w:textAlignment w:val="center"/>
                    <w:rPr>
                      <w:rFonts w:hint="default" w:ascii="Times New Roman" w:hAnsi="Times New Roman"/>
                      <w:color w:val="auto"/>
                      <w:sz w:val="21"/>
                      <w:szCs w:val="21"/>
                      <w:lang w:val="en-US"/>
                    </w:rPr>
                  </w:pPr>
                  <w:r>
                    <w:rPr>
                      <w:rFonts w:hint="eastAsia" w:cs="Times New Roman"/>
                      <w:i w:val="0"/>
                      <w:iCs w:val="0"/>
                      <w:color w:val="auto"/>
                      <w:kern w:val="0"/>
                      <w:sz w:val="21"/>
                      <w:szCs w:val="21"/>
                      <w:u w:val="none"/>
                      <w:lang w:val="en-US" w:eastAsia="zh-CN" w:bidi="ar"/>
                    </w:rPr>
                    <w:t>2.07</w:t>
                  </w:r>
                </w:p>
              </w:tc>
              <w:tc>
                <w:tcPr>
                  <w:tcW w:w="675" w:type="pct"/>
                  <w:noWrap w:val="0"/>
                  <w:vAlign w:val="center"/>
                </w:tcPr>
                <w:p>
                  <w:pPr>
                    <w:keepNext w:val="0"/>
                    <w:keepLines w:val="0"/>
                    <w:widowControl/>
                    <w:suppressLineNumbers w:val="0"/>
                    <w:jc w:val="center"/>
                    <w:textAlignment w:val="center"/>
                    <w:rPr>
                      <w:rFonts w:hint="default" w:ascii="Times New Roman" w:hAnsi="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0145</w:t>
                  </w:r>
                </w:p>
              </w:tc>
              <w:tc>
                <w:tcPr>
                  <w:tcW w:w="704" w:type="pct"/>
                  <w:vMerge w:val="restart"/>
                  <w:noWrap w:val="0"/>
                  <w:vAlign w:val="center"/>
                </w:tcPr>
                <w:p>
                  <w:pPr>
                    <w:widowControl/>
                    <w:jc w:val="center"/>
                    <w:textAlignment w:val="center"/>
                    <w:rPr>
                      <w:color w:val="000000"/>
                      <w:sz w:val="21"/>
                      <w:szCs w:val="21"/>
                    </w:rPr>
                  </w:pPr>
                  <w:r>
                    <w:rPr>
                      <w:rFonts w:hint="eastAsia"/>
                      <w:color w:val="000000"/>
                      <w:sz w:val="21"/>
                      <w:szCs w:val="21"/>
                    </w:rPr>
                    <w:t>1.0</w:t>
                  </w:r>
                </w:p>
              </w:tc>
              <w:tc>
                <w:tcPr>
                  <w:tcW w:w="653" w:type="pct"/>
                  <w:vMerge w:val="restart"/>
                  <w:noWrap/>
                  <w:vAlign w:val="center"/>
                </w:tcPr>
                <w:p>
                  <w:pPr>
                    <w:widowControl/>
                    <w:jc w:val="center"/>
                    <w:textAlignment w:val="center"/>
                    <w:rPr>
                      <w:color w:val="000000"/>
                      <w:sz w:val="21"/>
                      <w:szCs w:val="21"/>
                    </w:rPr>
                  </w:pPr>
                  <w:r>
                    <w:rPr>
                      <w:rFonts w:hint="eastAsia"/>
                      <w:color w:val="000000"/>
                      <w:sz w:val="21"/>
                      <w:szCs w:val="21"/>
                    </w:rPr>
                    <w:t>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0" w:type="pct"/>
                  <w:noWrap/>
                  <w:vAlign w:val="center"/>
                </w:tcPr>
                <w:p>
                  <w:pPr>
                    <w:adjustRightInd w:val="0"/>
                    <w:snapToGrid w:val="0"/>
                    <w:jc w:val="center"/>
                    <w:rPr>
                      <w:rFonts w:hint="eastAsia"/>
                      <w:color w:val="000000"/>
                      <w:sz w:val="21"/>
                      <w:szCs w:val="21"/>
                    </w:rPr>
                  </w:pPr>
                  <w:r>
                    <w:rPr>
                      <w:rFonts w:hint="eastAsia"/>
                      <w:color w:val="000000"/>
                      <w:sz w:val="21"/>
                      <w:szCs w:val="21"/>
                      <w:lang w:val="en-US" w:eastAsia="zh-CN"/>
                    </w:rPr>
                    <w:t>2</w:t>
                  </w:r>
                  <w:r>
                    <w:rPr>
                      <w:rFonts w:hint="eastAsia"/>
                      <w:color w:val="000000"/>
                      <w:sz w:val="21"/>
                      <w:szCs w:val="21"/>
                    </w:rPr>
                    <w:t>#排气筒</w:t>
                  </w:r>
                </w:p>
              </w:tc>
              <w:tc>
                <w:tcPr>
                  <w:tcW w:w="870" w:type="pct"/>
                  <w:vMerge w:val="continue"/>
                  <w:noWrap/>
                  <w:vAlign w:val="center"/>
                </w:tcPr>
                <w:p>
                  <w:pPr>
                    <w:widowControl/>
                    <w:jc w:val="center"/>
                    <w:textAlignment w:val="center"/>
                    <w:rPr>
                      <w:color w:val="000000"/>
                      <w:sz w:val="21"/>
                      <w:szCs w:val="21"/>
                    </w:rPr>
                  </w:pPr>
                </w:p>
              </w:tc>
              <w:tc>
                <w:tcPr>
                  <w:tcW w:w="603" w:type="pct"/>
                  <w:noWrap w:val="0"/>
                  <w:vAlign w:val="center"/>
                </w:tcPr>
                <w:p>
                  <w:pPr>
                    <w:adjustRightInd w:val="0"/>
                    <w:snapToGrid w:val="0"/>
                    <w:jc w:val="center"/>
                    <w:rPr>
                      <w:rFonts w:hint="eastAsia"/>
                      <w:color w:val="000000"/>
                      <w:sz w:val="21"/>
                      <w:szCs w:val="21"/>
                    </w:rPr>
                  </w:pPr>
                  <w:r>
                    <w:rPr>
                      <w:rFonts w:hint="eastAsia"/>
                      <w:color w:val="000000"/>
                      <w:sz w:val="21"/>
                      <w:szCs w:val="21"/>
                    </w:rPr>
                    <w:t>颗粒物</w:t>
                  </w:r>
                </w:p>
              </w:tc>
              <w:tc>
                <w:tcPr>
                  <w:tcW w:w="611" w:type="pct"/>
                  <w:noWrap w:val="0"/>
                  <w:vAlign w:val="center"/>
                </w:tcPr>
                <w:p>
                  <w:pPr>
                    <w:adjustRightInd w:val="0"/>
                    <w:snapToGrid w:val="0"/>
                    <w:jc w:val="center"/>
                    <w:rPr>
                      <w:rFonts w:hint="eastAsia" w:ascii="Times New Roman" w:hAnsi="Times New Roman"/>
                      <w:color w:val="auto"/>
                      <w:sz w:val="21"/>
                      <w:szCs w:val="21"/>
                    </w:rPr>
                  </w:pPr>
                  <w:r>
                    <w:rPr>
                      <w:rFonts w:hint="eastAsia" w:cs="Times New Roman"/>
                      <w:color w:val="auto"/>
                      <w:spacing w:val="0"/>
                      <w:sz w:val="21"/>
                      <w:szCs w:val="21"/>
                      <w:lang w:val="en-US" w:eastAsia="zh-CN"/>
                    </w:rPr>
                    <w:t>91.2</w:t>
                  </w:r>
                </w:p>
              </w:tc>
              <w:tc>
                <w:tcPr>
                  <w:tcW w:w="675" w:type="pct"/>
                  <w:noWrap w:val="0"/>
                  <w:vAlign w:val="center"/>
                </w:tcPr>
                <w:p>
                  <w:pPr>
                    <w:adjustRightInd w:val="0"/>
                    <w:snapToGrid w:val="0"/>
                    <w:jc w:val="center"/>
                    <w:rPr>
                      <w:rFonts w:hint="eastAsia" w:ascii="Times New Roman" w:hAnsi="Times New Roman"/>
                      <w:color w:val="auto"/>
                      <w:sz w:val="21"/>
                      <w:szCs w:val="21"/>
                    </w:rPr>
                  </w:pPr>
                  <w:r>
                    <w:rPr>
                      <w:rFonts w:hint="eastAsia" w:cs="Times New Roman"/>
                      <w:color w:val="auto"/>
                      <w:spacing w:val="0"/>
                      <w:sz w:val="21"/>
                      <w:szCs w:val="21"/>
                      <w:lang w:val="en-US" w:eastAsia="zh-CN"/>
                    </w:rPr>
                    <w:t>0.274</w:t>
                  </w:r>
                </w:p>
              </w:tc>
              <w:tc>
                <w:tcPr>
                  <w:tcW w:w="704" w:type="pct"/>
                  <w:vMerge w:val="continue"/>
                  <w:noWrap w:val="0"/>
                  <w:vAlign w:val="center"/>
                </w:tcPr>
                <w:p>
                  <w:pPr>
                    <w:widowControl/>
                    <w:jc w:val="center"/>
                    <w:textAlignment w:val="center"/>
                    <w:rPr>
                      <w:color w:val="000000"/>
                      <w:sz w:val="21"/>
                      <w:szCs w:val="21"/>
                    </w:rPr>
                  </w:pPr>
                </w:p>
              </w:tc>
              <w:tc>
                <w:tcPr>
                  <w:tcW w:w="653" w:type="pct"/>
                  <w:vMerge w:val="continue"/>
                  <w:noWrap/>
                  <w:vAlign w:val="center"/>
                </w:tcPr>
                <w:p>
                  <w:pPr>
                    <w:widowControl/>
                    <w:jc w:val="center"/>
                    <w:textAlignment w:val="center"/>
                    <w:rPr>
                      <w:color w:val="000000"/>
                      <w:sz w:val="21"/>
                      <w:szCs w:val="21"/>
                    </w:rPr>
                  </w:pPr>
                </w:p>
              </w:tc>
            </w:tr>
          </w:tbl>
          <w:p>
            <w:pPr>
              <w:pStyle w:val="16"/>
              <w:spacing w:before="0" w:beforeAutospacing="0" w:after="0" w:afterAutospacing="0" w:line="500" w:lineRule="exact"/>
              <w:ind w:firstLine="480" w:firstLineChars="200"/>
              <w:rPr>
                <w:rFonts w:ascii="Times New Roman" w:hAnsi="Times New Roman"/>
                <w:color w:val="000000"/>
              </w:rPr>
            </w:pPr>
            <w:r>
              <w:rPr>
                <w:rFonts w:hint="eastAsia" w:ascii="Times New Roman" w:hAnsi="Times New Roman"/>
                <w:color w:val="000000"/>
              </w:rPr>
              <w:t>针对以上情况，</w:t>
            </w:r>
            <w:r>
              <w:rPr>
                <w:rFonts w:ascii="Times New Roman" w:hAnsi="Times New Roman"/>
                <w:color w:val="000000"/>
              </w:rPr>
              <w:t>企业必须做好污染治理设施的日常维护与检查，避免非正常排放的发生，</w:t>
            </w:r>
            <w:r>
              <w:rPr>
                <w:rFonts w:hint="eastAsia" w:ascii="Times New Roman" w:hAnsi="Times New Roman"/>
                <w:color w:val="000000"/>
              </w:rPr>
              <w:t>定期进行污染排放监测，确保设施长期稳定正常运行</w:t>
            </w:r>
            <w:r>
              <w:rPr>
                <w:rFonts w:ascii="Times New Roman" w:hAnsi="Times New Roman"/>
                <w:color w:val="000000"/>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cs="宋体"/>
                <w:b w:val="0"/>
                <w:bCs/>
                <w:spacing w:val="0"/>
                <w:sz w:val="24"/>
                <w:lang w:val="en-US" w:eastAsia="zh-CN"/>
              </w:rPr>
            </w:pPr>
            <w:r>
              <w:rPr>
                <w:rFonts w:hint="eastAsia" w:ascii="宋体" w:hAnsi="宋体" w:cs="宋体"/>
                <w:b w:val="0"/>
                <w:bCs/>
                <w:spacing w:val="0"/>
                <w:sz w:val="24"/>
                <w:lang w:val="en-US" w:eastAsia="zh-CN"/>
              </w:rPr>
              <w:t>①日常工作中，建议建设单位做好以下防范工作：</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cs="宋体"/>
                <w:b w:val="0"/>
                <w:bCs/>
                <w:spacing w:val="0"/>
                <w:sz w:val="24"/>
                <w:lang w:val="en-US" w:eastAsia="zh-CN"/>
              </w:rPr>
            </w:pPr>
            <w:r>
              <w:rPr>
                <w:rFonts w:hint="eastAsia" w:ascii="宋体" w:hAnsi="宋体" w:cs="宋体"/>
                <w:b w:val="0"/>
                <w:bCs/>
                <w:spacing w:val="0"/>
                <w:sz w:val="24"/>
                <w:lang w:val="en-US" w:eastAsia="zh-CN"/>
              </w:rPr>
              <w:t>②平时注意废气处理设施的维护，及时发现处理设备的隐患，确保废气处理系统正常运行；开、停、检修要有预案，有严密周全的计划，尽可能避免或减少非正常排放次数，使影响降到最小。</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cs="宋体"/>
                <w:b w:val="0"/>
                <w:bCs/>
                <w:spacing w:val="0"/>
                <w:sz w:val="24"/>
                <w:lang w:val="en-US" w:eastAsia="zh-CN"/>
              </w:rPr>
            </w:pPr>
            <w:r>
              <w:rPr>
                <w:rFonts w:hint="eastAsia" w:ascii="宋体" w:hAnsi="宋体" w:cs="宋体"/>
                <w:b w:val="0"/>
                <w:bCs/>
                <w:spacing w:val="0"/>
                <w:sz w:val="24"/>
                <w:lang w:val="en-US" w:eastAsia="zh-CN"/>
              </w:rPr>
              <w:t>③具有使用周期的环保设施应按时、足量进行更换，并做好台账记录。</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cs="宋体"/>
                <w:b w:val="0"/>
                <w:bCs/>
                <w:spacing w:val="0"/>
                <w:sz w:val="24"/>
                <w:lang w:val="en-US" w:eastAsia="zh-CN"/>
              </w:rPr>
            </w:pPr>
            <w:r>
              <w:rPr>
                <w:rFonts w:hint="eastAsia" w:ascii="宋体" w:hAnsi="宋体" w:cs="宋体"/>
                <w:b w:val="0"/>
                <w:bCs/>
                <w:spacing w:val="0"/>
                <w:sz w:val="24"/>
                <w:lang w:val="en-US" w:eastAsia="zh-CN"/>
              </w:rPr>
              <w:t>④应设有备用电源和备用处理设备和零件，以备停电或设备出现故障时保障及时更换使废气全部做到达标排放。</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0" w:firstLineChars="200"/>
              <w:jc w:val="left"/>
              <w:textAlignment w:val="auto"/>
              <w:rPr>
                <w:rFonts w:hint="default" w:ascii="宋体" w:hAnsi="宋体" w:cs="宋体"/>
                <w:b w:val="0"/>
                <w:bCs/>
                <w:spacing w:val="0"/>
                <w:sz w:val="24"/>
                <w:lang w:val="en-US" w:eastAsia="zh-CN"/>
              </w:rPr>
            </w:pPr>
            <w:r>
              <w:rPr>
                <w:rFonts w:hint="eastAsia" w:ascii="宋体" w:hAnsi="宋体" w:cs="宋体"/>
                <w:b w:val="0"/>
                <w:bCs/>
                <w:spacing w:val="0"/>
                <w:sz w:val="24"/>
                <w:lang w:val="en-US" w:eastAsia="zh-CN"/>
              </w:rPr>
              <w:t>⑤对员工进行岗位培训。做好值班记录，实行岗位责任制。</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default" w:ascii="宋体" w:hAnsi="宋体" w:cs="宋体"/>
                <w:b/>
                <w:bCs w:val="0"/>
                <w:spacing w:val="0"/>
                <w:sz w:val="24"/>
                <w:lang w:val="en-US" w:eastAsia="zh-CN"/>
              </w:rPr>
            </w:pPr>
            <w:r>
              <w:rPr>
                <w:rFonts w:hint="eastAsia" w:ascii="宋体" w:hAnsi="宋体" w:cs="宋体"/>
                <w:b/>
                <w:bCs w:val="0"/>
                <w:spacing w:val="0"/>
                <w:sz w:val="24"/>
                <w:lang w:val="en-US" w:eastAsia="zh-CN"/>
              </w:rPr>
              <w:t>（</w:t>
            </w:r>
            <w:r>
              <w:rPr>
                <w:rFonts w:hint="default" w:ascii="Times New Roman" w:hAnsi="Times New Roman" w:cs="Times New Roman"/>
                <w:b/>
                <w:bCs w:val="0"/>
                <w:spacing w:val="0"/>
                <w:sz w:val="24"/>
                <w:lang w:val="en-US" w:eastAsia="zh-CN"/>
              </w:rPr>
              <w:t>5</w:t>
            </w:r>
            <w:r>
              <w:rPr>
                <w:rFonts w:hint="eastAsia" w:ascii="宋体" w:hAnsi="宋体" w:cs="宋体"/>
                <w:b/>
                <w:bCs w:val="0"/>
                <w:spacing w:val="0"/>
                <w:sz w:val="24"/>
                <w:lang w:val="en-US" w:eastAsia="zh-CN"/>
              </w:rPr>
              <w:t>）大气污染源监测计划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480" w:firstLineChars="200"/>
              <w:jc w:val="both"/>
              <w:textAlignment w:val="auto"/>
              <w:rPr>
                <w:rFonts w:hint="eastAsia" w:ascii="Times New Roman" w:hAnsi="Times New Roman" w:eastAsia="宋体" w:cs="Times New Roman"/>
                <w:b w:val="0"/>
                <w:bCs/>
                <w:spacing w:val="0"/>
                <w:sz w:val="24"/>
                <w:lang w:val="en-US" w:eastAsia="zh-CN"/>
              </w:rPr>
            </w:pPr>
            <w:r>
              <w:rPr>
                <w:rFonts w:hint="eastAsia" w:ascii="宋体" w:hAnsi="宋体" w:cs="宋体"/>
                <w:b w:val="0"/>
                <w:bCs/>
                <w:spacing w:val="0"/>
                <w:sz w:val="24"/>
                <w:lang w:val="en-US" w:eastAsia="zh-CN"/>
              </w:rPr>
              <w:t>企业应按照</w:t>
            </w:r>
            <w:r>
              <w:rPr>
                <w:rFonts w:hint="eastAsia" w:ascii="Times New Roman" w:hAnsi="Times New Roman" w:eastAsia="宋体" w:cs="Times New Roman"/>
                <w:b w:val="0"/>
                <w:bCs w:val="0"/>
                <w:color w:val="auto"/>
                <w:spacing w:val="0"/>
                <w:kern w:val="2"/>
                <w:sz w:val="24"/>
                <w:szCs w:val="24"/>
                <w:lang w:val="en-US" w:eastAsia="zh-CN" w:bidi="ar-SA"/>
              </w:rPr>
              <w:t>《排污单位自行监测技术指南 总则》（HJ819-2017）、</w:t>
            </w:r>
            <w:r>
              <w:rPr>
                <w:rFonts w:hint="eastAsia" w:cs="Times New Roman"/>
                <w:color w:val="auto"/>
                <w:spacing w:val="0"/>
                <w:sz w:val="24"/>
                <w:szCs w:val="24"/>
                <w:lang w:val="en-US" w:eastAsia="zh-CN"/>
              </w:rPr>
              <w:t>《</w:t>
            </w:r>
            <w:r>
              <w:rPr>
                <w:rFonts w:hint="eastAsia" w:ascii="Times New Roman" w:hAnsi="Times New Roman" w:eastAsia="宋体" w:cs="Times New Roman"/>
                <w:color w:val="auto"/>
                <w:spacing w:val="0"/>
                <w:sz w:val="24"/>
                <w:szCs w:val="24"/>
                <w:lang w:val="en-US" w:eastAsia="zh-CN"/>
              </w:rPr>
              <w:t>排污单位自行监测技术指南 橡胶和塑料制品</w:t>
            </w:r>
            <w:r>
              <w:rPr>
                <w:rFonts w:hint="eastAsia" w:cs="Times New Roman"/>
                <w:color w:val="auto"/>
                <w:spacing w:val="0"/>
                <w:sz w:val="24"/>
                <w:szCs w:val="24"/>
                <w:lang w:val="en-US" w:eastAsia="zh-CN"/>
              </w:rPr>
              <w:t>》（</w:t>
            </w:r>
            <w:r>
              <w:rPr>
                <w:rFonts w:hint="eastAsia" w:ascii="Times New Roman" w:hAnsi="Times New Roman" w:eastAsia="宋体" w:cs="Times New Roman"/>
                <w:color w:val="auto"/>
                <w:spacing w:val="0"/>
                <w:sz w:val="24"/>
                <w:szCs w:val="24"/>
                <w:lang w:val="en-US" w:eastAsia="zh-CN"/>
              </w:rPr>
              <w:t>HJ 1207-2021</w:t>
            </w:r>
            <w:r>
              <w:rPr>
                <w:rFonts w:hint="eastAsia" w:cs="Times New Roman"/>
                <w:color w:val="auto"/>
                <w:spacing w:val="0"/>
                <w:sz w:val="24"/>
                <w:szCs w:val="24"/>
                <w:lang w:val="en-US" w:eastAsia="zh-CN"/>
              </w:rPr>
              <w:t>）《排污单位自行监测技术指南 造纸业》（HJ 821-2017）</w:t>
            </w:r>
            <w:r>
              <w:rPr>
                <w:rFonts w:hint="eastAsia" w:ascii="Times New Roman" w:hAnsi="Times New Roman" w:eastAsia="宋体" w:cs="Times New Roman"/>
                <w:color w:val="auto"/>
                <w:spacing w:val="0"/>
                <w:sz w:val="24"/>
                <w:szCs w:val="24"/>
                <w:lang w:val="en-US" w:eastAsia="zh-CN"/>
              </w:rPr>
              <w:t>和《排污单位自行监测技术指南</w:t>
            </w:r>
            <w:r>
              <w:rPr>
                <w:rFonts w:hint="eastAsia" w:cs="Times New Roman"/>
                <w:color w:val="auto"/>
                <w:spacing w:val="0"/>
                <w:sz w:val="24"/>
                <w:szCs w:val="24"/>
                <w:lang w:val="en-US" w:eastAsia="zh-CN"/>
              </w:rPr>
              <w:t xml:space="preserve"> </w:t>
            </w:r>
            <w:r>
              <w:rPr>
                <w:rFonts w:hint="eastAsia" w:ascii="Times New Roman" w:hAnsi="Times New Roman" w:eastAsia="宋体" w:cs="Times New Roman"/>
                <w:color w:val="auto"/>
                <w:spacing w:val="0"/>
                <w:sz w:val="24"/>
                <w:szCs w:val="24"/>
                <w:lang w:val="en-US" w:eastAsia="zh-CN"/>
              </w:rPr>
              <w:t>印刷工业》（HJ 1246-2022）</w:t>
            </w:r>
            <w:r>
              <w:rPr>
                <w:rFonts w:hint="eastAsia" w:ascii="Times New Roman" w:hAnsi="Times New Roman" w:eastAsia="宋体" w:cs="Times New Roman"/>
                <w:b w:val="0"/>
                <w:bCs/>
                <w:spacing w:val="0"/>
                <w:sz w:val="24"/>
                <w:lang w:val="en-US" w:eastAsia="zh-CN"/>
              </w:rPr>
              <w:t>相关要求，开展大气污染源监测，大气污染源监测计划见下表。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2650" w:firstLineChars="1100"/>
              <w:jc w:val="both"/>
              <w:textAlignment w:val="auto"/>
              <w:rPr>
                <w:rFonts w:hint="default" w:ascii="Times New Roman" w:hAnsi="Times New Roman" w:eastAsia="宋体" w:cs="Times New Roman"/>
                <w:b/>
                <w:bCs w:val="0"/>
                <w:spacing w:val="0"/>
                <w:sz w:val="24"/>
                <w:lang w:val="en-US" w:eastAsia="zh-CN"/>
              </w:rPr>
            </w:pPr>
            <w:r>
              <w:rPr>
                <w:rFonts w:hint="eastAsia" w:ascii="Times New Roman" w:hAnsi="Times New Roman" w:eastAsia="宋体" w:cs="Times New Roman"/>
                <w:b/>
                <w:bCs w:val="0"/>
                <w:spacing w:val="0"/>
                <w:sz w:val="24"/>
                <w:lang w:val="en-US" w:eastAsia="zh-CN"/>
              </w:rPr>
              <w:t xml:space="preserve">表 </w:t>
            </w:r>
            <w:r>
              <w:rPr>
                <w:rFonts w:hint="eastAsia" w:cs="Times New Roman"/>
                <w:b/>
                <w:bCs w:val="0"/>
                <w:spacing w:val="0"/>
                <w:sz w:val="24"/>
                <w:lang w:val="en-US" w:eastAsia="zh-CN"/>
              </w:rPr>
              <w:t>4-7</w:t>
            </w:r>
            <w:r>
              <w:rPr>
                <w:rFonts w:hint="eastAsia" w:ascii="Times New Roman" w:hAnsi="Times New Roman" w:eastAsia="宋体" w:cs="Times New Roman"/>
                <w:b/>
                <w:bCs w:val="0"/>
                <w:spacing w:val="0"/>
                <w:sz w:val="24"/>
                <w:lang w:val="en-US" w:eastAsia="zh-CN"/>
              </w:rPr>
              <w:t xml:space="preserve">  大气污染源监测计划</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43"/>
              <w:gridCol w:w="1512"/>
              <w:gridCol w:w="1486"/>
              <w:gridCol w:w="1419"/>
              <w:gridCol w:w="3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743" w:type="dxa"/>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类别</w:t>
                  </w:r>
                </w:p>
              </w:tc>
              <w:tc>
                <w:tcPr>
                  <w:tcW w:w="1512" w:type="dxa"/>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监测位置</w:t>
                  </w:r>
                </w:p>
              </w:tc>
              <w:tc>
                <w:tcPr>
                  <w:tcW w:w="1486" w:type="dxa"/>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监测项目</w:t>
                  </w:r>
                </w:p>
              </w:tc>
              <w:tc>
                <w:tcPr>
                  <w:tcW w:w="1419" w:type="dxa"/>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监测频次</w:t>
                  </w:r>
                </w:p>
              </w:tc>
              <w:tc>
                <w:tcPr>
                  <w:tcW w:w="3344" w:type="dxa"/>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 w:type="dxa"/>
                  <w:vMerge w:val="restar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废气</w:t>
                  </w:r>
                </w:p>
              </w:tc>
              <w:tc>
                <w:tcPr>
                  <w:tcW w:w="1512"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spacing w:val="0"/>
                      <w:sz w:val="21"/>
                      <w:szCs w:val="21"/>
                      <w:lang w:eastAsia="zh-CN"/>
                    </w:rPr>
                  </w:pPr>
                  <w:r>
                    <w:rPr>
                      <w:rFonts w:hint="eastAsia" w:cs="Times New Roman"/>
                      <w:color w:val="auto"/>
                      <w:spacing w:val="0"/>
                      <w:sz w:val="21"/>
                      <w:szCs w:val="21"/>
                      <w:lang w:val="en-US" w:eastAsia="zh-CN"/>
                    </w:rPr>
                    <w:t>1#</w:t>
                  </w:r>
                  <w:r>
                    <w:rPr>
                      <w:rFonts w:hint="eastAsia" w:ascii="Times New Roman" w:hAnsi="Times New Roman" w:eastAsia="宋体" w:cs="Times New Roman"/>
                      <w:color w:val="auto"/>
                      <w:spacing w:val="0"/>
                      <w:sz w:val="21"/>
                      <w:szCs w:val="21"/>
                      <w:lang w:eastAsia="zh-CN"/>
                    </w:rPr>
                    <w:t>排气筒</w:t>
                  </w:r>
                </w:p>
              </w:tc>
              <w:tc>
                <w:tcPr>
                  <w:tcW w:w="1486"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非甲烷总烃</w:t>
                  </w:r>
                </w:p>
              </w:tc>
              <w:tc>
                <w:tcPr>
                  <w:tcW w:w="1419" w:type="dxa"/>
                  <w:tcBorders>
                    <w:tl2br w:val="nil"/>
                    <w:tr2bl w:val="nil"/>
                  </w:tcBorders>
                  <w:noWrap w:val="0"/>
                  <w:vAlign w:val="center"/>
                </w:tcPr>
                <w:p>
                  <w:pPr>
                    <w:pStyle w:val="3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val="0"/>
                      <w:bCs/>
                      <w:color w:val="auto"/>
                      <w:spacing w:val="0"/>
                      <w:sz w:val="21"/>
                      <w:szCs w:val="21"/>
                    </w:rPr>
                  </w:pPr>
                  <w:r>
                    <w:rPr>
                      <w:rFonts w:hint="eastAsia" w:ascii="宋体" w:hAnsi="宋体" w:eastAsia="宋体" w:cs="宋体"/>
                      <w:b w:val="0"/>
                      <w:bCs/>
                      <w:color w:val="auto"/>
                      <w:spacing w:val="0"/>
                      <w:sz w:val="21"/>
                      <w:szCs w:val="21"/>
                      <w:lang w:val="en-US" w:eastAsia="zh-CN"/>
                    </w:rPr>
                    <w:t>半</w:t>
                  </w:r>
                  <w:r>
                    <w:rPr>
                      <w:rFonts w:hint="eastAsia" w:ascii="宋体" w:hAnsi="宋体" w:eastAsia="宋体" w:cs="宋体"/>
                      <w:b w:val="0"/>
                      <w:bCs/>
                      <w:color w:val="auto"/>
                      <w:spacing w:val="0"/>
                      <w:sz w:val="21"/>
                      <w:szCs w:val="21"/>
                    </w:rPr>
                    <w:t>年一次</w:t>
                  </w:r>
                </w:p>
              </w:tc>
              <w:tc>
                <w:tcPr>
                  <w:tcW w:w="3344" w:type="dxa"/>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z w:val="21"/>
                      <w:szCs w:val="21"/>
                    </w:rPr>
                    <w:t>《印刷工业大气污染物排放标准》（DB32/ 4438-2022）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 w:type="dxa"/>
                  <w:vMerge w:val="continue"/>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pacing w:val="0"/>
                      <w:sz w:val="21"/>
                      <w:szCs w:val="21"/>
                    </w:rPr>
                  </w:pPr>
                </w:p>
              </w:tc>
              <w:tc>
                <w:tcPr>
                  <w:tcW w:w="1512"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spacing w:val="0"/>
                      <w:sz w:val="21"/>
                      <w:szCs w:val="21"/>
                      <w:lang w:eastAsia="zh-CN"/>
                    </w:rPr>
                  </w:pPr>
                </w:p>
              </w:tc>
              <w:tc>
                <w:tcPr>
                  <w:tcW w:w="1486"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臭气浓度</w:t>
                  </w:r>
                </w:p>
              </w:tc>
              <w:tc>
                <w:tcPr>
                  <w:tcW w:w="1419" w:type="dxa"/>
                  <w:tcBorders>
                    <w:tl2br w:val="nil"/>
                    <w:tr2bl w:val="nil"/>
                  </w:tcBorders>
                  <w:noWrap w:val="0"/>
                  <w:vAlign w:val="center"/>
                </w:tcPr>
                <w:p>
                  <w:pPr>
                    <w:pStyle w:val="3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bCs/>
                      <w:color w:val="auto"/>
                      <w:spacing w:val="0"/>
                      <w:sz w:val="21"/>
                      <w:szCs w:val="21"/>
                      <w:lang w:val="en-US" w:eastAsia="zh-CN"/>
                    </w:rPr>
                  </w:pPr>
                  <w:r>
                    <w:rPr>
                      <w:rFonts w:hint="eastAsia" w:hAnsi="宋体" w:eastAsia="宋体" w:cs="宋体"/>
                      <w:b w:val="0"/>
                      <w:bCs/>
                      <w:color w:val="auto"/>
                      <w:spacing w:val="0"/>
                      <w:sz w:val="21"/>
                      <w:szCs w:val="21"/>
                      <w:lang w:val="en-US" w:eastAsia="zh-CN"/>
                    </w:rPr>
                    <w:t>一年一次</w:t>
                  </w:r>
                </w:p>
              </w:tc>
              <w:tc>
                <w:tcPr>
                  <w:tcW w:w="3344" w:type="dxa"/>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《恶臭污染物排放标准》（GB14554-93）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 w:type="dxa"/>
                  <w:vMerge w:val="continue"/>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pacing w:val="0"/>
                      <w:sz w:val="21"/>
                      <w:szCs w:val="21"/>
                    </w:rPr>
                  </w:pPr>
                </w:p>
              </w:tc>
              <w:tc>
                <w:tcPr>
                  <w:tcW w:w="1512"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2#排气筒</w:t>
                  </w:r>
                </w:p>
              </w:tc>
              <w:tc>
                <w:tcPr>
                  <w:tcW w:w="1486"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颗粒物</w:t>
                  </w:r>
                </w:p>
              </w:tc>
              <w:tc>
                <w:tcPr>
                  <w:tcW w:w="1419" w:type="dxa"/>
                  <w:tcBorders>
                    <w:tl2br w:val="nil"/>
                    <w:tr2bl w:val="nil"/>
                  </w:tcBorders>
                  <w:noWrap w:val="0"/>
                  <w:vAlign w:val="center"/>
                </w:tcPr>
                <w:p>
                  <w:pPr>
                    <w:pStyle w:val="3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hAnsi="宋体" w:eastAsia="宋体" w:cs="宋体"/>
                      <w:b w:val="0"/>
                      <w:bCs/>
                      <w:color w:val="auto"/>
                      <w:spacing w:val="0"/>
                      <w:sz w:val="21"/>
                      <w:szCs w:val="21"/>
                      <w:lang w:val="en-US" w:eastAsia="zh-CN"/>
                    </w:rPr>
                  </w:pPr>
                  <w:r>
                    <w:rPr>
                      <w:rFonts w:hint="eastAsia" w:hAnsi="宋体" w:eastAsia="宋体" w:cs="宋体"/>
                      <w:b w:val="0"/>
                      <w:bCs/>
                      <w:color w:val="auto"/>
                      <w:spacing w:val="0"/>
                      <w:sz w:val="21"/>
                      <w:szCs w:val="21"/>
                      <w:lang w:val="en-US" w:eastAsia="zh-CN"/>
                    </w:rPr>
                    <w:t>一年一次</w:t>
                  </w:r>
                </w:p>
              </w:tc>
              <w:tc>
                <w:tcPr>
                  <w:tcW w:w="3344" w:type="dxa"/>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木材加工行业大气污染物排放标准</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D</w:t>
                  </w:r>
                  <w:r>
                    <w:rPr>
                      <w:rFonts w:hint="default" w:ascii="Times New Roman" w:hAnsi="Times New Roman" w:eastAsia="宋体" w:cs="Times New Roman"/>
                      <w:color w:val="auto"/>
                      <w:sz w:val="21"/>
                      <w:szCs w:val="21"/>
                    </w:rPr>
                    <w:t>B</w:t>
                  </w:r>
                  <w:r>
                    <w:rPr>
                      <w:rFonts w:hint="eastAsia" w:ascii="Times New Roman" w:hAnsi="Times New Roman" w:eastAsia="宋体" w:cs="Times New Roman"/>
                      <w:color w:val="auto"/>
                      <w:sz w:val="21"/>
                      <w:szCs w:val="21"/>
                    </w:rPr>
                    <w:t>32/4</w:t>
                  </w:r>
                  <w:r>
                    <w:rPr>
                      <w:rFonts w:hint="eastAsia" w:ascii="Times New Roman" w:hAnsi="Times New Roman" w:eastAsia="宋体" w:cs="Times New Roman"/>
                      <w:color w:val="auto"/>
                      <w:sz w:val="21"/>
                      <w:szCs w:val="21"/>
                      <w:lang w:val="en-US" w:eastAsia="zh-CN"/>
                    </w:rPr>
                    <w:t>436</w:t>
                  </w:r>
                  <w:r>
                    <w:rPr>
                      <w:rFonts w:hint="eastAsia"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22</w:t>
                  </w:r>
                  <w:r>
                    <w:rPr>
                      <w:rFonts w:hint="default" w:ascii="Times New Roman" w:hAnsi="Times New Roman" w:eastAsia="宋体" w:cs="Times New Roman"/>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 w:type="dxa"/>
                  <w:vMerge w:val="continue"/>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pacing w:val="0"/>
                      <w:sz w:val="21"/>
                      <w:szCs w:val="21"/>
                    </w:rPr>
                  </w:pPr>
                </w:p>
              </w:tc>
              <w:tc>
                <w:tcPr>
                  <w:tcW w:w="1512" w:type="dxa"/>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无组织排放</w:t>
                  </w:r>
                </w:p>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（厂界下风向）</w:t>
                  </w:r>
                </w:p>
              </w:tc>
              <w:tc>
                <w:tcPr>
                  <w:tcW w:w="1486" w:type="dxa"/>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非甲烷总烃</w:t>
                  </w:r>
                  <w:r>
                    <w:rPr>
                      <w:rFonts w:hint="eastAsia" w:ascii="Times New Roman" w:hAnsi="Times New Roman" w:eastAsia="宋体" w:cs="Times New Roman"/>
                      <w:color w:val="auto"/>
                      <w:spacing w:val="0"/>
                      <w:sz w:val="21"/>
                      <w:szCs w:val="21"/>
                      <w:lang w:eastAsia="zh-CN"/>
                    </w:rPr>
                    <w:t>、</w:t>
                  </w:r>
                  <w:r>
                    <w:rPr>
                      <w:rFonts w:hint="eastAsia" w:ascii="Times New Roman" w:hAnsi="Times New Roman" w:eastAsia="宋体" w:cs="Times New Roman"/>
                      <w:color w:val="auto"/>
                      <w:spacing w:val="0"/>
                      <w:sz w:val="21"/>
                      <w:szCs w:val="21"/>
                      <w:lang w:val="en-US" w:eastAsia="zh-CN"/>
                    </w:rPr>
                    <w:t>颗粒物、臭气浓度</w:t>
                  </w:r>
                </w:p>
              </w:tc>
              <w:tc>
                <w:tcPr>
                  <w:tcW w:w="1419" w:type="dxa"/>
                  <w:tcBorders>
                    <w:tl2br w:val="nil"/>
                    <w:tr2bl w:val="nil"/>
                  </w:tcBorders>
                  <w:noWrap w:val="0"/>
                  <w:vAlign w:val="center"/>
                </w:tcPr>
                <w:p>
                  <w:pPr>
                    <w:pStyle w:val="38"/>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b w:val="0"/>
                      <w:bCs/>
                      <w:color w:val="auto"/>
                      <w:spacing w:val="0"/>
                      <w:sz w:val="21"/>
                      <w:szCs w:val="21"/>
                    </w:rPr>
                  </w:pPr>
                  <w:r>
                    <w:rPr>
                      <w:rFonts w:hint="default" w:ascii="Times New Roman" w:hAnsi="Times New Roman" w:eastAsia="宋体" w:cs="Times New Roman"/>
                      <w:b w:val="0"/>
                      <w:bCs/>
                      <w:color w:val="auto"/>
                      <w:spacing w:val="0"/>
                      <w:sz w:val="21"/>
                      <w:szCs w:val="21"/>
                    </w:rPr>
                    <w:t>一年一次</w:t>
                  </w:r>
                </w:p>
              </w:tc>
              <w:tc>
                <w:tcPr>
                  <w:tcW w:w="3344" w:type="dxa"/>
                  <w:tcBorders>
                    <w:tl2br w:val="nil"/>
                    <w:tr2bl w:val="nil"/>
                  </w:tcBorders>
                  <w:noWrap w:val="0"/>
                  <w:vAlign w:val="center"/>
                </w:tcPr>
                <w:p>
                  <w:pPr>
                    <w:pStyle w:val="38"/>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《大气污染物综合排放标准》（DB32/4041-2021）、《恶臭污染物排放标准》（GB14554-93）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 w:type="dxa"/>
                  <w:vMerge w:val="continue"/>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pacing w:val="0"/>
                      <w:sz w:val="21"/>
                      <w:szCs w:val="21"/>
                    </w:rPr>
                  </w:pPr>
                </w:p>
              </w:tc>
              <w:tc>
                <w:tcPr>
                  <w:tcW w:w="1512" w:type="dxa"/>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无组织排放</w:t>
                  </w:r>
                </w:p>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（厂区内）</w:t>
                  </w:r>
                </w:p>
              </w:tc>
              <w:tc>
                <w:tcPr>
                  <w:tcW w:w="1486" w:type="dxa"/>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非甲烷总烃</w:t>
                  </w:r>
                </w:p>
              </w:tc>
              <w:tc>
                <w:tcPr>
                  <w:tcW w:w="1419" w:type="dxa"/>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一年一次</w:t>
                  </w:r>
                </w:p>
              </w:tc>
              <w:tc>
                <w:tcPr>
                  <w:tcW w:w="3344" w:type="dxa"/>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《大气污染物综合排放标准》（DB32/4041-2021）</w:t>
                  </w: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default" w:ascii="宋体" w:hAnsi="宋体" w:cs="宋体"/>
                <w:b/>
                <w:bCs w:val="0"/>
                <w:spacing w:val="0"/>
                <w:sz w:val="24"/>
                <w:lang w:val="en-US" w:eastAsia="zh-CN"/>
              </w:rPr>
            </w:pPr>
            <w:r>
              <w:rPr>
                <w:rFonts w:hint="eastAsia" w:ascii="宋体" w:hAnsi="宋体" w:cs="宋体"/>
                <w:b/>
                <w:bCs w:val="0"/>
                <w:spacing w:val="0"/>
                <w:sz w:val="24"/>
                <w:lang w:val="en-US" w:eastAsia="zh-CN"/>
              </w:rPr>
              <w:t>（</w:t>
            </w:r>
            <w:r>
              <w:rPr>
                <w:rFonts w:hint="default" w:ascii="Times New Roman" w:hAnsi="Times New Roman" w:cs="Times New Roman"/>
                <w:b/>
                <w:bCs w:val="0"/>
                <w:spacing w:val="0"/>
                <w:sz w:val="24"/>
                <w:lang w:val="en-US" w:eastAsia="zh-CN"/>
              </w:rPr>
              <w:t>6</w:t>
            </w:r>
            <w:r>
              <w:rPr>
                <w:rFonts w:hint="eastAsia" w:ascii="宋体" w:hAnsi="宋体" w:cs="宋体"/>
                <w:b/>
                <w:bCs w:val="0"/>
                <w:spacing w:val="0"/>
                <w:sz w:val="24"/>
                <w:lang w:val="en-US" w:eastAsia="zh-CN"/>
              </w:rPr>
              <w:t>）废气污染治理设施可行性分析</w:t>
            </w:r>
          </w:p>
          <w:p>
            <w:pPr>
              <w:pStyle w:val="4"/>
              <w:pageBreakBefore w:val="0"/>
              <w:widowControl w:val="0"/>
              <w:numPr>
                <w:ilvl w:val="-1"/>
                <w:numId w:val="0"/>
              </w:numPr>
              <w:kinsoku/>
              <w:wordWrap/>
              <w:overflowPunct/>
              <w:topLinePunct w:val="0"/>
              <w:autoSpaceDE/>
              <w:autoSpaceDN/>
              <w:bidi w:val="0"/>
              <w:spacing w:before="0" w:after="0" w:line="500" w:lineRule="exact"/>
              <w:ind w:left="0" w:leftChars="0" w:firstLine="482" w:firstLineChars="200"/>
              <w:jc w:val="left"/>
              <w:textAlignment w:val="auto"/>
              <w:rPr>
                <w:rFonts w:hint="eastAsia"/>
                <w:lang w:val="en-US" w:eastAsia="zh-CN"/>
              </w:rPr>
            </w:pPr>
            <w:r>
              <w:rPr>
                <w:rFonts w:hint="default" w:ascii="Times New Roman" w:hAnsi="Times New Roman" w:cs="Times New Roman"/>
                <w:b/>
                <w:bCs w:val="0"/>
                <w:spacing w:val="0"/>
                <w:sz w:val="24"/>
                <w:szCs w:val="24"/>
                <w:lang w:val="en-US" w:eastAsia="zh-CN"/>
              </w:rPr>
              <w:t>1</w:t>
            </w:r>
            <w:r>
              <w:rPr>
                <w:rFonts w:hint="eastAsia" w:ascii="宋体" w:hAnsi="宋体" w:cs="宋体"/>
                <w:b/>
                <w:bCs w:val="0"/>
                <w:spacing w:val="0"/>
                <w:sz w:val="24"/>
                <w:szCs w:val="24"/>
                <w:lang w:val="en-US" w:eastAsia="zh-CN"/>
              </w:rPr>
              <w:t>）本项目废气收集、处理方式示意图见下图。</w:t>
            </w:r>
          </w:p>
          <w:p>
            <w:pPr>
              <w:keepNext w:val="0"/>
              <w:keepLines w:val="0"/>
              <w:pageBreakBefore w:val="0"/>
              <w:widowControl w:val="0"/>
              <w:kinsoku/>
              <w:wordWrap/>
              <w:overflowPunct/>
              <w:topLinePunct w:val="0"/>
              <w:autoSpaceDE/>
              <w:autoSpaceDN/>
              <w:bidi w:val="0"/>
              <w:adjustRightInd w:val="0"/>
              <w:snapToGrid w:val="0"/>
              <w:spacing w:before="157" w:beforeLines="50" w:after="0" w:line="240" w:lineRule="auto"/>
              <w:jc w:val="center"/>
              <w:textAlignment w:val="auto"/>
              <w:outlineLvl w:val="9"/>
              <w:rPr>
                <w:rFonts w:hint="default"/>
                <w:spacing w:val="0"/>
                <w:lang w:val="en-US" w:eastAsia="zh-CN"/>
              </w:rPr>
            </w:pPr>
            <w:r>
              <w:rPr>
                <w:rFonts w:hint="default"/>
                <w:spacing w:val="0"/>
                <w:lang w:val="en-US" w:eastAsia="zh-CN"/>
              </w:rPr>
              <w:object>
                <v:shape id="_x0000_i1029" o:spt="75" type="#_x0000_t75" style="height:104.55pt;width:366pt;" o:ole="t" filled="f" o:preferrelative="t" stroked="f" coordsize="21600,21600">
                  <v:path/>
                  <v:fill on="f" focussize="0,0"/>
                  <v:stroke on="f"/>
                  <v:imagedata r:id="rId17" croptop="10784f" cropbottom="10187f" o:title=""/>
                  <o:lock v:ext="edit" aspectratio="f"/>
                  <w10:wrap type="none"/>
                  <w10:anchorlock/>
                </v:shape>
                <o:OLEObject Type="Embed" ProgID="Visio.Drawing.15" ShapeID="_x0000_i1029" DrawAspect="Content" ObjectID="_1468075729" r:id="rId16">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b/>
                <w:bCs/>
                <w:spacing w:val="0"/>
                <w:sz w:val="24"/>
                <w:szCs w:val="24"/>
                <w:lang w:val="en-US" w:eastAsia="zh-CN"/>
              </w:rPr>
            </w:pPr>
            <w:r>
              <w:rPr>
                <w:rFonts w:hint="eastAsia"/>
                <w:b/>
                <w:bCs/>
                <w:spacing w:val="0"/>
                <w:sz w:val="24"/>
                <w:szCs w:val="24"/>
                <w:lang w:val="en-US" w:eastAsia="zh-CN"/>
              </w:rPr>
              <w:t>图4-1  本项目废气收集、处理方式示意图</w:t>
            </w:r>
          </w:p>
          <w:p>
            <w:pPr>
              <w:pageBreakBefore w:val="0"/>
              <w:widowControl w:val="0"/>
              <w:numPr>
                <w:ilvl w:val="-1"/>
                <w:numId w:val="0"/>
              </w:numPr>
              <w:kinsoku/>
              <w:wordWrap/>
              <w:overflowPunct/>
              <w:topLinePunct w:val="0"/>
              <w:autoSpaceDE/>
              <w:autoSpaceDN/>
              <w:bidi w:val="0"/>
              <w:adjustRightInd/>
              <w:snapToGrid/>
              <w:spacing w:line="500" w:lineRule="exact"/>
              <w:ind w:left="0" w:leftChars="0" w:firstLine="482" w:firstLineChars="200"/>
              <w:jc w:val="left"/>
              <w:textAlignment w:val="auto"/>
              <w:rPr>
                <w:rFonts w:hint="default"/>
                <w:spacing w:val="0"/>
                <w:lang w:val="en-US" w:eastAsia="zh-CN"/>
              </w:rPr>
            </w:pPr>
            <w:r>
              <w:rPr>
                <w:rFonts w:hint="eastAsia"/>
                <w:b/>
                <w:bCs/>
                <w:spacing w:val="0"/>
                <w:sz w:val="24"/>
                <w:szCs w:val="24"/>
                <w:lang w:val="en-US" w:eastAsia="zh-CN"/>
              </w:rPr>
              <w:t>2</w:t>
            </w:r>
            <w:r>
              <w:rPr>
                <w:rFonts w:hint="default" w:ascii="Times New Roman" w:hAnsi="Times New Roman" w:cs="Times New Roman"/>
                <w:b/>
                <w:bCs/>
                <w:spacing w:val="0"/>
                <w:sz w:val="24"/>
                <w:szCs w:val="24"/>
                <w:lang w:val="en-US" w:eastAsia="zh-CN"/>
              </w:rPr>
              <w:t>）</w:t>
            </w:r>
            <w:r>
              <w:rPr>
                <w:rFonts w:hint="eastAsia"/>
                <w:b/>
                <w:bCs/>
                <w:spacing w:val="0"/>
                <w:sz w:val="24"/>
                <w:szCs w:val="24"/>
                <w:lang w:val="en-US" w:eastAsia="zh-CN"/>
              </w:rPr>
              <w:t>废气收集效果可行性分析</w:t>
            </w:r>
          </w:p>
          <w:p>
            <w:pPr>
              <w:pStyle w:val="4"/>
              <w:pageBreakBefore w:val="0"/>
              <w:widowControl w:val="0"/>
              <w:kinsoku/>
              <w:wordWrap/>
              <w:overflowPunct/>
              <w:topLinePunct w:val="0"/>
              <w:autoSpaceDE/>
              <w:autoSpaceDN/>
              <w:bidi w:val="0"/>
              <w:adjustRightInd/>
              <w:snapToGrid/>
              <w:spacing w:before="0" w:after="0" w:line="500" w:lineRule="exact"/>
              <w:ind w:firstLine="480" w:firstLineChars="200"/>
              <w:jc w:val="left"/>
              <w:textAlignment w:val="auto"/>
              <w:rPr>
                <w:rFonts w:hint="eastAsia" w:ascii="宋体" w:hAnsi="宋体" w:eastAsia="宋体" w:cs="宋体"/>
                <w:b w:val="0"/>
                <w:bCs w:val="0"/>
                <w:color w:val="auto"/>
                <w:spacing w:val="0"/>
                <w:kern w:val="0"/>
                <w:sz w:val="24"/>
                <w:szCs w:val="24"/>
                <w:lang w:val="en-US" w:eastAsia="zh-CN" w:bidi="ar"/>
              </w:rPr>
            </w:pPr>
            <w:r>
              <w:rPr>
                <w:rFonts w:hint="eastAsia" w:ascii="宋体" w:hAnsi="宋体" w:eastAsia="宋体" w:cs="宋体"/>
                <w:b w:val="0"/>
                <w:bCs w:val="0"/>
                <w:color w:val="auto"/>
                <w:spacing w:val="0"/>
                <w:kern w:val="0"/>
                <w:sz w:val="24"/>
                <w:szCs w:val="24"/>
                <w:lang w:val="en-US" w:eastAsia="zh-CN" w:bidi="ar"/>
              </w:rPr>
              <w:t>①印刷、胶黏、成型废气收集措施</w:t>
            </w:r>
          </w:p>
          <w:p>
            <w:pPr>
              <w:pStyle w:val="4"/>
              <w:pageBreakBefore w:val="0"/>
              <w:widowControl w:val="0"/>
              <w:kinsoku/>
              <w:wordWrap/>
              <w:overflowPunct/>
              <w:topLinePunct w:val="0"/>
              <w:autoSpaceDE/>
              <w:autoSpaceDN/>
              <w:bidi w:val="0"/>
              <w:adjustRightInd/>
              <w:snapToGrid/>
              <w:spacing w:before="0" w:after="0" w:line="500" w:lineRule="exact"/>
              <w:ind w:firstLine="480" w:firstLineChars="200"/>
              <w:jc w:val="left"/>
              <w:textAlignment w:val="auto"/>
              <w:rPr>
                <w:rFonts w:hint="eastAsia" w:ascii="宋体" w:hAnsi="宋体" w:eastAsia="宋体" w:cs="宋体"/>
                <w:b w:val="0"/>
                <w:bCs w:val="0"/>
                <w:color w:val="auto"/>
                <w:spacing w:val="0"/>
                <w:kern w:val="0"/>
                <w:sz w:val="24"/>
                <w:szCs w:val="24"/>
                <w:lang w:val="en-US" w:eastAsia="zh-CN" w:bidi="ar"/>
              </w:rPr>
            </w:pPr>
            <w:r>
              <w:rPr>
                <w:rFonts w:hint="eastAsia" w:ascii="宋体" w:hAnsi="宋体" w:eastAsia="宋体" w:cs="宋体"/>
                <w:b w:val="0"/>
                <w:bCs w:val="0"/>
                <w:color w:val="auto"/>
                <w:spacing w:val="0"/>
                <w:kern w:val="0"/>
                <w:sz w:val="24"/>
                <w:szCs w:val="24"/>
                <w:lang w:val="en-US" w:eastAsia="zh-CN" w:bidi="ar"/>
              </w:rPr>
              <w:t>本项目收集的有机废气进入</w:t>
            </w:r>
            <w:r>
              <w:rPr>
                <w:rFonts w:hint="default" w:ascii="Times New Roman" w:hAnsi="Times New Roman" w:eastAsia="宋体" w:cs="Times New Roman"/>
                <w:b w:val="0"/>
                <w:bCs w:val="0"/>
                <w:color w:val="auto"/>
                <w:spacing w:val="0"/>
                <w:kern w:val="0"/>
                <w:sz w:val="24"/>
                <w:szCs w:val="24"/>
                <w:lang w:val="en-US" w:eastAsia="zh-CN" w:bidi="ar"/>
              </w:rPr>
              <w:t>1</w:t>
            </w:r>
            <w:r>
              <w:rPr>
                <w:rFonts w:hint="eastAsia" w:ascii="宋体" w:hAnsi="宋体" w:eastAsia="宋体" w:cs="宋体"/>
                <w:b w:val="0"/>
                <w:bCs w:val="0"/>
                <w:color w:val="auto"/>
                <w:spacing w:val="0"/>
                <w:kern w:val="0"/>
                <w:sz w:val="24"/>
                <w:szCs w:val="24"/>
                <w:highlight w:val="none"/>
                <w:lang w:val="en-US" w:eastAsia="zh-CN" w:bidi="ar"/>
              </w:rPr>
              <w:t>套</w:t>
            </w:r>
            <w:r>
              <w:rPr>
                <w:rFonts w:hint="eastAsia" w:ascii="宋体" w:hAnsi="宋体" w:eastAsia="宋体" w:cs="宋体"/>
                <w:b w:val="0"/>
                <w:bCs w:val="0"/>
                <w:color w:val="auto"/>
                <w:spacing w:val="0"/>
                <w:kern w:val="2"/>
                <w:sz w:val="24"/>
                <w:szCs w:val="24"/>
                <w:highlight w:val="none"/>
                <w:lang w:val="en-US" w:eastAsia="zh-CN" w:bidi="ar-SA"/>
              </w:rPr>
              <w:t>二级活性炭吸附装置</w:t>
            </w:r>
            <w:r>
              <w:rPr>
                <w:rFonts w:hint="eastAsia" w:ascii="宋体" w:hAnsi="宋体" w:eastAsia="宋体" w:cs="宋体"/>
                <w:b w:val="0"/>
                <w:bCs w:val="0"/>
                <w:color w:val="auto"/>
                <w:spacing w:val="0"/>
                <w:kern w:val="0"/>
                <w:sz w:val="24"/>
                <w:szCs w:val="24"/>
                <w:highlight w:val="none"/>
                <w:lang w:val="en-US" w:eastAsia="zh-CN" w:bidi="ar"/>
              </w:rPr>
              <w:t>处理，最终通过</w:t>
            </w:r>
            <w:r>
              <w:rPr>
                <w:rFonts w:hint="eastAsia" w:eastAsia="宋体" w:cs="Times New Roman"/>
                <w:b w:val="0"/>
                <w:bCs w:val="0"/>
                <w:color w:val="auto"/>
                <w:spacing w:val="0"/>
                <w:kern w:val="0"/>
                <w:sz w:val="24"/>
                <w:szCs w:val="24"/>
                <w:highlight w:val="none"/>
                <w:lang w:val="en-US" w:eastAsia="zh-CN" w:bidi="ar"/>
              </w:rPr>
              <w:t>25</w:t>
            </w:r>
            <w:r>
              <w:rPr>
                <w:rFonts w:hint="default" w:ascii="Times New Roman" w:hAnsi="Times New Roman" w:eastAsia="宋体" w:cs="Times New Roman"/>
                <w:b w:val="0"/>
                <w:bCs w:val="0"/>
                <w:color w:val="auto"/>
                <w:spacing w:val="0"/>
                <w:kern w:val="0"/>
                <w:sz w:val="24"/>
                <w:szCs w:val="24"/>
                <w:highlight w:val="none"/>
                <w:lang w:val="en-US" w:eastAsia="zh-CN" w:bidi="ar"/>
              </w:rPr>
              <w:t>m</w:t>
            </w:r>
            <w:r>
              <w:rPr>
                <w:rFonts w:hint="eastAsia" w:ascii="宋体" w:hAnsi="宋体" w:eastAsia="宋体" w:cs="宋体"/>
                <w:b w:val="0"/>
                <w:bCs w:val="0"/>
                <w:color w:val="auto"/>
                <w:spacing w:val="0"/>
                <w:kern w:val="0"/>
                <w:sz w:val="24"/>
                <w:szCs w:val="24"/>
                <w:highlight w:val="none"/>
                <w:lang w:val="en-US" w:eastAsia="zh-CN" w:bidi="ar"/>
              </w:rPr>
              <w:t>高排气筒排放。</w:t>
            </w:r>
            <w:r>
              <w:rPr>
                <w:rFonts w:hint="eastAsia" w:ascii="宋体" w:hAnsi="宋体" w:eastAsia="宋体" w:cs="宋体"/>
                <w:b w:val="0"/>
                <w:bCs w:val="0"/>
                <w:color w:val="auto"/>
                <w:spacing w:val="0"/>
                <w:kern w:val="0"/>
                <w:sz w:val="24"/>
                <w:szCs w:val="24"/>
                <w:lang w:val="en-US" w:eastAsia="zh-CN" w:bidi="ar"/>
              </w:rPr>
              <w:t>根据</w:t>
            </w:r>
            <w:r>
              <w:rPr>
                <w:rFonts w:hint="eastAsia" w:ascii="宋体" w:hAnsi="宋体" w:eastAsia="宋体" w:cs="宋体"/>
                <w:b w:val="0"/>
                <w:bCs w:val="0"/>
                <w:color w:val="auto"/>
                <w:spacing w:val="0"/>
                <w:sz w:val="24"/>
                <w:szCs w:val="24"/>
                <w:highlight w:val="none"/>
                <w:vertAlign w:val="baseline"/>
                <w:lang w:val="en-US" w:eastAsia="zh-CN"/>
              </w:rPr>
              <w:t>《挥发性有机物治理实用手册（第二版）》（生态环境部大气环境司、生态环境部环境规划院编著）</w:t>
            </w:r>
            <w:r>
              <w:rPr>
                <w:rFonts w:hint="eastAsia" w:ascii="宋体" w:hAnsi="宋体" w:eastAsia="宋体" w:cs="宋体"/>
                <w:b w:val="0"/>
                <w:bCs w:val="0"/>
                <w:color w:val="auto"/>
                <w:spacing w:val="0"/>
                <w:kern w:val="0"/>
                <w:sz w:val="24"/>
                <w:szCs w:val="24"/>
                <w:lang w:val="en-US" w:eastAsia="zh-CN" w:bidi="ar"/>
              </w:rPr>
              <w:t>，计算外部排风罩的排风量时，控制风速可参考其中第</w:t>
            </w:r>
            <w:r>
              <w:rPr>
                <w:rFonts w:hint="default" w:ascii="Times New Roman" w:hAnsi="Times New Roman" w:eastAsia="宋体" w:cs="Times New Roman"/>
                <w:b w:val="0"/>
                <w:bCs w:val="0"/>
                <w:color w:val="auto"/>
                <w:spacing w:val="0"/>
                <w:kern w:val="0"/>
                <w:sz w:val="24"/>
                <w:szCs w:val="24"/>
                <w:lang w:val="en-US" w:eastAsia="zh-CN" w:bidi="ar"/>
              </w:rPr>
              <w:t>212</w:t>
            </w:r>
            <w:r>
              <w:rPr>
                <w:rFonts w:hint="eastAsia" w:ascii="宋体" w:hAnsi="宋体" w:eastAsia="宋体" w:cs="宋体"/>
                <w:b w:val="0"/>
                <w:bCs w:val="0"/>
                <w:color w:val="auto"/>
                <w:spacing w:val="0"/>
                <w:kern w:val="0"/>
                <w:sz w:val="24"/>
                <w:szCs w:val="24"/>
                <w:lang w:val="en-US" w:eastAsia="zh-CN" w:bidi="ar"/>
              </w:rPr>
              <w:t>页表</w:t>
            </w:r>
            <w:r>
              <w:rPr>
                <w:rFonts w:hint="eastAsia" w:ascii="Times New Roman" w:hAnsi="Times New Roman" w:eastAsia="宋体" w:cs="Times New Roman"/>
                <w:b w:val="0"/>
                <w:bCs w:val="0"/>
                <w:color w:val="auto"/>
                <w:spacing w:val="0"/>
                <w:kern w:val="0"/>
                <w:sz w:val="24"/>
                <w:szCs w:val="24"/>
                <w:lang w:val="en-US" w:eastAsia="zh-CN" w:bidi="ar"/>
              </w:rPr>
              <w:t>3-1</w:t>
            </w:r>
            <w:r>
              <w:rPr>
                <w:rFonts w:hint="eastAsia" w:ascii="宋体" w:hAnsi="宋体" w:eastAsia="宋体" w:cs="宋体"/>
                <w:b w:val="0"/>
                <w:bCs w:val="0"/>
                <w:color w:val="auto"/>
                <w:spacing w:val="0"/>
                <w:kern w:val="0"/>
                <w:sz w:val="24"/>
                <w:szCs w:val="24"/>
                <w:lang w:val="en-US" w:eastAsia="zh-CN" w:bidi="ar"/>
              </w:rPr>
              <w:t>确定，内容如下表所示。</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b/>
                <w:bCs/>
                <w:color w:val="auto"/>
                <w:spacing w:val="0"/>
                <w:position w:val="0"/>
                <w:sz w:val="24"/>
                <w:szCs w:val="24"/>
                <w:lang w:val="en-US" w:eastAsia="zh-CN"/>
              </w:rPr>
            </w:pPr>
            <w:r>
              <w:rPr>
                <w:rFonts w:hint="eastAsia" w:ascii="宋体" w:hAnsi="宋体" w:eastAsia="宋体" w:cs="宋体"/>
                <w:b/>
                <w:bCs/>
                <w:color w:val="auto"/>
                <w:spacing w:val="0"/>
                <w:position w:val="0"/>
                <w:sz w:val="24"/>
                <w:szCs w:val="24"/>
                <w:lang w:val="en-US" w:eastAsia="zh-CN"/>
              </w:rPr>
              <w:t>表</w:t>
            </w:r>
            <w:r>
              <w:rPr>
                <w:rFonts w:hint="default" w:ascii="Times New Roman" w:hAnsi="Times New Roman" w:eastAsia="宋体" w:cs="Times New Roman"/>
                <w:b/>
                <w:bCs/>
                <w:color w:val="auto"/>
                <w:spacing w:val="0"/>
                <w:position w:val="0"/>
                <w:sz w:val="24"/>
                <w:szCs w:val="24"/>
                <w:lang w:val="en-US" w:eastAsia="zh-CN"/>
              </w:rPr>
              <w:t>4-</w:t>
            </w:r>
            <w:r>
              <w:rPr>
                <w:rFonts w:hint="eastAsia" w:cs="Times New Roman"/>
                <w:b/>
                <w:bCs/>
                <w:color w:val="auto"/>
                <w:spacing w:val="0"/>
                <w:position w:val="0"/>
                <w:sz w:val="24"/>
                <w:szCs w:val="24"/>
                <w:lang w:val="en-US" w:eastAsia="zh-CN"/>
              </w:rPr>
              <w:t>8</w:t>
            </w:r>
            <w:r>
              <w:rPr>
                <w:rFonts w:hint="default" w:ascii="Times New Roman" w:hAnsi="Times New Roman" w:eastAsia="宋体" w:cs="Times New Roman"/>
                <w:b/>
                <w:bCs/>
                <w:color w:val="auto"/>
                <w:spacing w:val="0"/>
                <w:position w:val="0"/>
                <w:sz w:val="24"/>
                <w:szCs w:val="24"/>
                <w:lang w:val="en-US" w:eastAsia="zh-CN"/>
              </w:rPr>
              <w:t xml:space="preserve"> </w:t>
            </w:r>
            <w:r>
              <w:rPr>
                <w:rFonts w:hint="eastAsia"/>
                <w:b/>
                <w:bCs/>
                <w:color w:val="auto"/>
                <w:spacing w:val="0"/>
                <w:position w:val="0"/>
                <w:sz w:val="24"/>
                <w:szCs w:val="24"/>
                <w:lang w:val="en-US" w:eastAsia="zh-CN"/>
              </w:rPr>
              <w:t xml:space="preserve"> 集气罩罩口平均风速取值</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437"/>
              <w:gridCol w:w="1667"/>
              <w:gridCol w:w="1405"/>
              <w:gridCol w:w="1602"/>
              <w:gridCol w:w="13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86" w:type="dxa"/>
                  <w:tcBorders>
                    <w:tl2br w:val="nil"/>
                    <w:tr2bl w:val="nil"/>
                  </w:tcBorders>
                  <w:noWrap w:val="0"/>
                  <w:vAlign w:val="center"/>
                </w:tcPr>
                <w:p>
                  <w:pPr>
                    <w:pStyle w:val="31"/>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color w:val="auto"/>
                      <w:spacing w:val="0"/>
                      <w:position w:val="0"/>
                      <w:sz w:val="21"/>
                      <w:szCs w:val="21"/>
                      <w:lang w:val="en-US" w:eastAsia="zh-CN"/>
                    </w:rPr>
                  </w:pPr>
                  <w:r>
                    <w:rPr>
                      <w:rFonts w:hint="eastAsia" w:ascii="Times New Roman" w:hAnsi="Times New Roman" w:cs="Times New Roman"/>
                      <w:b/>
                      <w:color w:val="auto"/>
                      <w:spacing w:val="0"/>
                      <w:position w:val="0"/>
                      <w:sz w:val="21"/>
                      <w:szCs w:val="21"/>
                      <w:lang w:val="en-US" w:eastAsia="zh-CN"/>
                    </w:rPr>
                    <w:t>收集罩敞开情况</w:t>
                  </w:r>
                </w:p>
              </w:tc>
              <w:tc>
                <w:tcPr>
                  <w:tcW w:w="1700" w:type="dxa"/>
                  <w:tcBorders>
                    <w:tl2br w:val="nil"/>
                    <w:tr2bl w:val="nil"/>
                  </w:tcBorders>
                  <w:noWrap w:val="0"/>
                  <w:vAlign w:val="center"/>
                </w:tcPr>
                <w:p>
                  <w:pPr>
                    <w:pStyle w:val="31"/>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color w:val="auto"/>
                      <w:spacing w:val="0"/>
                      <w:position w:val="0"/>
                      <w:sz w:val="21"/>
                      <w:szCs w:val="21"/>
                      <w:lang w:val="en-US" w:eastAsia="zh-CN"/>
                    </w:rPr>
                  </w:pPr>
                  <w:r>
                    <w:rPr>
                      <w:rFonts w:hint="eastAsia" w:ascii="Times New Roman" w:hAnsi="Times New Roman" w:cs="Times New Roman"/>
                      <w:b/>
                      <w:color w:val="auto"/>
                      <w:spacing w:val="0"/>
                      <w:position w:val="0"/>
                      <w:sz w:val="21"/>
                      <w:szCs w:val="21"/>
                      <w:lang w:val="en-US" w:eastAsia="zh-CN"/>
                    </w:rPr>
                    <w:t>一边敞开</w:t>
                  </w:r>
                </w:p>
              </w:tc>
              <w:tc>
                <w:tcPr>
                  <w:tcW w:w="1433" w:type="dxa"/>
                  <w:tcBorders>
                    <w:tl2br w:val="nil"/>
                    <w:tr2bl w:val="nil"/>
                  </w:tcBorders>
                  <w:noWrap w:val="0"/>
                  <w:vAlign w:val="center"/>
                </w:tcPr>
                <w:p>
                  <w:pPr>
                    <w:pStyle w:val="31"/>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color w:val="auto"/>
                      <w:spacing w:val="0"/>
                      <w:position w:val="0"/>
                      <w:sz w:val="21"/>
                      <w:szCs w:val="21"/>
                      <w:lang w:val="en-US" w:eastAsia="zh-CN"/>
                    </w:rPr>
                  </w:pPr>
                  <w:r>
                    <w:rPr>
                      <w:rFonts w:hint="eastAsia" w:ascii="Times New Roman" w:hAnsi="Times New Roman" w:cs="Times New Roman"/>
                      <w:b/>
                      <w:color w:val="auto"/>
                      <w:spacing w:val="0"/>
                      <w:position w:val="0"/>
                      <w:sz w:val="21"/>
                      <w:szCs w:val="21"/>
                      <w:lang w:val="en-US" w:eastAsia="zh-CN"/>
                    </w:rPr>
                    <w:t>两边敞开</w:t>
                  </w:r>
                </w:p>
              </w:tc>
              <w:tc>
                <w:tcPr>
                  <w:tcW w:w="1634" w:type="dxa"/>
                  <w:tcBorders>
                    <w:tl2br w:val="nil"/>
                    <w:tr2bl w:val="nil"/>
                  </w:tcBorders>
                  <w:noWrap w:val="0"/>
                  <w:vAlign w:val="center"/>
                </w:tcPr>
                <w:p>
                  <w:pPr>
                    <w:pStyle w:val="31"/>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color w:val="auto"/>
                      <w:spacing w:val="0"/>
                      <w:position w:val="0"/>
                      <w:sz w:val="21"/>
                      <w:szCs w:val="21"/>
                      <w:lang w:val="en-US" w:eastAsia="zh-CN"/>
                    </w:rPr>
                  </w:pPr>
                  <w:r>
                    <w:rPr>
                      <w:rFonts w:hint="eastAsia" w:ascii="Times New Roman" w:hAnsi="Times New Roman" w:cs="Times New Roman"/>
                      <w:b/>
                      <w:color w:val="auto"/>
                      <w:spacing w:val="0"/>
                      <w:position w:val="0"/>
                      <w:sz w:val="21"/>
                      <w:szCs w:val="21"/>
                      <w:lang w:val="en-US" w:eastAsia="zh-CN"/>
                    </w:rPr>
                    <w:t>三边敞开</w:t>
                  </w:r>
                </w:p>
              </w:tc>
              <w:tc>
                <w:tcPr>
                  <w:tcW w:w="1421" w:type="dxa"/>
                  <w:tcBorders>
                    <w:tl2br w:val="nil"/>
                    <w:tr2bl w:val="nil"/>
                  </w:tcBorders>
                  <w:noWrap w:val="0"/>
                  <w:vAlign w:val="center"/>
                </w:tcPr>
                <w:p>
                  <w:pPr>
                    <w:pStyle w:val="31"/>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color w:val="auto"/>
                      <w:spacing w:val="0"/>
                      <w:position w:val="0"/>
                      <w:sz w:val="21"/>
                      <w:szCs w:val="21"/>
                      <w:lang w:val="en-US" w:eastAsia="zh-CN"/>
                    </w:rPr>
                  </w:pPr>
                  <w:r>
                    <w:rPr>
                      <w:rFonts w:hint="eastAsia" w:ascii="Times New Roman" w:hAnsi="Times New Roman" w:cs="Times New Roman"/>
                      <w:b/>
                      <w:color w:val="auto"/>
                      <w:spacing w:val="0"/>
                      <w:position w:val="0"/>
                      <w:sz w:val="21"/>
                      <w:szCs w:val="21"/>
                      <w:lang w:val="en-US" w:eastAsia="zh-CN"/>
                    </w:rPr>
                    <w:t>四边敞开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86" w:type="dxa"/>
                  <w:tcBorders>
                    <w:tl2br w:val="nil"/>
                    <w:tr2bl w:val="nil"/>
                  </w:tcBorders>
                  <w:noWrap w:val="0"/>
                  <w:vAlign w:val="center"/>
                </w:tcPr>
                <w:p>
                  <w:pPr>
                    <w:pStyle w:val="31"/>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position w:val="0"/>
                      <w:sz w:val="21"/>
                      <w:szCs w:val="21"/>
                      <w:lang w:val="en-US" w:eastAsia="zh-CN"/>
                    </w:rPr>
                  </w:pPr>
                  <w:r>
                    <w:rPr>
                      <w:rFonts w:hint="eastAsia" w:ascii="Times New Roman" w:hAnsi="Times New Roman" w:cs="Times New Roman"/>
                      <w:color w:val="auto"/>
                      <w:spacing w:val="0"/>
                      <w:position w:val="0"/>
                      <w:sz w:val="21"/>
                      <w:szCs w:val="21"/>
                      <w:lang w:val="en-US" w:eastAsia="zh-CN"/>
                    </w:rPr>
                    <w:t>罩口平均风速（m/s）</w:t>
                  </w:r>
                </w:p>
              </w:tc>
              <w:tc>
                <w:tcPr>
                  <w:tcW w:w="1700" w:type="dxa"/>
                  <w:tcBorders>
                    <w:tl2br w:val="nil"/>
                    <w:tr2bl w:val="nil"/>
                  </w:tcBorders>
                  <w:noWrap w:val="0"/>
                  <w:vAlign w:val="center"/>
                </w:tcPr>
                <w:p>
                  <w:pPr>
                    <w:pStyle w:val="31"/>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position w:val="0"/>
                      <w:sz w:val="21"/>
                      <w:szCs w:val="21"/>
                      <w:lang w:val="en-US" w:eastAsia="zh-CN"/>
                    </w:rPr>
                  </w:pPr>
                  <w:r>
                    <w:rPr>
                      <w:rFonts w:hint="eastAsia" w:ascii="Times New Roman" w:hAnsi="Times New Roman" w:cs="Times New Roman"/>
                      <w:color w:val="auto"/>
                      <w:spacing w:val="0"/>
                      <w:kern w:val="0"/>
                      <w:position w:val="0"/>
                      <w:sz w:val="21"/>
                      <w:szCs w:val="21"/>
                      <w:lang w:val="en-US" w:eastAsia="zh-CN" w:bidi="ar"/>
                    </w:rPr>
                    <w:t>0.5</w:t>
                  </w:r>
                  <w:r>
                    <w:rPr>
                      <w:rFonts w:hint="default" w:ascii="Times New Roman" w:hAnsi="Times New Roman" w:eastAsia="宋体" w:cs="Times New Roman"/>
                      <w:color w:val="auto"/>
                      <w:spacing w:val="0"/>
                      <w:kern w:val="0"/>
                      <w:position w:val="0"/>
                      <w:sz w:val="21"/>
                      <w:szCs w:val="21"/>
                      <w:lang w:val="en-US" w:eastAsia="zh-CN" w:bidi="ar"/>
                    </w:rPr>
                    <w:t>~</w:t>
                  </w:r>
                  <w:r>
                    <w:rPr>
                      <w:rFonts w:hint="eastAsia" w:ascii="Times New Roman" w:hAnsi="Times New Roman" w:cs="Times New Roman"/>
                      <w:color w:val="auto"/>
                      <w:spacing w:val="0"/>
                      <w:kern w:val="0"/>
                      <w:position w:val="0"/>
                      <w:sz w:val="21"/>
                      <w:szCs w:val="21"/>
                      <w:lang w:val="en-US" w:eastAsia="zh-CN" w:bidi="ar"/>
                    </w:rPr>
                    <w:t>0.7</w:t>
                  </w:r>
                </w:p>
              </w:tc>
              <w:tc>
                <w:tcPr>
                  <w:tcW w:w="1433" w:type="dxa"/>
                  <w:tcBorders>
                    <w:tl2br w:val="nil"/>
                    <w:tr2bl w:val="nil"/>
                  </w:tcBorders>
                  <w:noWrap w:val="0"/>
                  <w:vAlign w:val="center"/>
                </w:tcPr>
                <w:p>
                  <w:pPr>
                    <w:pStyle w:val="31"/>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pacing w:val="0"/>
                      <w:kern w:val="0"/>
                      <w:position w:val="0"/>
                      <w:sz w:val="21"/>
                      <w:szCs w:val="21"/>
                      <w:lang w:val="en-US" w:eastAsia="zh-CN" w:bidi="ar"/>
                    </w:rPr>
                  </w:pPr>
                  <w:r>
                    <w:rPr>
                      <w:rFonts w:hint="eastAsia" w:ascii="Times New Roman" w:hAnsi="Times New Roman" w:cs="Times New Roman"/>
                      <w:color w:val="auto"/>
                      <w:spacing w:val="0"/>
                      <w:kern w:val="0"/>
                      <w:position w:val="0"/>
                      <w:sz w:val="21"/>
                      <w:szCs w:val="21"/>
                      <w:lang w:val="en-US" w:eastAsia="zh-CN" w:bidi="ar"/>
                    </w:rPr>
                    <w:t>0.75~0.9</w:t>
                  </w:r>
                </w:p>
              </w:tc>
              <w:tc>
                <w:tcPr>
                  <w:tcW w:w="1634" w:type="dxa"/>
                  <w:tcBorders>
                    <w:tl2br w:val="nil"/>
                    <w:tr2bl w:val="nil"/>
                  </w:tcBorders>
                  <w:noWrap w:val="0"/>
                  <w:vAlign w:val="center"/>
                </w:tcPr>
                <w:p>
                  <w:pPr>
                    <w:pStyle w:val="31"/>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position w:val="0"/>
                      <w:sz w:val="21"/>
                      <w:szCs w:val="21"/>
                      <w:lang w:val="en-US" w:eastAsia="zh-CN"/>
                    </w:rPr>
                  </w:pPr>
                  <w:r>
                    <w:rPr>
                      <w:rFonts w:hint="eastAsia" w:ascii="Times New Roman" w:hAnsi="Times New Roman" w:cs="Times New Roman"/>
                      <w:color w:val="auto"/>
                      <w:spacing w:val="0"/>
                      <w:position w:val="0"/>
                      <w:sz w:val="21"/>
                      <w:szCs w:val="21"/>
                      <w:lang w:val="en-US" w:eastAsia="zh-CN"/>
                    </w:rPr>
                    <w:t>0.9~1.05</w:t>
                  </w:r>
                </w:p>
              </w:tc>
              <w:tc>
                <w:tcPr>
                  <w:tcW w:w="1421" w:type="dxa"/>
                  <w:tcBorders>
                    <w:tl2br w:val="nil"/>
                    <w:tr2bl w:val="nil"/>
                  </w:tcBorders>
                  <w:noWrap w:val="0"/>
                  <w:vAlign w:val="center"/>
                </w:tcPr>
                <w:p>
                  <w:pPr>
                    <w:pStyle w:val="31"/>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position w:val="0"/>
                      <w:sz w:val="21"/>
                      <w:szCs w:val="21"/>
                      <w:lang w:val="en-US" w:eastAsia="zh-CN"/>
                    </w:rPr>
                  </w:pPr>
                  <w:r>
                    <w:rPr>
                      <w:rFonts w:hint="eastAsia" w:ascii="Times New Roman" w:hAnsi="Times New Roman" w:cs="Times New Roman"/>
                      <w:color w:val="auto"/>
                      <w:spacing w:val="0"/>
                      <w:position w:val="0"/>
                      <w:sz w:val="21"/>
                      <w:szCs w:val="21"/>
                      <w:lang w:val="en-US" w:eastAsia="zh-CN"/>
                    </w:rPr>
                    <w:t>1.05~1.25</w:t>
                  </w:r>
                </w:p>
              </w:tc>
            </w:tr>
          </w:tbl>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color w:val="auto"/>
                <w:spacing w:val="0"/>
                <w:kern w:val="0"/>
                <w:position w:val="0"/>
                <w:sz w:val="24"/>
                <w:szCs w:val="24"/>
                <w:lang w:val="en-US" w:eastAsia="zh-CN" w:bidi="ar"/>
              </w:rPr>
            </w:pPr>
            <w:r>
              <w:rPr>
                <w:rFonts w:hint="eastAsia" w:ascii="宋体" w:hAnsi="宋体" w:cs="宋体"/>
                <w:color w:val="000000"/>
                <w:spacing w:val="0"/>
                <w:kern w:val="0"/>
                <w:sz w:val="24"/>
                <w:szCs w:val="24"/>
                <w:lang w:val="en-US" w:eastAsia="zh-CN" w:bidi="ar"/>
              </w:rPr>
              <w:t>在印刷设备上方设置尺寸为</w:t>
            </w:r>
            <w:r>
              <w:rPr>
                <w:rFonts w:hint="eastAsia" w:cs="Times New Roman"/>
                <w:color w:val="000000"/>
                <w:spacing w:val="0"/>
                <w:kern w:val="0"/>
                <w:sz w:val="24"/>
                <w:szCs w:val="24"/>
                <w:lang w:val="en-US" w:eastAsia="zh-CN" w:bidi="ar"/>
              </w:rPr>
              <w:t>1.5</w:t>
            </w:r>
            <w:r>
              <w:rPr>
                <w:rFonts w:hint="default" w:ascii="Times New Roman" w:hAnsi="Times New Roman" w:cs="Times New Roman"/>
                <w:b w:val="0"/>
                <w:bCs w:val="0"/>
                <w:color w:val="auto"/>
                <w:spacing w:val="0"/>
                <w:kern w:val="0"/>
                <w:position w:val="0"/>
                <w:sz w:val="24"/>
                <w:szCs w:val="24"/>
                <w:lang w:val="en-US" w:eastAsia="zh-CN" w:bidi="ar"/>
              </w:rPr>
              <w:t>*</w:t>
            </w:r>
            <w:r>
              <w:rPr>
                <w:rFonts w:hint="eastAsia" w:cs="Times New Roman"/>
                <w:b w:val="0"/>
                <w:bCs w:val="0"/>
                <w:color w:val="auto"/>
                <w:spacing w:val="0"/>
                <w:kern w:val="0"/>
                <w:position w:val="0"/>
                <w:sz w:val="24"/>
                <w:szCs w:val="24"/>
                <w:lang w:val="en-US" w:eastAsia="zh-CN" w:bidi="ar"/>
              </w:rPr>
              <w:t>1.0</w:t>
            </w:r>
            <w:r>
              <w:rPr>
                <w:rFonts w:hint="default" w:ascii="Times New Roman" w:hAnsi="Times New Roman" w:cs="Times New Roman"/>
                <w:b w:val="0"/>
                <w:bCs w:val="0"/>
                <w:color w:val="auto"/>
                <w:spacing w:val="0"/>
                <w:kern w:val="0"/>
                <w:position w:val="0"/>
                <w:sz w:val="24"/>
                <w:szCs w:val="24"/>
                <w:lang w:val="en-US" w:eastAsia="zh-CN" w:bidi="ar"/>
              </w:rPr>
              <w:t>m</w:t>
            </w:r>
            <w:r>
              <w:rPr>
                <w:rFonts w:hint="eastAsia" w:cs="Times New Roman"/>
                <w:b w:val="0"/>
                <w:bCs w:val="0"/>
                <w:color w:val="auto"/>
                <w:spacing w:val="0"/>
                <w:kern w:val="0"/>
                <w:position w:val="0"/>
                <w:sz w:val="24"/>
                <w:szCs w:val="24"/>
                <w:lang w:val="en-US" w:eastAsia="zh-CN" w:bidi="ar"/>
              </w:rPr>
              <w:t>的集气罩，集气罩面积比产污面大</w:t>
            </w:r>
            <w:r>
              <w:rPr>
                <w:rFonts w:hint="default" w:ascii="Times New Roman" w:hAnsi="Times New Roman" w:eastAsia="宋体" w:cs="Times New Roman"/>
                <w:color w:val="auto"/>
                <w:spacing w:val="0"/>
                <w:position w:val="0"/>
                <w:sz w:val="24"/>
                <w:szCs w:val="24"/>
                <w:lang w:val="en-US" w:eastAsia="zh-CN"/>
              </w:rPr>
              <w:t>，</w:t>
            </w:r>
            <w:r>
              <w:rPr>
                <w:rFonts w:hint="eastAsia" w:ascii="宋体" w:hAnsi="宋体" w:cs="宋体"/>
                <w:color w:val="auto"/>
                <w:sz w:val="24"/>
                <w:szCs w:val="24"/>
                <w:lang w:val="en-US" w:eastAsia="zh-CN"/>
              </w:rPr>
              <w:t>周围</w:t>
            </w:r>
            <w:r>
              <w:rPr>
                <w:rFonts w:ascii="宋体" w:hAnsi="宋体" w:eastAsia="宋体" w:cs="宋体"/>
                <w:color w:val="auto"/>
                <w:sz w:val="24"/>
                <w:szCs w:val="24"/>
              </w:rPr>
              <w:t>设置软垂帘进行遮挡，</w:t>
            </w:r>
            <w:r>
              <w:rPr>
                <w:rFonts w:hint="eastAsia" w:cs="Times New Roman"/>
                <w:b w:val="0"/>
                <w:bCs w:val="0"/>
                <w:color w:val="auto"/>
                <w:spacing w:val="0"/>
                <w:kern w:val="0"/>
                <w:position w:val="0"/>
                <w:sz w:val="24"/>
                <w:szCs w:val="24"/>
                <w:lang w:val="en-US" w:eastAsia="zh-CN" w:bidi="ar"/>
              </w:rPr>
              <w:t>一边敞开，罩口风速按0.6m/s计算，</w:t>
            </w:r>
            <w:r>
              <w:rPr>
                <w:color w:val="auto"/>
                <w:sz w:val="24"/>
              </w:rPr>
              <w:t>收集效率为</w:t>
            </w:r>
            <w:r>
              <w:rPr>
                <w:rFonts w:hint="eastAsia"/>
                <w:color w:val="auto"/>
                <w:sz w:val="24"/>
                <w:lang w:val="en-US" w:eastAsia="zh-CN"/>
              </w:rPr>
              <w:t>8</w:t>
            </w:r>
            <w:r>
              <w:rPr>
                <w:color w:val="auto"/>
                <w:sz w:val="24"/>
              </w:rPr>
              <w:t>0%</w:t>
            </w:r>
            <w:r>
              <w:rPr>
                <w:rFonts w:hint="eastAsia"/>
                <w:color w:val="auto"/>
                <w:sz w:val="24"/>
                <w:lang w:eastAsia="zh-CN"/>
              </w:rPr>
              <w:t>，</w:t>
            </w:r>
            <w:r>
              <w:rPr>
                <w:rFonts w:hint="eastAsia" w:ascii="宋体" w:hAnsi="宋体" w:cs="宋体"/>
                <w:color w:val="000000"/>
                <w:sz w:val="24"/>
                <w:lang w:val="en-US" w:eastAsia="zh-CN"/>
              </w:rPr>
              <w:t>根据</w:t>
            </w:r>
            <w:r>
              <w:rPr>
                <w:rFonts w:hint="eastAsia" w:ascii="宋体" w:hAnsi="宋体" w:cs="宋体"/>
                <w:color w:val="000000"/>
                <w:kern w:val="18"/>
                <w:sz w:val="24"/>
              </w:rPr>
              <w:t>《</w:t>
            </w:r>
            <w:r>
              <w:rPr>
                <w:rFonts w:hint="eastAsia" w:ascii="宋体" w:hAnsi="宋体" w:cs="宋体"/>
                <w:color w:val="000000"/>
                <w:kern w:val="18"/>
                <w:sz w:val="24"/>
                <w:lang w:bidi="ar"/>
              </w:rPr>
              <w:t>挥发性有机物治理实用手册</w:t>
            </w:r>
            <w:r>
              <w:rPr>
                <w:rFonts w:hint="eastAsia" w:ascii="宋体" w:hAnsi="宋体" w:cs="宋体"/>
                <w:color w:val="000000"/>
                <w:kern w:val="18"/>
                <w:sz w:val="24"/>
              </w:rPr>
              <w:t>（第二版）》（生态环境部大气环境司、生态环境部环境规划院编著）：“</w:t>
            </w:r>
            <w:r>
              <w:rPr>
                <w:rFonts w:hint="eastAsia" w:ascii="宋体" w:hAnsi="宋体" w:cs="宋体"/>
                <w:color w:val="000000"/>
                <w:sz w:val="24"/>
              </w:rPr>
              <w:t>风机风量取值为系统设计风量的</w:t>
            </w:r>
            <w:r>
              <w:rPr>
                <w:rFonts w:hint="default" w:ascii="Times New Roman" w:hAnsi="Times New Roman"/>
                <w:color w:val="000000"/>
                <w:sz w:val="24"/>
              </w:rPr>
              <w:t xml:space="preserve"> 1.1</w:t>
            </w:r>
            <w:r>
              <w:rPr>
                <w:rFonts w:hint="eastAsia" w:ascii="Times New Roman" w:hAnsi="Times New Roman" w:eastAsia="宋体" w:cs="Times New Roman"/>
                <w:color w:val="000000"/>
                <w:sz w:val="24"/>
                <w:lang w:val="en-US" w:eastAsia="zh-CN"/>
              </w:rPr>
              <w:t>~</w:t>
            </w:r>
            <w:r>
              <w:rPr>
                <w:rFonts w:hint="default" w:ascii="Times New Roman" w:hAnsi="Times New Roman"/>
                <w:color w:val="000000"/>
                <w:sz w:val="24"/>
              </w:rPr>
              <w:t>1.2</w:t>
            </w:r>
            <w:r>
              <w:rPr>
                <w:rFonts w:hint="eastAsia" w:ascii="宋体" w:hAnsi="宋体" w:cs="宋体"/>
                <w:color w:val="000000"/>
                <w:sz w:val="24"/>
              </w:rPr>
              <w:t xml:space="preserve"> 倍</w:t>
            </w:r>
            <w:r>
              <w:rPr>
                <w:rFonts w:hint="eastAsia" w:ascii="宋体" w:hAnsi="宋体" w:cs="宋体"/>
                <w:color w:val="000000"/>
                <w:sz w:val="24"/>
                <w:lang w:eastAsia="zh-CN"/>
              </w:rPr>
              <w:t>，</w:t>
            </w:r>
            <w:r>
              <w:rPr>
                <w:rFonts w:hint="eastAsia" w:ascii="宋体" w:hAnsi="宋体" w:cs="宋体"/>
                <w:color w:val="000000"/>
                <w:sz w:val="24"/>
              </w:rPr>
              <w:t>末端治理设备或系统漏风率大时取上限值，漏风率小时取下限值</w:t>
            </w:r>
            <w:r>
              <w:rPr>
                <w:rFonts w:hint="eastAsia" w:ascii="宋体" w:hAnsi="宋体" w:cs="宋体"/>
                <w:color w:val="000000"/>
                <w:kern w:val="18"/>
                <w:sz w:val="24"/>
              </w:rPr>
              <w:t>”</w:t>
            </w:r>
            <w:r>
              <w:rPr>
                <w:rFonts w:hint="eastAsia" w:ascii="宋体" w:hAnsi="宋体" w:cs="宋体"/>
                <w:color w:val="000000"/>
                <w:sz w:val="24"/>
              </w:rPr>
              <w:t>，</w:t>
            </w:r>
            <w:r>
              <w:rPr>
                <w:rFonts w:hint="eastAsia" w:ascii="宋体" w:hAnsi="宋体" w:cs="宋体"/>
                <w:color w:val="000000"/>
                <w:sz w:val="24"/>
                <w:lang w:val="en-US" w:eastAsia="zh-CN"/>
              </w:rPr>
              <w:t>本项目</w:t>
            </w:r>
            <w:r>
              <w:rPr>
                <w:rFonts w:hint="eastAsia" w:ascii="宋体" w:hAnsi="宋体" w:cs="宋体"/>
                <w:color w:val="000000"/>
                <w:sz w:val="24"/>
              </w:rPr>
              <w:t>末端治理设备漏风率小</w:t>
            </w:r>
            <w:r>
              <w:rPr>
                <w:rFonts w:hint="eastAsia" w:ascii="宋体" w:hAnsi="宋体" w:cs="宋体"/>
                <w:color w:val="000000"/>
                <w:sz w:val="24"/>
                <w:lang w:eastAsia="zh-CN"/>
              </w:rPr>
              <w:t>，</w:t>
            </w:r>
            <w:r>
              <w:rPr>
                <w:rFonts w:hint="eastAsia" w:ascii="宋体" w:hAnsi="宋体" w:cs="宋体"/>
                <w:color w:val="000000"/>
                <w:sz w:val="24"/>
                <w:lang w:val="en-US" w:eastAsia="zh-CN"/>
              </w:rPr>
              <w:t>风量</w:t>
            </w:r>
            <w:r>
              <w:rPr>
                <w:rFonts w:hint="default" w:ascii="Times New Roman" w:hAnsi="Times New Roman" w:eastAsia="宋体" w:cs="Times New Roman"/>
                <w:i/>
                <w:iCs/>
                <w:color w:val="auto"/>
                <w:spacing w:val="0"/>
                <w:kern w:val="0"/>
                <w:position w:val="0"/>
                <w:sz w:val="24"/>
                <w:szCs w:val="24"/>
                <w:lang w:val="en-US" w:eastAsia="zh-CN" w:bidi="ar"/>
              </w:rPr>
              <w:t>Q</w:t>
            </w:r>
            <w:r>
              <w:rPr>
                <w:rFonts w:hint="default" w:ascii="Times New Roman" w:hAnsi="Times New Roman" w:eastAsia="宋体" w:cs="Times New Roman"/>
                <w:color w:val="auto"/>
                <w:spacing w:val="0"/>
                <w:kern w:val="0"/>
                <w:position w:val="0"/>
                <w:sz w:val="24"/>
                <w:szCs w:val="24"/>
                <w:lang w:val="en-US" w:eastAsia="zh-CN" w:bidi="ar"/>
              </w:rPr>
              <w:t>=</w:t>
            </w:r>
            <w:r>
              <w:rPr>
                <w:rFonts w:hint="eastAsia" w:cs="Times New Roman"/>
                <w:color w:val="auto"/>
                <w:spacing w:val="0"/>
                <w:kern w:val="0"/>
                <w:position w:val="0"/>
                <w:sz w:val="24"/>
                <w:szCs w:val="24"/>
                <w:lang w:val="en-US" w:eastAsia="zh-CN" w:bidi="ar"/>
              </w:rPr>
              <w:t>1.5</w:t>
            </w:r>
            <w:r>
              <w:rPr>
                <w:rFonts w:hint="default" w:ascii="Times New Roman" w:hAnsi="Times New Roman" w:eastAsia="宋体" w:cs="Times New Roman"/>
                <w:color w:val="auto"/>
                <w:spacing w:val="0"/>
                <w:kern w:val="0"/>
                <w:position w:val="0"/>
                <w:sz w:val="24"/>
                <w:szCs w:val="24"/>
                <w:lang w:val="en-US" w:eastAsia="zh-CN" w:bidi="ar"/>
              </w:rPr>
              <w:t>×</w:t>
            </w:r>
            <w:r>
              <w:rPr>
                <w:rFonts w:hint="eastAsia" w:cs="Times New Roman"/>
                <w:color w:val="auto"/>
                <w:spacing w:val="0"/>
                <w:kern w:val="0"/>
                <w:position w:val="0"/>
                <w:sz w:val="24"/>
                <w:szCs w:val="24"/>
                <w:lang w:val="en-US" w:eastAsia="zh-CN" w:bidi="ar"/>
              </w:rPr>
              <w:t>1.0</w:t>
            </w:r>
            <w:r>
              <w:rPr>
                <w:rFonts w:hint="default" w:ascii="Times New Roman" w:hAnsi="Times New Roman" w:eastAsia="宋体" w:cs="Times New Roman"/>
                <w:color w:val="auto"/>
                <w:spacing w:val="0"/>
                <w:kern w:val="0"/>
                <w:position w:val="0"/>
                <w:sz w:val="24"/>
                <w:szCs w:val="24"/>
                <w:lang w:val="en-US" w:eastAsia="zh-CN" w:bidi="ar"/>
              </w:rPr>
              <w:t>×</w:t>
            </w:r>
            <w:r>
              <w:rPr>
                <w:rFonts w:hint="eastAsia" w:cs="Times New Roman"/>
                <w:color w:val="auto"/>
                <w:spacing w:val="0"/>
                <w:kern w:val="0"/>
                <w:position w:val="0"/>
                <w:sz w:val="24"/>
                <w:szCs w:val="24"/>
                <w:lang w:val="en-US" w:eastAsia="zh-CN" w:bidi="ar"/>
              </w:rPr>
              <w:t>0.6</w:t>
            </w:r>
            <w:r>
              <w:rPr>
                <w:rFonts w:hint="default" w:ascii="Times New Roman" w:hAnsi="Times New Roman" w:eastAsia="宋体" w:cs="Times New Roman"/>
                <w:color w:val="auto"/>
                <w:spacing w:val="0"/>
                <w:kern w:val="0"/>
                <w:position w:val="0"/>
                <w:sz w:val="24"/>
                <w:szCs w:val="24"/>
                <w:lang w:val="en-US" w:eastAsia="zh-CN" w:bidi="ar"/>
              </w:rPr>
              <w:t>×</w:t>
            </w:r>
            <w:r>
              <w:rPr>
                <w:rFonts w:hint="eastAsia" w:ascii="Times New Roman" w:hAnsi="Times New Roman" w:eastAsia="宋体" w:cs="Times New Roman"/>
                <w:color w:val="auto"/>
                <w:spacing w:val="0"/>
                <w:kern w:val="0"/>
                <w:position w:val="0"/>
                <w:sz w:val="24"/>
                <w:szCs w:val="24"/>
                <w:lang w:val="en-US" w:eastAsia="zh-CN" w:bidi="ar"/>
              </w:rPr>
              <w:t>3600</w:t>
            </w:r>
            <w:r>
              <w:rPr>
                <w:rFonts w:hint="eastAsia" w:cs="Times New Roman"/>
                <w:color w:val="auto"/>
                <w:spacing w:val="0"/>
                <w:kern w:val="0"/>
                <w:position w:val="0"/>
                <w:sz w:val="24"/>
                <w:szCs w:val="24"/>
                <w:lang w:val="en-US" w:eastAsia="zh-CN" w:bidi="ar"/>
              </w:rPr>
              <w:t>×1.1</w:t>
            </w:r>
            <w:r>
              <w:rPr>
                <w:rFonts w:hint="eastAsia" w:ascii="Times New Roman" w:hAnsi="Times New Roman" w:eastAsia="宋体" w:cs="Times New Roman"/>
                <w:color w:val="auto"/>
                <w:spacing w:val="0"/>
                <w:kern w:val="0"/>
                <w:position w:val="0"/>
                <w:sz w:val="24"/>
                <w:szCs w:val="24"/>
                <w:lang w:val="en-US" w:eastAsia="zh-CN" w:bidi="ar"/>
              </w:rPr>
              <w:t>=</w:t>
            </w:r>
            <w:r>
              <w:rPr>
                <w:rFonts w:hint="eastAsia" w:cs="Times New Roman"/>
                <w:color w:val="auto"/>
                <w:spacing w:val="0"/>
                <w:kern w:val="0"/>
                <w:position w:val="0"/>
                <w:sz w:val="24"/>
                <w:szCs w:val="24"/>
                <w:lang w:val="en-US" w:eastAsia="zh-CN" w:bidi="ar"/>
              </w:rPr>
              <w:t>3564</w:t>
            </w:r>
            <w:r>
              <w:rPr>
                <w:rFonts w:hint="eastAsia" w:ascii="Times New Roman" w:hAnsi="Times New Roman" w:eastAsia="宋体" w:cs="Times New Roman"/>
                <w:color w:val="auto"/>
                <w:spacing w:val="0"/>
                <w:kern w:val="0"/>
                <w:position w:val="0"/>
                <w:sz w:val="24"/>
                <w:szCs w:val="24"/>
                <w:lang w:val="en-US" w:eastAsia="zh-CN" w:bidi="ar"/>
              </w:rPr>
              <w:t>m</w:t>
            </w:r>
            <w:r>
              <w:rPr>
                <w:rFonts w:hint="eastAsia" w:ascii="Times New Roman" w:hAnsi="Times New Roman" w:eastAsia="宋体" w:cs="Times New Roman"/>
                <w:color w:val="auto"/>
                <w:spacing w:val="0"/>
                <w:kern w:val="0"/>
                <w:position w:val="0"/>
                <w:sz w:val="24"/>
                <w:szCs w:val="24"/>
                <w:vertAlign w:val="superscript"/>
                <w:lang w:val="en-US" w:eastAsia="zh-CN" w:bidi="ar"/>
              </w:rPr>
              <w:t>3</w:t>
            </w:r>
            <w:r>
              <w:rPr>
                <w:rFonts w:hint="eastAsia" w:ascii="Times New Roman" w:hAnsi="Times New Roman" w:eastAsia="宋体" w:cs="Times New Roman"/>
                <w:color w:val="auto"/>
                <w:spacing w:val="0"/>
                <w:kern w:val="0"/>
                <w:position w:val="0"/>
                <w:sz w:val="24"/>
                <w:szCs w:val="24"/>
                <w:lang w:val="en-US" w:eastAsia="zh-CN" w:bidi="ar"/>
              </w:rPr>
              <w:t>/h</w:t>
            </w:r>
            <w:r>
              <w:rPr>
                <w:rFonts w:hint="eastAsia" w:cs="Times New Roman"/>
                <w:color w:val="auto"/>
                <w:spacing w:val="0"/>
                <w:kern w:val="0"/>
                <w:position w:val="0"/>
                <w:sz w:val="24"/>
                <w:szCs w:val="24"/>
                <w:lang w:val="en-US" w:eastAsia="zh-CN" w:bidi="ar"/>
              </w:rPr>
              <w:t>，</w:t>
            </w:r>
            <w:r>
              <w:rPr>
                <w:rFonts w:hint="eastAsia" w:ascii="宋体" w:hAnsi="宋体" w:cs="宋体"/>
                <w:color w:val="000000"/>
                <w:sz w:val="24"/>
                <w:lang w:val="en-US" w:eastAsia="zh-CN"/>
              </w:rPr>
              <w:t>则本项目设置风机风量为</w:t>
            </w:r>
            <w:r>
              <w:rPr>
                <w:rFonts w:hint="eastAsia" w:cs="Times New Roman"/>
                <w:color w:val="000000"/>
                <w:sz w:val="24"/>
                <w:lang w:val="en-US" w:eastAsia="zh-CN"/>
              </w:rPr>
              <w:t>360</w:t>
            </w:r>
            <w:r>
              <w:rPr>
                <w:rFonts w:hint="default" w:ascii="Times New Roman" w:hAnsi="Times New Roman" w:eastAsia="宋体" w:cs="Times New Roman"/>
                <w:color w:val="000000"/>
                <w:sz w:val="24"/>
                <w:lang w:val="en-US" w:eastAsia="zh-CN"/>
              </w:rPr>
              <w:t>0</w:t>
            </w:r>
            <w:r>
              <w:rPr>
                <w:rFonts w:hint="default" w:ascii="Times New Roman" w:hAnsi="Times New Roman"/>
                <w:color w:val="000000"/>
                <w:sz w:val="24"/>
              </w:rPr>
              <w:t>m</w:t>
            </w:r>
            <w:r>
              <w:rPr>
                <w:rFonts w:hint="default" w:ascii="Times New Roman" w:hAnsi="Times New Roman"/>
                <w:color w:val="000000"/>
                <w:sz w:val="24"/>
                <w:vertAlign w:val="superscript"/>
              </w:rPr>
              <w:t>3</w:t>
            </w:r>
            <w:r>
              <w:rPr>
                <w:rFonts w:hint="default" w:ascii="Times New Roman" w:hAnsi="Times New Roman"/>
                <w:color w:val="000000"/>
                <w:sz w:val="24"/>
              </w:rPr>
              <w:t>/h</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可满足要求</w:t>
            </w:r>
            <w:r>
              <w:rPr>
                <w:rFonts w:hint="eastAsia" w:ascii="宋体" w:hAnsi="宋体" w:cs="宋体"/>
                <w:color w:val="auto"/>
                <w:sz w:val="24"/>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000000"/>
                <w:spacing w:val="0"/>
                <w:kern w:val="0"/>
                <w:sz w:val="24"/>
                <w:szCs w:val="24"/>
                <w:lang w:val="en-US" w:eastAsia="zh-CN" w:bidi="ar"/>
              </w:rPr>
              <w:t>在胶黏设备上方设置尺寸为</w:t>
            </w:r>
            <w:r>
              <w:rPr>
                <w:rFonts w:hint="default" w:ascii="Times New Roman" w:hAnsi="Times New Roman" w:cs="Times New Roman"/>
                <w:color w:val="000000"/>
                <w:spacing w:val="0"/>
                <w:kern w:val="0"/>
                <w:sz w:val="24"/>
                <w:szCs w:val="24"/>
                <w:lang w:val="en-US" w:eastAsia="zh-CN" w:bidi="ar"/>
              </w:rPr>
              <w:t>1.5</w:t>
            </w:r>
            <w:r>
              <w:rPr>
                <w:rFonts w:hint="eastAsia" w:cs="Times New Roman"/>
                <w:b w:val="0"/>
                <w:bCs w:val="0"/>
                <w:color w:val="auto"/>
                <w:spacing w:val="0"/>
                <w:kern w:val="0"/>
                <w:position w:val="0"/>
                <w:sz w:val="24"/>
                <w:szCs w:val="24"/>
                <w:lang w:val="en-US" w:eastAsia="zh-CN" w:bidi="ar"/>
              </w:rPr>
              <w:t>*0.6m的集气罩，集气罩面积比产污面大</w:t>
            </w:r>
            <w:r>
              <w:rPr>
                <w:rFonts w:hint="default" w:ascii="Times New Roman" w:hAnsi="Times New Roman" w:eastAsia="宋体" w:cs="Times New Roman"/>
                <w:color w:val="auto"/>
                <w:spacing w:val="0"/>
                <w:position w:val="0"/>
                <w:sz w:val="24"/>
                <w:szCs w:val="24"/>
                <w:lang w:val="en-US" w:eastAsia="zh-CN"/>
              </w:rPr>
              <w:t>，</w:t>
            </w:r>
            <w:r>
              <w:rPr>
                <w:rFonts w:hint="eastAsia" w:ascii="宋体" w:hAnsi="宋体" w:cs="宋体"/>
                <w:color w:val="auto"/>
                <w:sz w:val="24"/>
                <w:szCs w:val="24"/>
                <w:lang w:val="en-US" w:eastAsia="zh-CN"/>
              </w:rPr>
              <w:t>周围</w:t>
            </w:r>
            <w:r>
              <w:rPr>
                <w:rFonts w:ascii="宋体" w:hAnsi="宋体" w:eastAsia="宋体" w:cs="宋体"/>
                <w:color w:val="auto"/>
                <w:sz w:val="24"/>
                <w:szCs w:val="24"/>
              </w:rPr>
              <w:t>设置软垂帘进行遮挡，</w:t>
            </w:r>
            <w:r>
              <w:rPr>
                <w:rFonts w:hint="eastAsia" w:cs="Times New Roman"/>
                <w:b w:val="0"/>
                <w:bCs w:val="0"/>
                <w:color w:val="auto"/>
                <w:spacing w:val="0"/>
                <w:kern w:val="0"/>
                <w:position w:val="0"/>
                <w:sz w:val="24"/>
                <w:szCs w:val="24"/>
                <w:lang w:val="en-US" w:eastAsia="zh-CN" w:bidi="ar"/>
              </w:rPr>
              <w:t>一边敞开，罩口风速按0.6m/s计算，收集效率为80%，</w:t>
            </w:r>
            <w:r>
              <w:rPr>
                <w:rFonts w:hint="eastAsia" w:ascii="宋体" w:hAnsi="宋体" w:eastAsia="宋体" w:cs="宋体"/>
                <w:color w:val="000000"/>
                <w:sz w:val="24"/>
              </w:rPr>
              <w:t xml:space="preserve">风机风量取值为系统设计风量的 </w:t>
            </w:r>
            <w:r>
              <w:rPr>
                <w:rFonts w:hint="default" w:ascii="Times New Roman" w:hAnsi="Times New Roman" w:eastAsia="宋体" w:cs="Times New Roman"/>
                <w:color w:val="000000"/>
                <w:sz w:val="24"/>
              </w:rPr>
              <w:t>1.1</w:t>
            </w:r>
            <w:r>
              <w:rPr>
                <w:rFonts w:hint="eastAsia"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1.2</w:t>
            </w:r>
            <w:r>
              <w:rPr>
                <w:rFonts w:hint="eastAsia" w:ascii="宋体" w:hAnsi="宋体" w:eastAsia="宋体" w:cs="宋体"/>
                <w:color w:val="000000"/>
                <w:sz w:val="24"/>
              </w:rPr>
              <w:t xml:space="preserve"> 倍</w:t>
            </w:r>
            <w:r>
              <w:rPr>
                <w:rFonts w:hint="eastAsia" w:ascii="宋体" w:hAnsi="宋体" w:cs="宋体"/>
                <w:color w:val="000000"/>
                <w:sz w:val="24"/>
                <w:lang w:eastAsia="zh-CN"/>
              </w:rPr>
              <w:t>，</w:t>
            </w:r>
            <w:r>
              <w:rPr>
                <w:rFonts w:hint="eastAsia" w:ascii="宋体" w:hAnsi="宋体" w:eastAsia="宋体" w:cs="宋体"/>
                <w:color w:val="000000"/>
                <w:sz w:val="24"/>
                <w:lang w:val="en-US" w:eastAsia="zh-CN"/>
              </w:rPr>
              <w:t>本项目</w:t>
            </w:r>
            <w:r>
              <w:rPr>
                <w:rFonts w:hint="eastAsia" w:ascii="宋体" w:hAnsi="宋体" w:eastAsia="宋体" w:cs="宋体"/>
                <w:color w:val="000000"/>
                <w:sz w:val="24"/>
              </w:rPr>
              <w:t>末端治理设备漏风率小</w:t>
            </w:r>
            <w:r>
              <w:rPr>
                <w:rFonts w:hint="eastAsia" w:ascii="宋体" w:hAnsi="宋体" w:cs="宋体"/>
                <w:color w:val="000000"/>
                <w:sz w:val="24"/>
                <w:lang w:eastAsia="zh-CN"/>
              </w:rPr>
              <w:t>，</w:t>
            </w:r>
            <w:r>
              <w:rPr>
                <w:rFonts w:hint="eastAsia" w:ascii="宋体" w:hAnsi="宋体" w:eastAsia="宋体" w:cs="宋体"/>
                <w:color w:val="000000"/>
                <w:sz w:val="24"/>
              </w:rPr>
              <w:t>取下限值</w:t>
            </w:r>
            <w:r>
              <w:rPr>
                <w:rFonts w:hint="eastAsia" w:ascii="宋体" w:hAnsi="宋体" w:eastAsia="宋体" w:cs="宋体"/>
                <w:color w:val="000000"/>
                <w:sz w:val="24"/>
                <w:lang w:eastAsia="zh-CN"/>
              </w:rPr>
              <w:t>，</w:t>
            </w:r>
            <w:r>
              <w:rPr>
                <w:rFonts w:hint="eastAsia" w:cs="Times New Roman"/>
                <w:b w:val="0"/>
                <w:bCs w:val="0"/>
                <w:color w:val="auto"/>
                <w:spacing w:val="0"/>
                <w:kern w:val="0"/>
                <w:position w:val="0"/>
                <w:sz w:val="24"/>
                <w:szCs w:val="24"/>
                <w:lang w:val="en-US" w:eastAsia="zh-CN" w:bidi="ar"/>
              </w:rPr>
              <w:t>则风量</w:t>
            </w:r>
            <w:r>
              <w:rPr>
                <w:rFonts w:hint="default" w:ascii="Times New Roman" w:hAnsi="Times New Roman" w:eastAsia="宋体" w:cs="Times New Roman"/>
                <w:b w:val="0"/>
                <w:bCs w:val="0"/>
                <w:i/>
                <w:iCs/>
                <w:color w:val="auto"/>
                <w:spacing w:val="0"/>
                <w:kern w:val="0"/>
                <w:position w:val="0"/>
                <w:sz w:val="24"/>
                <w:szCs w:val="24"/>
                <w:lang w:val="en-US" w:eastAsia="zh-CN" w:bidi="ar"/>
              </w:rPr>
              <w:t>Q</w:t>
            </w:r>
            <w:r>
              <w:rPr>
                <w:rFonts w:hint="default" w:ascii="Times New Roman" w:hAnsi="Times New Roman" w:eastAsia="宋体" w:cs="Times New Roman"/>
                <w:b w:val="0"/>
                <w:bCs w:val="0"/>
                <w:color w:val="auto"/>
                <w:spacing w:val="0"/>
                <w:kern w:val="0"/>
                <w:position w:val="0"/>
                <w:sz w:val="24"/>
                <w:szCs w:val="24"/>
                <w:lang w:val="en-US" w:eastAsia="zh-CN" w:bidi="ar"/>
              </w:rPr>
              <w:t>=</w:t>
            </w:r>
            <w:r>
              <w:rPr>
                <w:rFonts w:hint="eastAsia" w:ascii="Times New Roman" w:hAnsi="Times New Roman" w:eastAsia="宋体" w:cs="Times New Roman"/>
                <w:b w:val="0"/>
                <w:bCs w:val="0"/>
                <w:color w:val="auto"/>
                <w:spacing w:val="0"/>
                <w:kern w:val="0"/>
                <w:position w:val="0"/>
                <w:sz w:val="24"/>
                <w:szCs w:val="24"/>
                <w:lang w:val="en-US" w:eastAsia="zh-CN" w:bidi="ar"/>
              </w:rPr>
              <w:t>1.5</w:t>
            </w:r>
            <w:r>
              <w:rPr>
                <w:rFonts w:hint="default" w:ascii="Times New Roman" w:hAnsi="Times New Roman" w:eastAsia="宋体" w:cs="Times New Roman"/>
                <w:color w:val="auto"/>
                <w:spacing w:val="0"/>
                <w:kern w:val="0"/>
                <w:position w:val="0"/>
                <w:sz w:val="24"/>
                <w:szCs w:val="24"/>
                <w:lang w:val="en-US" w:eastAsia="zh-CN" w:bidi="ar"/>
              </w:rPr>
              <w:t>×</w:t>
            </w:r>
            <w:r>
              <w:rPr>
                <w:rFonts w:hint="eastAsia" w:eastAsia="宋体" w:cs="Times New Roman"/>
                <w:b w:val="0"/>
                <w:bCs w:val="0"/>
                <w:color w:val="auto"/>
                <w:spacing w:val="0"/>
                <w:kern w:val="0"/>
                <w:position w:val="0"/>
                <w:sz w:val="24"/>
                <w:szCs w:val="24"/>
                <w:lang w:val="en-US" w:eastAsia="zh-CN" w:bidi="ar"/>
              </w:rPr>
              <w:t>0.6</w:t>
            </w:r>
            <w:r>
              <w:rPr>
                <w:rFonts w:hint="default" w:ascii="Times New Roman" w:hAnsi="Times New Roman" w:eastAsia="宋体" w:cs="Times New Roman"/>
                <w:b w:val="0"/>
                <w:bCs w:val="0"/>
                <w:color w:val="auto"/>
                <w:spacing w:val="0"/>
                <w:kern w:val="0"/>
                <w:position w:val="0"/>
                <w:sz w:val="24"/>
                <w:szCs w:val="24"/>
                <w:lang w:val="en-US" w:eastAsia="zh-CN" w:bidi="ar"/>
              </w:rPr>
              <w:t>×</w:t>
            </w:r>
            <w:r>
              <w:rPr>
                <w:rFonts w:hint="eastAsia" w:ascii="Times New Roman" w:hAnsi="Times New Roman" w:eastAsia="宋体" w:cs="Times New Roman"/>
                <w:b w:val="0"/>
                <w:bCs w:val="0"/>
                <w:color w:val="auto"/>
                <w:spacing w:val="0"/>
                <w:kern w:val="0"/>
                <w:position w:val="0"/>
                <w:sz w:val="24"/>
                <w:szCs w:val="24"/>
                <w:lang w:val="en-US" w:eastAsia="zh-CN" w:bidi="ar"/>
              </w:rPr>
              <w:t>0.</w:t>
            </w:r>
            <w:r>
              <w:rPr>
                <w:rFonts w:hint="eastAsia" w:cs="Times New Roman"/>
                <w:b w:val="0"/>
                <w:bCs w:val="0"/>
                <w:color w:val="auto"/>
                <w:spacing w:val="0"/>
                <w:kern w:val="0"/>
                <w:position w:val="0"/>
                <w:sz w:val="24"/>
                <w:szCs w:val="24"/>
                <w:lang w:val="en-US" w:eastAsia="zh-CN" w:bidi="ar"/>
              </w:rPr>
              <w:t>6</w:t>
            </w:r>
            <w:r>
              <w:rPr>
                <w:rFonts w:hint="default" w:ascii="Times New Roman" w:hAnsi="Times New Roman" w:eastAsia="宋体" w:cs="Times New Roman"/>
                <w:b w:val="0"/>
                <w:bCs w:val="0"/>
                <w:color w:val="auto"/>
                <w:spacing w:val="0"/>
                <w:kern w:val="0"/>
                <w:position w:val="0"/>
                <w:sz w:val="24"/>
                <w:szCs w:val="24"/>
                <w:lang w:val="en-US" w:eastAsia="zh-CN" w:bidi="ar"/>
              </w:rPr>
              <w:t>×</w:t>
            </w:r>
            <w:r>
              <w:rPr>
                <w:rFonts w:hint="eastAsia" w:ascii="Times New Roman" w:hAnsi="Times New Roman" w:eastAsia="宋体" w:cs="Times New Roman"/>
                <w:b w:val="0"/>
                <w:bCs w:val="0"/>
                <w:color w:val="auto"/>
                <w:spacing w:val="0"/>
                <w:kern w:val="0"/>
                <w:position w:val="0"/>
                <w:sz w:val="24"/>
                <w:szCs w:val="24"/>
                <w:lang w:val="en-US" w:eastAsia="zh-CN" w:bidi="ar"/>
              </w:rPr>
              <w:t>3600</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lang w:val="en-US" w:eastAsia="zh-CN"/>
              </w:rPr>
              <w:t>1.1</w:t>
            </w:r>
            <w:r>
              <w:rPr>
                <w:rFonts w:hint="eastAsia" w:ascii="Times New Roman" w:hAnsi="Times New Roman" w:eastAsia="宋体" w:cs="Times New Roman"/>
                <w:b w:val="0"/>
                <w:bCs w:val="0"/>
                <w:color w:val="auto"/>
                <w:spacing w:val="0"/>
                <w:kern w:val="0"/>
                <w:position w:val="0"/>
                <w:sz w:val="24"/>
                <w:szCs w:val="24"/>
                <w:lang w:val="en-US" w:eastAsia="zh-CN" w:bidi="ar"/>
              </w:rPr>
              <w:t>=</w:t>
            </w:r>
            <w:r>
              <w:rPr>
                <w:rFonts w:hint="eastAsia" w:cs="Times New Roman"/>
                <w:b w:val="0"/>
                <w:bCs w:val="0"/>
                <w:color w:val="auto"/>
                <w:spacing w:val="0"/>
                <w:kern w:val="0"/>
                <w:position w:val="0"/>
                <w:sz w:val="24"/>
                <w:szCs w:val="24"/>
                <w:lang w:val="en-US" w:eastAsia="zh-CN" w:bidi="ar"/>
              </w:rPr>
              <w:t>1944</w:t>
            </w:r>
            <w:r>
              <w:rPr>
                <w:rFonts w:hint="eastAsia" w:ascii="Times New Roman" w:hAnsi="Times New Roman" w:eastAsia="宋体" w:cs="Times New Roman"/>
                <w:b w:val="0"/>
                <w:bCs w:val="0"/>
                <w:color w:val="auto"/>
                <w:spacing w:val="0"/>
                <w:kern w:val="0"/>
                <w:position w:val="0"/>
                <w:sz w:val="24"/>
                <w:szCs w:val="24"/>
                <w:lang w:val="en-US" w:eastAsia="zh-CN" w:bidi="ar"/>
              </w:rPr>
              <w:t>m</w:t>
            </w:r>
            <w:r>
              <w:rPr>
                <w:rFonts w:hint="eastAsia" w:ascii="Times New Roman" w:hAnsi="Times New Roman" w:eastAsia="宋体" w:cs="Times New Roman"/>
                <w:b w:val="0"/>
                <w:bCs w:val="0"/>
                <w:color w:val="auto"/>
                <w:spacing w:val="0"/>
                <w:kern w:val="0"/>
                <w:position w:val="0"/>
                <w:sz w:val="24"/>
                <w:szCs w:val="24"/>
                <w:vertAlign w:val="superscript"/>
                <w:lang w:val="en-US" w:eastAsia="zh-CN" w:bidi="ar"/>
              </w:rPr>
              <w:t>3</w:t>
            </w:r>
            <w:r>
              <w:rPr>
                <w:rFonts w:hint="eastAsia" w:ascii="Times New Roman" w:hAnsi="Times New Roman" w:eastAsia="宋体" w:cs="Times New Roman"/>
                <w:b w:val="0"/>
                <w:bCs w:val="0"/>
                <w:color w:val="auto"/>
                <w:spacing w:val="0"/>
                <w:kern w:val="0"/>
                <w:position w:val="0"/>
                <w:sz w:val="24"/>
                <w:szCs w:val="24"/>
                <w:lang w:val="en-US" w:eastAsia="zh-CN" w:bidi="ar"/>
              </w:rPr>
              <w:t>/h</w:t>
            </w:r>
            <w:r>
              <w:rPr>
                <w:rFonts w:hint="eastAsia" w:cs="Times New Roman"/>
                <w:b w:val="0"/>
                <w:bCs w:val="0"/>
                <w:color w:val="auto"/>
                <w:spacing w:val="0"/>
                <w:kern w:val="0"/>
                <w:position w:val="0"/>
                <w:sz w:val="24"/>
                <w:szCs w:val="24"/>
                <w:lang w:val="en-US" w:eastAsia="zh-CN" w:bidi="ar"/>
              </w:rPr>
              <w:t>，</w:t>
            </w:r>
            <w:r>
              <w:rPr>
                <w:rFonts w:hint="default" w:ascii="Times New Roman" w:hAnsi="Times New Roman" w:eastAsia="宋体" w:cs="Times New Roman"/>
                <w:color w:val="000000"/>
                <w:sz w:val="24"/>
                <w:lang w:val="en-US" w:eastAsia="zh-CN"/>
              </w:rPr>
              <w:t>=</w:t>
            </w:r>
            <w:r>
              <w:rPr>
                <w:rFonts w:hint="eastAsia" w:cs="Times New Roman"/>
                <w:color w:val="000000"/>
                <w:sz w:val="24"/>
                <w:lang w:val="en-US" w:eastAsia="zh-CN"/>
              </w:rPr>
              <w:t>2138.4</w:t>
            </w:r>
            <w:r>
              <w:rPr>
                <w:rFonts w:hint="default" w:ascii="Times New Roman" w:hAnsi="Times New Roman" w:eastAsia="宋体" w:cs="Times New Roman"/>
                <w:color w:val="000000"/>
                <w:sz w:val="24"/>
              </w:rPr>
              <w:t>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/h</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则风机风量取</w:t>
            </w:r>
            <w:r>
              <w:rPr>
                <w:rFonts w:hint="eastAsia" w:cs="Times New Roman"/>
                <w:color w:val="000000"/>
                <w:sz w:val="24"/>
                <w:lang w:val="en-US" w:eastAsia="zh-CN"/>
              </w:rPr>
              <w:t>22</w:t>
            </w:r>
            <w:r>
              <w:rPr>
                <w:rFonts w:hint="default" w:ascii="Times New Roman" w:hAnsi="Times New Roman" w:eastAsia="宋体" w:cs="Times New Roman"/>
                <w:color w:val="000000"/>
                <w:sz w:val="24"/>
                <w:lang w:val="en-US" w:eastAsia="zh-CN"/>
              </w:rPr>
              <w:t>00</w:t>
            </w:r>
            <w:r>
              <w:rPr>
                <w:rFonts w:hint="default" w:ascii="Times New Roman" w:hAnsi="Times New Roman" w:eastAsia="宋体" w:cs="Times New Roman"/>
                <w:color w:val="000000"/>
                <w:sz w:val="24"/>
              </w:rPr>
              <w:t>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/h</w:t>
            </w:r>
            <w:r>
              <w:rPr>
                <w:rFonts w:hint="eastAsia" w:ascii="宋体" w:hAnsi="宋体" w:eastAsia="宋体" w:cs="宋体"/>
                <w:color w:val="auto"/>
                <w:sz w:val="24"/>
                <w:highlight w:val="none"/>
              </w:rPr>
              <w:t>，风机设置合理。</w:t>
            </w:r>
          </w:p>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000000"/>
                <w:spacing w:val="0"/>
                <w:kern w:val="0"/>
                <w:sz w:val="24"/>
                <w:szCs w:val="24"/>
                <w:lang w:val="en-US" w:eastAsia="zh-CN" w:bidi="ar"/>
              </w:rPr>
              <w:t>在成型设备上方设置尺寸为</w:t>
            </w:r>
            <w:r>
              <w:rPr>
                <w:rFonts w:hint="eastAsia" w:ascii="Times New Roman" w:hAnsi="Times New Roman" w:cs="Times New Roman"/>
                <w:color w:val="000000"/>
                <w:spacing w:val="0"/>
                <w:kern w:val="0"/>
                <w:sz w:val="24"/>
                <w:szCs w:val="24"/>
                <w:lang w:val="en-US" w:eastAsia="zh-CN" w:bidi="ar"/>
              </w:rPr>
              <w:t>0.8</w:t>
            </w:r>
            <w:r>
              <w:rPr>
                <w:rFonts w:hint="eastAsia" w:cs="Times New Roman"/>
                <w:b w:val="0"/>
                <w:bCs w:val="0"/>
                <w:color w:val="auto"/>
                <w:spacing w:val="0"/>
                <w:kern w:val="0"/>
                <w:position w:val="0"/>
                <w:sz w:val="24"/>
                <w:szCs w:val="24"/>
                <w:lang w:val="en-US" w:eastAsia="zh-CN" w:bidi="ar"/>
              </w:rPr>
              <w:t>*0.6m的集气罩，集气罩面积比产污面大</w:t>
            </w:r>
            <w:r>
              <w:rPr>
                <w:rFonts w:hint="default" w:ascii="Times New Roman" w:hAnsi="Times New Roman" w:eastAsia="宋体" w:cs="Times New Roman"/>
                <w:color w:val="auto"/>
                <w:spacing w:val="0"/>
                <w:position w:val="0"/>
                <w:sz w:val="24"/>
                <w:szCs w:val="24"/>
                <w:lang w:val="en-US" w:eastAsia="zh-CN"/>
              </w:rPr>
              <w:t>，</w:t>
            </w:r>
            <w:r>
              <w:rPr>
                <w:rFonts w:hint="eastAsia" w:ascii="宋体" w:hAnsi="宋体" w:cs="宋体"/>
                <w:color w:val="auto"/>
                <w:sz w:val="24"/>
                <w:szCs w:val="24"/>
                <w:lang w:val="en-US" w:eastAsia="zh-CN"/>
              </w:rPr>
              <w:t>周围</w:t>
            </w:r>
            <w:r>
              <w:rPr>
                <w:rFonts w:ascii="宋体" w:hAnsi="宋体" w:eastAsia="宋体" w:cs="宋体"/>
                <w:color w:val="auto"/>
                <w:sz w:val="24"/>
                <w:szCs w:val="24"/>
              </w:rPr>
              <w:t>设置软垂帘进行遮挡，</w:t>
            </w:r>
            <w:r>
              <w:rPr>
                <w:rFonts w:hint="eastAsia" w:cs="Times New Roman"/>
                <w:b w:val="0"/>
                <w:bCs w:val="0"/>
                <w:color w:val="auto"/>
                <w:spacing w:val="0"/>
                <w:kern w:val="0"/>
                <w:position w:val="0"/>
                <w:sz w:val="24"/>
                <w:szCs w:val="24"/>
                <w:lang w:val="en-US" w:eastAsia="zh-CN" w:bidi="ar"/>
              </w:rPr>
              <w:t>一边敞开，罩口风速按0.6m/s计算，收集效率为80%，</w:t>
            </w:r>
            <w:r>
              <w:rPr>
                <w:rFonts w:hint="eastAsia" w:ascii="宋体" w:hAnsi="宋体" w:eastAsia="宋体" w:cs="宋体"/>
                <w:color w:val="000000"/>
                <w:sz w:val="24"/>
              </w:rPr>
              <w:t xml:space="preserve">风机风量取值为系统设计风量的 </w:t>
            </w:r>
            <w:r>
              <w:rPr>
                <w:rFonts w:hint="default" w:ascii="Times New Roman" w:hAnsi="Times New Roman" w:eastAsia="宋体" w:cs="Times New Roman"/>
                <w:color w:val="000000"/>
                <w:sz w:val="24"/>
              </w:rPr>
              <w:t>1.1</w:t>
            </w:r>
            <w:r>
              <w:rPr>
                <w:rFonts w:hint="eastAsia"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1.2</w:t>
            </w:r>
            <w:r>
              <w:rPr>
                <w:rFonts w:hint="eastAsia" w:ascii="宋体" w:hAnsi="宋体" w:eastAsia="宋体" w:cs="宋体"/>
                <w:color w:val="000000"/>
                <w:sz w:val="24"/>
              </w:rPr>
              <w:t xml:space="preserve"> 倍</w:t>
            </w:r>
            <w:r>
              <w:rPr>
                <w:rFonts w:hint="eastAsia" w:ascii="宋体" w:hAnsi="宋体" w:cs="宋体"/>
                <w:color w:val="000000"/>
                <w:sz w:val="24"/>
                <w:lang w:eastAsia="zh-CN"/>
              </w:rPr>
              <w:t>，</w:t>
            </w:r>
            <w:r>
              <w:rPr>
                <w:rFonts w:hint="eastAsia" w:ascii="宋体" w:hAnsi="宋体" w:eastAsia="宋体" w:cs="宋体"/>
                <w:color w:val="000000"/>
                <w:sz w:val="24"/>
                <w:lang w:val="en-US" w:eastAsia="zh-CN"/>
              </w:rPr>
              <w:t>本项目</w:t>
            </w:r>
            <w:r>
              <w:rPr>
                <w:rFonts w:hint="eastAsia" w:ascii="宋体" w:hAnsi="宋体" w:eastAsia="宋体" w:cs="宋体"/>
                <w:color w:val="000000"/>
                <w:sz w:val="24"/>
              </w:rPr>
              <w:t>末端治理设备漏风率小</w:t>
            </w:r>
            <w:r>
              <w:rPr>
                <w:rFonts w:hint="eastAsia" w:ascii="宋体" w:hAnsi="宋体" w:cs="宋体"/>
                <w:color w:val="000000"/>
                <w:sz w:val="24"/>
                <w:lang w:eastAsia="zh-CN"/>
              </w:rPr>
              <w:t>，</w:t>
            </w:r>
            <w:r>
              <w:rPr>
                <w:rFonts w:hint="eastAsia" w:ascii="宋体" w:hAnsi="宋体" w:eastAsia="宋体" w:cs="宋体"/>
                <w:color w:val="000000"/>
                <w:sz w:val="24"/>
              </w:rPr>
              <w:t>取下限值</w:t>
            </w:r>
            <w:r>
              <w:rPr>
                <w:rFonts w:hint="eastAsia" w:ascii="宋体" w:hAnsi="宋体" w:eastAsia="宋体" w:cs="宋体"/>
                <w:color w:val="000000"/>
                <w:sz w:val="24"/>
                <w:lang w:eastAsia="zh-CN"/>
              </w:rPr>
              <w:t>，</w:t>
            </w:r>
            <w:r>
              <w:rPr>
                <w:rFonts w:hint="eastAsia" w:cs="Times New Roman"/>
                <w:b w:val="0"/>
                <w:bCs w:val="0"/>
                <w:color w:val="auto"/>
                <w:spacing w:val="0"/>
                <w:kern w:val="0"/>
                <w:position w:val="0"/>
                <w:sz w:val="24"/>
                <w:szCs w:val="24"/>
                <w:lang w:val="en-US" w:eastAsia="zh-CN" w:bidi="ar"/>
              </w:rPr>
              <w:t>则风量</w:t>
            </w:r>
            <w:r>
              <w:rPr>
                <w:rFonts w:hint="default" w:ascii="Times New Roman" w:hAnsi="Times New Roman" w:eastAsia="宋体" w:cs="Times New Roman"/>
                <w:b w:val="0"/>
                <w:bCs w:val="0"/>
                <w:i/>
                <w:iCs/>
                <w:color w:val="auto"/>
                <w:spacing w:val="0"/>
                <w:kern w:val="0"/>
                <w:position w:val="0"/>
                <w:sz w:val="24"/>
                <w:szCs w:val="24"/>
                <w:lang w:val="en-US" w:eastAsia="zh-CN" w:bidi="ar"/>
              </w:rPr>
              <w:t>Q</w:t>
            </w:r>
            <w:r>
              <w:rPr>
                <w:rFonts w:hint="default" w:ascii="Times New Roman" w:hAnsi="Times New Roman" w:eastAsia="宋体" w:cs="Times New Roman"/>
                <w:b w:val="0"/>
                <w:bCs w:val="0"/>
                <w:color w:val="auto"/>
                <w:spacing w:val="0"/>
                <w:kern w:val="0"/>
                <w:position w:val="0"/>
                <w:sz w:val="24"/>
                <w:szCs w:val="24"/>
                <w:lang w:val="en-US" w:eastAsia="zh-CN" w:bidi="ar"/>
              </w:rPr>
              <w:t>=</w:t>
            </w:r>
            <w:r>
              <w:rPr>
                <w:rFonts w:hint="eastAsia" w:ascii="Times New Roman" w:hAnsi="Times New Roman" w:eastAsia="宋体" w:cs="Times New Roman"/>
                <w:b w:val="0"/>
                <w:bCs w:val="0"/>
                <w:color w:val="auto"/>
                <w:spacing w:val="0"/>
                <w:kern w:val="0"/>
                <w:position w:val="0"/>
                <w:sz w:val="24"/>
                <w:szCs w:val="24"/>
                <w:lang w:val="en-US" w:eastAsia="zh-CN" w:bidi="ar"/>
              </w:rPr>
              <w:t>0.8</w:t>
            </w:r>
            <w:r>
              <w:rPr>
                <w:rFonts w:hint="default" w:ascii="Times New Roman" w:hAnsi="Times New Roman" w:eastAsia="宋体" w:cs="Times New Roman"/>
                <w:color w:val="auto"/>
                <w:spacing w:val="0"/>
                <w:kern w:val="0"/>
                <w:position w:val="0"/>
                <w:sz w:val="24"/>
                <w:szCs w:val="24"/>
                <w:lang w:val="en-US" w:eastAsia="zh-CN" w:bidi="ar"/>
              </w:rPr>
              <w:t>×</w:t>
            </w:r>
            <w:r>
              <w:rPr>
                <w:rFonts w:hint="eastAsia" w:eastAsia="宋体" w:cs="Times New Roman"/>
                <w:b w:val="0"/>
                <w:bCs w:val="0"/>
                <w:color w:val="auto"/>
                <w:spacing w:val="0"/>
                <w:kern w:val="0"/>
                <w:position w:val="0"/>
                <w:sz w:val="24"/>
                <w:szCs w:val="24"/>
                <w:lang w:val="en-US" w:eastAsia="zh-CN" w:bidi="ar"/>
              </w:rPr>
              <w:t>0.6</w:t>
            </w:r>
            <w:r>
              <w:rPr>
                <w:rFonts w:hint="default" w:ascii="Times New Roman" w:hAnsi="Times New Roman" w:eastAsia="宋体" w:cs="Times New Roman"/>
                <w:b w:val="0"/>
                <w:bCs w:val="0"/>
                <w:color w:val="auto"/>
                <w:spacing w:val="0"/>
                <w:kern w:val="0"/>
                <w:position w:val="0"/>
                <w:sz w:val="24"/>
                <w:szCs w:val="24"/>
                <w:lang w:val="en-US" w:eastAsia="zh-CN" w:bidi="ar"/>
              </w:rPr>
              <w:t>×</w:t>
            </w:r>
            <w:r>
              <w:rPr>
                <w:rFonts w:hint="eastAsia" w:ascii="Times New Roman" w:hAnsi="Times New Roman" w:eastAsia="宋体" w:cs="Times New Roman"/>
                <w:b w:val="0"/>
                <w:bCs w:val="0"/>
                <w:color w:val="auto"/>
                <w:spacing w:val="0"/>
                <w:kern w:val="0"/>
                <w:position w:val="0"/>
                <w:sz w:val="24"/>
                <w:szCs w:val="24"/>
                <w:lang w:val="en-US" w:eastAsia="zh-CN" w:bidi="ar"/>
              </w:rPr>
              <w:t>0.</w:t>
            </w:r>
            <w:r>
              <w:rPr>
                <w:rFonts w:hint="eastAsia" w:cs="Times New Roman"/>
                <w:b w:val="0"/>
                <w:bCs w:val="0"/>
                <w:color w:val="auto"/>
                <w:spacing w:val="0"/>
                <w:kern w:val="0"/>
                <w:position w:val="0"/>
                <w:sz w:val="24"/>
                <w:szCs w:val="24"/>
                <w:lang w:val="en-US" w:eastAsia="zh-CN" w:bidi="ar"/>
              </w:rPr>
              <w:t>6</w:t>
            </w:r>
            <w:r>
              <w:rPr>
                <w:rFonts w:hint="default" w:ascii="Times New Roman" w:hAnsi="Times New Roman" w:eastAsia="宋体" w:cs="Times New Roman"/>
                <w:b w:val="0"/>
                <w:bCs w:val="0"/>
                <w:color w:val="auto"/>
                <w:spacing w:val="0"/>
                <w:kern w:val="0"/>
                <w:position w:val="0"/>
                <w:sz w:val="24"/>
                <w:szCs w:val="24"/>
                <w:lang w:val="en-US" w:eastAsia="zh-CN" w:bidi="ar"/>
              </w:rPr>
              <w:t>×</w:t>
            </w:r>
            <w:r>
              <w:rPr>
                <w:rFonts w:hint="eastAsia" w:ascii="Times New Roman" w:hAnsi="Times New Roman" w:eastAsia="宋体" w:cs="Times New Roman"/>
                <w:b w:val="0"/>
                <w:bCs w:val="0"/>
                <w:color w:val="auto"/>
                <w:spacing w:val="0"/>
                <w:kern w:val="0"/>
                <w:position w:val="0"/>
                <w:sz w:val="24"/>
                <w:szCs w:val="24"/>
                <w:lang w:val="en-US" w:eastAsia="zh-CN" w:bidi="ar"/>
              </w:rPr>
              <w:t>3600</w:t>
            </w:r>
            <w:r>
              <w:rPr>
                <w:rFonts w:hint="eastAsia" w:cs="Times New Roman"/>
                <w:b w:val="0"/>
                <w:bCs w:val="0"/>
                <w:color w:val="auto"/>
                <w:spacing w:val="0"/>
                <w:kern w:val="0"/>
                <w:position w:val="0"/>
                <w:sz w:val="24"/>
                <w:szCs w:val="24"/>
                <w:lang w:val="en-US" w:eastAsia="zh-CN" w:bidi="ar"/>
              </w:rPr>
              <w:t>×</w:t>
            </w:r>
            <w:r>
              <w:rPr>
                <w:rFonts w:hint="default" w:ascii="Times New Roman" w:hAnsi="Times New Roman" w:eastAsia="宋体" w:cs="Times New Roman"/>
                <w:color w:val="000000"/>
                <w:sz w:val="24"/>
                <w:lang w:val="en-US" w:eastAsia="zh-CN"/>
              </w:rPr>
              <w:t>1.1</w:t>
            </w:r>
            <w:r>
              <w:rPr>
                <w:rFonts w:hint="eastAsia" w:ascii="Times New Roman" w:hAnsi="Times New Roman" w:eastAsia="宋体" w:cs="Times New Roman"/>
                <w:b w:val="0"/>
                <w:bCs w:val="0"/>
                <w:color w:val="auto"/>
                <w:spacing w:val="0"/>
                <w:kern w:val="0"/>
                <w:position w:val="0"/>
                <w:sz w:val="24"/>
                <w:szCs w:val="24"/>
                <w:lang w:val="en-US" w:eastAsia="zh-CN" w:bidi="ar"/>
              </w:rPr>
              <w:t>=</w:t>
            </w:r>
            <w:r>
              <w:rPr>
                <w:rFonts w:hint="eastAsia" w:cs="Times New Roman"/>
                <w:b w:val="0"/>
                <w:bCs w:val="0"/>
                <w:color w:val="auto"/>
                <w:spacing w:val="0"/>
                <w:kern w:val="0"/>
                <w:position w:val="0"/>
                <w:sz w:val="24"/>
                <w:szCs w:val="24"/>
                <w:lang w:val="en-US" w:eastAsia="zh-CN" w:bidi="ar"/>
              </w:rPr>
              <w:t>1036.8</w:t>
            </w:r>
            <w:r>
              <w:rPr>
                <w:rFonts w:hint="default" w:ascii="Times New Roman" w:hAnsi="Times New Roman" w:eastAsia="宋体" w:cs="Times New Roman"/>
                <w:color w:val="000000"/>
                <w:sz w:val="24"/>
                <w:lang w:val="en-US" w:eastAsia="zh-CN"/>
              </w:rPr>
              <w:t>=</w:t>
            </w:r>
            <w:r>
              <w:rPr>
                <w:rFonts w:hint="eastAsia" w:cs="Times New Roman"/>
                <w:color w:val="000000"/>
                <w:sz w:val="24"/>
                <w:lang w:val="en-US" w:eastAsia="zh-CN"/>
              </w:rPr>
              <w:t>1140.48</w:t>
            </w:r>
            <w:r>
              <w:rPr>
                <w:rFonts w:hint="default" w:ascii="Times New Roman" w:hAnsi="Times New Roman" w:eastAsia="宋体" w:cs="Times New Roman"/>
                <w:color w:val="000000"/>
                <w:sz w:val="24"/>
              </w:rPr>
              <w:t>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/h</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则风机风量取</w:t>
            </w:r>
            <w:r>
              <w:rPr>
                <w:rFonts w:hint="eastAsia" w:cs="Times New Roman"/>
                <w:color w:val="000000"/>
                <w:sz w:val="24"/>
                <w:lang w:val="en-US" w:eastAsia="zh-CN"/>
              </w:rPr>
              <w:t>1200</w:t>
            </w:r>
            <w:r>
              <w:rPr>
                <w:rFonts w:hint="default" w:ascii="Times New Roman" w:hAnsi="Times New Roman" w:eastAsia="宋体" w:cs="Times New Roman"/>
                <w:color w:val="000000"/>
                <w:sz w:val="24"/>
              </w:rPr>
              <w:t>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/h</w:t>
            </w:r>
            <w:r>
              <w:rPr>
                <w:rFonts w:hint="eastAsia" w:ascii="宋体" w:hAnsi="宋体" w:eastAsia="宋体" w:cs="宋体"/>
                <w:color w:val="auto"/>
                <w:sz w:val="24"/>
                <w:highlight w:val="none"/>
              </w:rPr>
              <w:t>，风机设置合理。</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b w:val="0"/>
                <w:bCs/>
                <w:color w:val="auto"/>
                <w:kern w:val="2"/>
                <w:sz w:val="24"/>
                <w:szCs w:val="24"/>
                <w:lang w:val="en-US" w:eastAsia="zh-CN" w:bidi="ar-SA"/>
              </w:rPr>
            </w:pPr>
            <w:r>
              <w:rPr>
                <w:rFonts w:hint="eastAsia" w:ascii="Times New Roman" w:hAnsi="Times New Roman" w:eastAsia="宋体" w:cs="Times New Roman"/>
                <w:b w:val="0"/>
                <w:bCs/>
                <w:color w:val="auto"/>
                <w:kern w:val="2"/>
                <w:sz w:val="24"/>
                <w:szCs w:val="24"/>
                <w:lang w:val="en-US" w:eastAsia="zh-CN" w:bidi="ar-SA"/>
              </w:rPr>
              <w:t>本项目</w:t>
            </w:r>
            <w:r>
              <w:rPr>
                <w:rFonts w:hint="eastAsia" w:cs="Times New Roman"/>
                <w:b w:val="0"/>
                <w:bCs/>
                <w:color w:val="auto"/>
                <w:kern w:val="2"/>
                <w:sz w:val="24"/>
                <w:szCs w:val="24"/>
                <w:lang w:val="en-US" w:eastAsia="zh-CN" w:bidi="ar-SA"/>
              </w:rPr>
              <w:t>印刷、胶黏、成型废气合用一套废气处理设施</w:t>
            </w:r>
            <w:r>
              <w:rPr>
                <w:rFonts w:hint="eastAsia" w:ascii="Times New Roman" w:hAnsi="Times New Roman" w:eastAsia="宋体" w:cs="Times New Roman"/>
                <w:b w:val="0"/>
                <w:bCs/>
                <w:color w:val="auto"/>
                <w:kern w:val="2"/>
                <w:sz w:val="24"/>
                <w:szCs w:val="24"/>
                <w:lang w:val="en-US" w:eastAsia="zh-CN" w:bidi="ar-SA"/>
              </w:rPr>
              <w:t>，设置</w:t>
            </w:r>
            <w:r>
              <w:rPr>
                <w:rFonts w:hint="eastAsia" w:cs="Times New Roman"/>
                <w:b w:val="0"/>
                <w:bCs/>
                <w:color w:val="auto"/>
                <w:kern w:val="2"/>
                <w:sz w:val="24"/>
                <w:szCs w:val="24"/>
                <w:lang w:val="en-US" w:eastAsia="zh-CN" w:bidi="ar-SA"/>
              </w:rPr>
              <w:t>7000</w:t>
            </w:r>
            <w:r>
              <w:rPr>
                <w:rFonts w:hint="eastAsia" w:ascii="Times New Roman" w:hAnsi="Times New Roman" w:eastAsia="宋体" w:cs="Times New Roman"/>
                <w:b w:val="0"/>
                <w:bCs/>
                <w:color w:val="auto"/>
                <w:kern w:val="2"/>
                <w:sz w:val="24"/>
                <w:szCs w:val="24"/>
                <w:lang w:val="en-US" w:eastAsia="zh-CN" w:bidi="ar-SA"/>
              </w:rPr>
              <w:t>m</w:t>
            </w:r>
            <w:r>
              <w:rPr>
                <w:rFonts w:hint="eastAsia" w:ascii="Times New Roman" w:hAnsi="Times New Roman" w:eastAsia="宋体" w:cs="Times New Roman"/>
                <w:b w:val="0"/>
                <w:bCs/>
                <w:color w:val="auto"/>
                <w:kern w:val="2"/>
                <w:sz w:val="24"/>
                <w:szCs w:val="24"/>
                <w:vertAlign w:val="superscript"/>
                <w:lang w:val="en-US" w:eastAsia="zh-CN" w:bidi="ar-SA"/>
              </w:rPr>
              <w:t>3</w:t>
            </w:r>
            <w:r>
              <w:rPr>
                <w:rFonts w:hint="eastAsia" w:ascii="Times New Roman" w:hAnsi="Times New Roman" w:eastAsia="宋体" w:cs="Times New Roman"/>
                <w:b w:val="0"/>
                <w:bCs/>
                <w:color w:val="auto"/>
                <w:kern w:val="2"/>
                <w:sz w:val="24"/>
                <w:szCs w:val="24"/>
                <w:lang w:val="en-US" w:eastAsia="zh-CN" w:bidi="ar-SA"/>
              </w:rPr>
              <w:t>/h的风机能够满足要求。</w:t>
            </w:r>
          </w:p>
          <w:p>
            <w:pPr>
              <w:pStyle w:val="4"/>
              <w:pageBreakBefore w:val="0"/>
              <w:numPr>
                <w:ilvl w:val="-1"/>
                <w:numId w:val="0"/>
              </w:numPr>
              <w:kinsoku/>
              <w:wordWrap/>
              <w:overflowPunct/>
              <w:topLinePunct w:val="0"/>
              <w:autoSpaceDE/>
              <w:autoSpaceDN/>
              <w:bidi w:val="0"/>
              <w:adjustRightInd/>
              <w:snapToGrid/>
              <w:spacing w:before="0" w:after="0" w:line="500" w:lineRule="exact"/>
              <w:ind w:left="0" w:leftChars="0" w:firstLine="480" w:firstLineChars="200"/>
              <w:textAlignment w:val="auto"/>
              <w:rPr>
                <w:rFonts w:hint="eastAsia" w:eastAsia="宋体" w:cs="Times New Roman"/>
                <w:b w:val="0"/>
                <w:bCs/>
                <w:color w:val="auto"/>
                <w:kern w:val="2"/>
                <w:sz w:val="24"/>
                <w:szCs w:val="24"/>
                <w:lang w:val="en-US" w:eastAsia="zh-CN" w:bidi="ar-SA"/>
              </w:rPr>
            </w:pPr>
            <w:r>
              <w:rPr>
                <w:rFonts w:hint="eastAsia" w:eastAsia="宋体" w:cs="Times New Roman"/>
                <w:b w:val="0"/>
                <w:bCs/>
                <w:color w:val="auto"/>
                <w:kern w:val="2"/>
                <w:sz w:val="24"/>
                <w:szCs w:val="24"/>
                <w:lang w:val="en-US" w:eastAsia="zh-CN" w:bidi="ar-SA"/>
              </w:rPr>
              <w:t>②木粉尘收集措施</w:t>
            </w:r>
          </w:p>
          <w:p>
            <w:pPr>
              <w:snapToGrid w:val="0"/>
              <w:spacing w:line="500" w:lineRule="exact"/>
              <w:ind w:firstLine="480" w:firstLineChars="200"/>
              <w:rPr>
                <w:rFonts w:hint="eastAsia" w:ascii="Times New Roman" w:hAnsi="Times New Roman"/>
                <w:color w:val="auto"/>
                <w:spacing w:val="0"/>
                <w:kern w:val="0"/>
                <w:sz w:val="24"/>
                <w:highlight w:val="none"/>
                <w:lang w:eastAsia="zh-CN"/>
              </w:rPr>
            </w:pPr>
            <w:r>
              <w:rPr>
                <w:rFonts w:ascii="Times New Roman" w:hAnsi="Times New Roman"/>
                <w:color w:val="auto"/>
                <w:kern w:val="0"/>
                <w:sz w:val="24"/>
                <w:szCs w:val="24"/>
                <w:highlight w:val="none"/>
                <w:lang w:eastAsia="zh-CN"/>
              </w:rPr>
              <w:t>拟</w:t>
            </w:r>
            <w:r>
              <w:rPr>
                <w:rFonts w:ascii="Times New Roman" w:hAnsi="Times New Roman"/>
                <w:color w:val="auto"/>
                <w:spacing w:val="0"/>
                <w:kern w:val="0"/>
                <w:sz w:val="24"/>
                <w:highlight w:val="none"/>
                <w:lang w:eastAsia="zh-CN"/>
              </w:rPr>
              <w:t>在</w:t>
            </w:r>
            <w:r>
              <w:rPr>
                <w:rFonts w:hint="eastAsia" w:ascii="Times New Roman" w:hAnsi="Times New Roman"/>
                <w:color w:val="auto"/>
                <w:spacing w:val="0"/>
                <w:kern w:val="0"/>
                <w:sz w:val="24"/>
                <w:highlight w:val="none"/>
                <w:lang w:val="en-US" w:eastAsia="zh-CN"/>
              </w:rPr>
              <w:t>普通锯床上方</w:t>
            </w:r>
            <w:r>
              <w:rPr>
                <w:rFonts w:hint="eastAsia" w:ascii="Times New Roman" w:hAnsi="Times New Roman" w:eastAsia="Times New Roman"/>
                <w:color w:val="auto"/>
                <w:kern w:val="0"/>
                <w:sz w:val="24"/>
                <w:highlight w:val="none"/>
                <w:lang w:val="en-US" w:eastAsia="zh-CN"/>
              </w:rPr>
              <w:t>0.2</w:t>
            </w:r>
            <w:r>
              <w:rPr>
                <w:rFonts w:ascii="Times New Roman" w:hAnsi="Times New Roman" w:eastAsia="Times New Roman"/>
                <w:color w:val="auto"/>
                <w:kern w:val="0"/>
                <w:sz w:val="24"/>
                <w:highlight w:val="none"/>
                <w:lang w:eastAsia="zh-CN"/>
              </w:rPr>
              <w:t>m</w:t>
            </w:r>
            <w:r>
              <w:rPr>
                <w:rFonts w:ascii="Times New Roman" w:hAnsi="Times New Roman"/>
                <w:color w:val="auto"/>
                <w:spacing w:val="0"/>
                <w:kern w:val="0"/>
                <w:sz w:val="24"/>
                <w:highlight w:val="none"/>
                <w:lang w:eastAsia="zh-CN"/>
              </w:rPr>
              <w:t>处设置集气罩，</w:t>
            </w:r>
            <w:r>
              <w:rPr>
                <w:rFonts w:hint="eastAsia" w:ascii="Times New Roman" w:hAnsi="Times New Roman"/>
                <w:color w:val="auto"/>
                <w:spacing w:val="0"/>
                <w:kern w:val="0"/>
                <w:sz w:val="24"/>
                <w:highlight w:val="none"/>
                <w:lang w:eastAsia="zh-CN"/>
              </w:rPr>
              <w:t>尘源长度为0.</w:t>
            </w:r>
            <w:r>
              <w:rPr>
                <w:rFonts w:hint="eastAsia" w:ascii="Times New Roman" w:hAnsi="Times New Roman"/>
                <w:color w:val="auto"/>
                <w:spacing w:val="0"/>
                <w:kern w:val="0"/>
                <w:sz w:val="24"/>
                <w:highlight w:val="none"/>
                <w:lang w:val="en-US" w:eastAsia="zh-CN"/>
              </w:rPr>
              <w:t>5</w:t>
            </w:r>
            <w:r>
              <w:rPr>
                <w:rFonts w:hint="eastAsia" w:ascii="Times New Roman" w:hAnsi="Times New Roman"/>
                <w:color w:val="auto"/>
                <w:spacing w:val="0"/>
                <w:kern w:val="0"/>
                <w:sz w:val="24"/>
                <w:highlight w:val="none"/>
                <w:lang w:eastAsia="zh-CN"/>
              </w:rPr>
              <w:t>m，宽度为0.</w:t>
            </w:r>
            <w:r>
              <w:rPr>
                <w:rFonts w:hint="eastAsia" w:ascii="Times New Roman" w:hAnsi="Times New Roman"/>
                <w:color w:val="auto"/>
                <w:spacing w:val="0"/>
                <w:kern w:val="0"/>
                <w:sz w:val="24"/>
                <w:highlight w:val="none"/>
                <w:lang w:val="en-US" w:eastAsia="zh-CN"/>
              </w:rPr>
              <w:t>5</w:t>
            </w:r>
            <w:r>
              <w:rPr>
                <w:rFonts w:hint="eastAsia" w:ascii="Times New Roman" w:hAnsi="Times New Roman"/>
                <w:color w:val="auto"/>
                <w:spacing w:val="0"/>
                <w:kern w:val="0"/>
                <w:sz w:val="24"/>
                <w:highlight w:val="none"/>
                <w:lang w:eastAsia="zh-CN"/>
              </w:rPr>
              <w:t>m，根据《除尘工程</w:t>
            </w:r>
            <w:r>
              <w:rPr>
                <w:rFonts w:hint="eastAsia"/>
                <w:color w:val="auto"/>
                <w:spacing w:val="0"/>
                <w:kern w:val="0"/>
                <w:sz w:val="24"/>
                <w:highlight w:val="none"/>
                <w:lang w:val="en-US" w:eastAsia="zh-CN"/>
              </w:rPr>
              <w:t>设计</w:t>
            </w:r>
            <w:r>
              <w:rPr>
                <w:rFonts w:hint="eastAsia" w:ascii="Times New Roman" w:hAnsi="Times New Roman"/>
                <w:color w:val="auto"/>
                <w:spacing w:val="0"/>
                <w:kern w:val="0"/>
                <w:sz w:val="24"/>
                <w:highlight w:val="none"/>
                <w:lang w:eastAsia="zh-CN"/>
              </w:rPr>
              <w:t>手册》集气罩的平面投影尺寸按下式计算：</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jc w:val="center"/>
              <w:textAlignment w:val="auto"/>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position w:val="-6"/>
                <w:sz w:val="24"/>
                <w:szCs w:val="24"/>
                <w:highlight w:val="none"/>
                <w:lang w:val="en-US" w:eastAsia="zh-CN" w:bidi="ar-SA"/>
              </w:rPr>
              <w:object>
                <v:shape id="_x0000_i1030" o:spt="75" type="#_x0000_t75" style="height:13.95pt;width:65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jc w:val="center"/>
              <w:textAlignment w:val="auto"/>
              <w:rPr>
                <w:rFonts w:hint="eastAsia" w:ascii="Times New Roman" w:hAnsi="Times New Roman"/>
                <w:color w:val="auto"/>
                <w:spacing w:val="0"/>
                <w:kern w:val="0"/>
                <w:sz w:val="24"/>
                <w:highlight w:val="none"/>
                <w:lang w:eastAsia="zh-CN"/>
              </w:rPr>
            </w:pPr>
            <w:r>
              <w:rPr>
                <w:rFonts w:hint="default" w:ascii="Times New Roman" w:hAnsi="Times New Roman" w:eastAsia="宋体" w:cs="Times New Roman"/>
                <w:color w:val="auto"/>
                <w:kern w:val="0"/>
                <w:position w:val="-6"/>
                <w:sz w:val="24"/>
                <w:szCs w:val="24"/>
                <w:highlight w:val="none"/>
                <w:lang w:val="en-US" w:eastAsia="zh-CN" w:bidi="ar-SA"/>
              </w:rPr>
              <w:object>
                <v:shape id="_x0000_i1031" o:spt="75" type="#_x0000_t75" style="height:13.95pt;width:65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p>
          <w:p>
            <w:pPr>
              <w:snapToGrid w:val="0"/>
              <w:spacing w:line="500" w:lineRule="exact"/>
              <w:ind w:firstLine="480" w:firstLineChars="200"/>
              <w:rPr>
                <w:rFonts w:hint="eastAsia" w:ascii="Times New Roman" w:hAnsi="Times New Roman"/>
                <w:color w:val="auto"/>
                <w:spacing w:val="0"/>
                <w:kern w:val="0"/>
                <w:sz w:val="24"/>
                <w:highlight w:val="none"/>
                <w:lang w:eastAsia="zh-CN"/>
              </w:rPr>
            </w:pPr>
            <w:r>
              <w:rPr>
                <w:rFonts w:hint="eastAsia" w:ascii="Times New Roman" w:hAnsi="Times New Roman"/>
                <w:color w:val="auto"/>
                <w:spacing w:val="0"/>
                <w:kern w:val="0"/>
                <w:sz w:val="24"/>
                <w:highlight w:val="none"/>
                <w:lang w:eastAsia="zh-CN"/>
              </w:rPr>
              <w:t>式中a、b—尘源的长、宽，m；</w:t>
            </w:r>
          </w:p>
          <w:p>
            <w:pPr>
              <w:snapToGrid w:val="0"/>
              <w:spacing w:line="500" w:lineRule="exact"/>
              <w:ind w:firstLine="480" w:firstLineChars="200"/>
              <w:rPr>
                <w:rFonts w:hint="eastAsia" w:ascii="Times New Roman" w:hAnsi="Times New Roman"/>
                <w:color w:val="auto"/>
                <w:spacing w:val="0"/>
                <w:kern w:val="0"/>
                <w:sz w:val="24"/>
                <w:highlight w:val="none"/>
                <w:lang w:eastAsia="zh-CN"/>
              </w:rPr>
            </w:pPr>
            <w:r>
              <w:rPr>
                <w:rFonts w:hint="eastAsia" w:ascii="Times New Roman" w:hAnsi="Times New Roman"/>
                <w:color w:val="auto"/>
                <w:spacing w:val="0"/>
                <w:kern w:val="0"/>
                <w:sz w:val="24"/>
                <w:highlight w:val="none"/>
                <w:lang w:eastAsia="zh-CN"/>
              </w:rPr>
              <w:t>A、B—罩口的长、宽，m；</w:t>
            </w:r>
          </w:p>
          <w:p>
            <w:pPr>
              <w:snapToGrid w:val="0"/>
              <w:spacing w:line="500" w:lineRule="exact"/>
              <w:ind w:firstLine="480" w:firstLineChars="200"/>
              <w:rPr>
                <w:rFonts w:hint="eastAsia" w:ascii="Times New Roman" w:hAnsi="Times New Roman"/>
                <w:color w:val="auto"/>
                <w:spacing w:val="0"/>
                <w:kern w:val="0"/>
                <w:sz w:val="24"/>
                <w:highlight w:val="none"/>
                <w:lang w:eastAsia="zh-CN"/>
              </w:rPr>
            </w:pPr>
            <w:r>
              <w:rPr>
                <w:rFonts w:hint="eastAsia" w:ascii="Times New Roman" w:hAnsi="Times New Roman"/>
                <w:color w:val="auto"/>
                <w:spacing w:val="0"/>
                <w:kern w:val="0"/>
                <w:sz w:val="24"/>
                <w:highlight w:val="none"/>
                <w:lang w:eastAsia="zh-CN"/>
              </w:rPr>
              <w:t>H—罩口距离尘源的距离，m。</w:t>
            </w:r>
          </w:p>
          <w:p>
            <w:pPr>
              <w:snapToGrid w:val="0"/>
              <w:spacing w:line="500" w:lineRule="exact"/>
              <w:ind w:firstLine="480" w:firstLineChars="200"/>
              <w:rPr>
                <w:rFonts w:hint="eastAsia" w:ascii="Times New Roman" w:hAnsi="Times New Roman"/>
                <w:color w:val="auto"/>
                <w:spacing w:val="0"/>
                <w:kern w:val="0"/>
                <w:sz w:val="24"/>
                <w:highlight w:val="none"/>
                <w:lang w:eastAsia="zh-CN"/>
              </w:rPr>
            </w:pPr>
            <w:r>
              <w:rPr>
                <w:rFonts w:hint="eastAsia" w:ascii="Times New Roman" w:hAnsi="Times New Roman"/>
                <w:color w:val="auto"/>
                <w:spacing w:val="0"/>
                <w:kern w:val="0"/>
                <w:sz w:val="24"/>
                <w:highlight w:val="none"/>
                <w:lang w:eastAsia="zh-CN"/>
              </w:rPr>
              <w:t>本项目拟在</w:t>
            </w:r>
            <w:r>
              <w:rPr>
                <w:rFonts w:hint="eastAsia" w:ascii="Times New Roman" w:hAnsi="Times New Roman"/>
                <w:color w:val="auto"/>
                <w:spacing w:val="0"/>
                <w:kern w:val="0"/>
                <w:sz w:val="24"/>
                <w:highlight w:val="none"/>
                <w:lang w:val="en-US" w:eastAsia="zh-CN"/>
              </w:rPr>
              <w:t>普通锯床上方</w:t>
            </w:r>
            <w:r>
              <w:rPr>
                <w:rFonts w:hint="eastAsia" w:ascii="Times New Roman" w:hAnsi="Times New Roman"/>
                <w:color w:val="auto"/>
                <w:spacing w:val="0"/>
                <w:kern w:val="0"/>
                <w:sz w:val="24"/>
                <w:highlight w:val="none"/>
                <w:lang w:eastAsia="zh-CN"/>
              </w:rPr>
              <w:t>设置1个方形集气罩，长度不宜小于</w:t>
            </w:r>
            <w:r>
              <w:rPr>
                <w:rFonts w:hint="eastAsia" w:ascii="Times New Roman" w:hAnsi="Times New Roman"/>
                <w:color w:val="auto"/>
                <w:spacing w:val="0"/>
                <w:kern w:val="0"/>
                <w:sz w:val="24"/>
                <w:highlight w:val="none"/>
                <w:lang w:val="en-US" w:eastAsia="zh-CN"/>
              </w:rPr>
              <w:t>0.66</w:t>
            </w:r>
            <w:r>
              <w:rPr>
                <w:rFonts w:hint="eastAsia" w:ascii="Times New Roman" w:hAnsi="Times New Roman"/>
                <w:color w:val="auto"/>
                <w:spacing w:val="0"/>
                <w:kern w:val="0"/>
                <w:sz w:val="24"/>
                <w:highlight w:val="none"/>
                <w:lang w:eastAsia="zh-CN"/>
              </w:rPr>
              <w:t>m，宽不宜小于</w:t>
            </w:r>
            <w:r>
              <w:rPr>
                <w:rFonts w:hint="eastAsia" w:ascii="Times New Roman" w:hAnsi="Times New Roman"/>
                <w:color w:val="auto"/>
                <w:spacing w:val="0"/>
                <w:kern w:val="0"/>
                <w:sz w:val="24"/>
                <w:highlight w:val="none"/>
                <w:lang w:val="en-US" w:eastAsia="zh-CN"/>
              </w:rPr>
              <w:t>0.66</w:t>
            </w:r>
            <w:r>
              <w:rPr>
                <w:rFonts w:hint="eastAsia" w:ascii="Times New Roman" w:hAnsi="Times New Roman"/>
                <w:color w:val="auto"/>
                <w:spacing w:val="0"/>
                <w:kern w:val="0"/>
                <w:sz w:val="24"/>
                <w:highlight w:val="none"/>
                <w:lang w:eastAsia="zh-CN"/>
              </w:rPr>
              <w:t>m。</w:t>
            </w:r>
          </w:p>
          <w:p>
            <w:pPr>
              <w:snapToGrid w:val="0"/>
              <w:spacing w:line="500" w:lineRule="exact"/>
              <w:ind w:firstLine="480" w:firstLineChars="200"/>
              <w:rPr>
                <w:rFonts w:hint="eastAsia" w:ascii="Times New Roman" w:hAnsi="Times New Roman"/>
                <w:color w:val="auto"/>
                <w:spacing w:val="0"/>
                <w:kern w:val="0"/>
                <w:sz w:val="24"/>
                <w:highlight w:val="none"/>
                <w:lang w:eastAsia="zh-CN"/>
              </w:rPr>
            </w:pPr>
            <w:r>
              <w:rPr>
                <w:rFonts w:hint="eastAsia" w:ascii="Times New Roman" w:hAnsi="Times New Roman"/>
                <w:color w:val="auto"/>
                <w:spacing w:val="0"/>
                <w:kern w:val="0"/>
                <w:sz w:val="24"/>
                <w:highlight w:val="none"/>
                <w:lang w:eastAsia="zh-CN"/>
              </w:rPr>
              <w:t>尘源的顶吸罩不设挡板，集气罩的罩口风速控制在1~1.27m/s左右，集气罩风量按下式计算：</w:t>
            </w:r>
          </w:p>
          <w:p>
            <w:pPr>
              <w:snapToGrid w:val="0"/>
              <w:spacing w:line="500" w:lineRule="exact"/>
              <w:jc w:val="center"/>
              <w:rPr>
                <w:rFonts w:hint="eastAsia" w:ascii="Times New Roman" w:hAnsi="Times New Roman"/>
                <w:color w:val="auto"/>
                <w:spacing w:val="-10"/>
                <w:sz w:val="24"/>
                <w:highlight w:val="none"/>
                <w:lang w:eastAsia="zh-CN"/>
              </w:rPr>
            </w:pPr>
            <w:r>
              <w:rPr>
                <w:rFonts w:hint="eastAsia" w:ascii="Times New Roman" w:hAnsi="Times New Roman" w:eastAsia="宋体" w:cs="Times New Roman"/>
                <w:color w:val="auto"/>
                <w:kern w:val="0"/>
                <w:position w:val="-12"/>
                <w:sz w:val="24"/>
                <w:szCs w:val="24"/>
                <w:highlight w:val="none"/>
                <w:lang w:val="en-US" w:eastAsia="zh-CN" w:bidi="ar-SA"/>
              </w:rPr>
              <w:object>
                <v:shape id="_x0000_i1032" o:spt="75" type="#_x0000_t75" style="height:18pt;width:88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p>
          <w:p>
            <w:pPr>
              <w:snapToGrid w:val="0"/>
              <w:spacing w:line="500" w:lineRule="exact"/>
              <w:ind w:firstLine="440" w:firstLineChars="200"/>
              <w:rPr>
                <w:rFonts w:hint="eastAsia" w:ascii="Times New Roman" w:hAnsi="Times New Roman"/>
                <w:color w:val="auto"/>
                <w:spacing w:val="-10"/>
                <w:sz w:val="24"/>
                <w:highlight w:val="none"/>
                <w:lang w:eastAsia="zh-CN"/>
              </w:rPr>
            </w:pPr>
            <w:r>
              <w:rPr>
                <w:rFonts w:hint="eastAsia" w:ascii="Times New Roman" w:hAnsi="Times New Roman"/>
                <w:color w:val="auto"/>
                <w:spacing w:val="-10"/>
                <w:sz w:val="24"/>
                <w:highlight w:val="none"/>
                <w:lang w:eastAsia="zh-CN"/>
              </w:rPr>
              <w:t>式中Q—排风量，m</w:t>
            </w:r>
            <w:r>
              <w:rPr>
                <w:rFonts w:hint="eastAsia" w:ascii="Times New Roman" w:hAnsi="Times New Roman"/>
                <w:color w:val="auto"/>
                <w:spacing w:val="-10"/>
                <w:sz w:val="24"/>
                <w:highlight w:val="none"/>
                <w:vertAlign w:val="superscript"/>
                <w:lang w:eastAsia="zh-CN"/>
              </w:rPr>
              <w:t>3</w:t>
            </w:r>
            <w:r>
              <w:rPr>
                <w:rFonts w:hint="eastAsia" w:ascii="Times New Roman" w:hAnsi="Times New Roman"/>
                <w:color w:val="auto"/>
                <w:spacing w:val="-10"/>
                <w:sz w:val="24"/>
                <w:highlight w:val="none"/>
                <w:lang w:eastAsia="zh-CN"/>
              </w:rPr>
              <w:t>/s；</w:t>
            </w:r>
          </w:p>
          <w:p>
            <w:pPr>
              <w:snapToGrid w:val="0"/>
              <w:spacing w:line="500" w:lineRule="exact"/>
              <w:ind w:firstLine="440" w:firstLineChars="200"/>
              <w:rPr>
                <w:rFonts w:hint="eastAsia" w:ascii="Times New Roman" w:hAnsi="Times New Roman"/>
                <w:color w:val="auto"/>
                <w:spacing w:val="-10"/>
                <w:sz w:val="24"/>
                <w:highlight w:val="none"/>
                <w:lang w:eastAsia="zh-CN"/>
              </w:rPr>
            </w:pPr>
            <w:r>
              <w:rPr>
                <w:rFonts w:hint="eastAsia" w:ascii="Times New Roman" w:hAnsi="Times New Roman"/>
                <w:color w:val="auto"/>
                <w:spacing w:val="-10"/>
                <w:sz w:val="24"/>
                <w:highlight w:val="none"/>
                <w:lang w:eastAsia="zh-CN"/>
              </w:rPr>
              <w:t>C—</w:t>
            </w:r>
            <w:r>
              <w:rPr>
                <w:rFonts w:hint="eastAsia" w:ascii="Times New Roman" w:hAnsi="Times New Roman"/>
                <w:color w:val="auto"/>
                <w:spacing w:val="-10"/>
                <w:sz w:val="24"/>
                <w:highlight w:val="none"/>
                <w:lang w:val="en-US" w:eastAsia="zh-CN"/>
              </w:rPr>
              <w:t>尘源</w:t>
            </w:r>
            <w:r>
              <w:rPr>
                <w:rFonts w:hint="eastAsia" w:ascii="Times New Roman" w:hAnsi="Times New Roman"/>
                <w:color w:val="auto"/>
                <w:spacing w:val="-10"/>
                <w:sz w:val="24"/>
                <w:highlight w:val="none"/>
                <w:lang w:eastAsia="zh-CN"/>
              </w:rPr>
              <w:t>的周长，m；</w:t>
            </w:r>
          </w:p>
          <w:p>
            <w:pPr>
              <w:snapToGrid w:val="0"/>
              <w:spacing w:line="500" w:lineRule="exact"/>
              <w:ind w:firstLine="440" w:firstLineChars="200"/>
              <w:rPr>
                <w:rFonts w:hint="eastAsia" w:ascii="Times New Roman" w:hAnsi="Times New Roman"/>
                <w:color w:val="auto"/>
                <w:spacing w:val="-10"/>
                <w:sz w:val="24"/>
                <w:highlight w:val="none"/>
                <w:lang w:eastAsia="zh-CN"/>
              </w:rPr>
            </w:pPr>
            <w:r>
              <w:rPr>
                <w:rFonts w:hint="eastAsia" w:ascii="Times New Roman" w:hAnsi="Times New Roman"/>
                <w:color w:val="auto"/>
                <w:spacing w:val="-10"/>
                <w:sz w:val="24"/>
                <w:highlight w:val="none"/>
                <w:lang w:val="en-US" w:eastAsia="zh-CN"/>
              </w:rPr>
              <w:t>V</w:t>
            </w:r>
            <w:r>
              <w:rPr>
                <w:rFonts w:hint="eastAsia" w:ascii="Times New Roman" w:hAnsi="Times New Roman"/>
                <w:color w:val="auto"/>
                <w:spacing w:val="-10"/>
                <w:sz w:val="24"/>
                <w:highlight w:val="none"/>
                <w:vertAlign w:val="subscript"/>
                <w:lang w:val="en-US" w:eastAsia="zh-CN"/>
              </w:rPr>
              <w:t>0</w:t>
            </w:r>
            <w:r>
              <w:rPr>
                <w:rFonts w:hint="eastAsia" w:ascii="Times New Roman" w:hAnsi="Times New Roman"/>
                <w:color w:val="auto"/>
                <w:spacing w:val="-10"/>
                <w:sz w:val="24"/>
                <w:highlight w:val="none"/>
                <w:lang w:eastAsia="zh-CN"/>
              </w:rPr>
              <w:t>—罩口中平均流速，m/s；</w:t>
            </w:r>
          </w:p>
          <w:p>
            <w:pPr>
              <w:snapToGrid w:val="0"/>
              <w:spacing w:line="500" w:lineRule="exact"/>
              <w:ind w:firstLine="440" w:firstLineChars="200"/>
              <w:rPr>
                <w:rFonts w:hint="eastAsia" w:ascii="Times New Roman" w:hAnsi="Times New Roman"/>
                <w:color w:val="auto"/>
                <w:spacing w:val="-10"/>
                <w:sz w:val="24"/>
                <w:highlight w:val="none"/>
                <w:lang w:eastAsia="zh-CN"/>
              </w:rPr>
            </w:pPr>
            <w:r>
              <w:rPr>
                <w:rFonts w:hint="eastAsia" w:ascii="Times New Roman" w:hAnsi="Times New Roman"/>
                <w:color w:val="auto"/>
                <w:spacing w:val="-10"/>
                <w:sz w:val="24"/>
                <w:highlight w:val="none"/>
                <w:lang w:eastAsia="zh-CN"/>
              </w:rPr>
              <w:t>K—集气罩系数，通常取K=1.4。</w:t>
            </w:r>
          </w:p>
          <w:p>
            <w:pPr>
              <w:snapToGrid w:val="0"/>
              <w:spacing w:line="500" w:lineRule="exact"/>
              <w:ind w:firstLine="440" w:firstLineChars="200"/>
              <w:rPr>
                <w:b/>
                <w:bCs/>
                <w:snapToGrid w:val="0"/>
                <w:color w:val="auto"/>
                <w:kern w:val="0"/>
                <w:sz w:val="24"/>
              </w:rPr>
            </w:pPr>
            <w:r>
              <w:rPr>
                <w:rFonts w:hint="eastAsia" w:ascii="Times New Roman" w:hAnsi="Times New Roman"/>
                <w:color w:val="auto"/>
                <w:spacing w:val="-10"/>
                <w:sz w:val="24"/>
                <w:highlight w:val="none"/>
                <w:lang w:eastAsia="zh-CN"/>
              </w:rPr>
              <w:t>则本项目</w:t>
            </w:r>
            <w:r>
              <w:rPr>
                <w:rFonts w:hint="eastAsia" w:ascii="Times New Roman" w:hAnsi="Times New Roman"/>
                <w:color w:val="auto"/>
                <w:spacing w:val="-10"/>
                <w:sz w:val="24"/>
                <w:highlight w:val="none"/>
                <w:lang w:val="en-US" w:eastAsia="zh-CN"/>
              </w:rPr>
              <w:t>普通锯床</w:t>
            </w:r>
            <w:r>
              <w:rPr>
                <w:rFonts w:hint="eastAsia" w:ascii="Times New Roman" w:hAnsi="Times New Roman"/>
                <w:color w:val="auto"/>
                <w:spacing w:val="-10"/>
                <w:sz w:val="24"/>
                <w:highlight w:val="none"/>
                <w:lang w:eastAsia="zh-CN"/>
              </w:rPr>
              <w:t>尘源上方集气罩风量Q=1.4×2×（0.5+0.5）×（1~1.27）×0.</w:t>
            </w:r>
            <w:r>
              <w:rPr>
                <w:rFonts w:hint="eastAsia" w:ascii="Times New Roman" w:hAnsi="Times New Roman"/>
                <w:color w:val="auto"/>
                <w:spacing w:val="-10"/>
                <w:sz w:val="24"/>
                <w:highlight w:val="none"/>
                <w:lang w:val="en-US" w:eastAsia="zh-CN"/>
              </w:rPr>
              <w:t>2</w:t>
            </w:r>
            <w:r>
              <w:rPr>
                <w:rFonts w:hint="eastAsia" w:ascii="Times New Roman" w:hAnsi="Times New Roman"/>
                <w:color w:val="auto"/>
                <w:spacing w:val="-10"/>
                <w:sz w:val="24"/>
                <w:highlight w:val="none"/>
                <w:lang w:eastAsia="zh-CN"/>
              </w:rPr>
              <w:t>×3600=</w:t>
            </w:r>
            <w:r>
              <w:rPr>
                <w:rFonts w:hint="eastAsia" w:ascii="Times New Roman" w:hAnsi="Times New Roman"/>
                <w:color w:val="auto"/>
                <w:spacing w:val="-10"/>
                <w:sz w:val="24"/>
                <w:highlight w:val="none"/>
                <w:lang w:val="en-US" w:eastAsia="zh-CN"/>
              </w:rPr>
              <w:t>2016</w:t>
            </w:r>
            <w:r>
              <w:rPr>
                <w:rFonts w:hint="eastAsia" w:ascii="Times New Roman" w:hAnsi="Times New Roman"/>
                <w:color w:val="auto"/>
                <w:spacing w:val="-10"/>
                <w:sz w:val="24"/>
                <w:highlight w:val="none"/>
                <w:lang w:eastAsia="zh-CN"/>
              </w:rPr>
              <w:t>~</w:t>
            </w:r>
            <w:r>
              <w:rPr>
                <w:rFonts w:hint="eastAsia" w:ascii="Times New Roman" w:hAnsi="Times New Roman"/>
                <w:color w:val="auto"/>
                <w:spacing w:val="-10"/>
                <w:sz w:val="24"/>
                <w:highlight w:val="none"/>
                <w:lang w:val="en-US" w:eastAsia="zh-CN"/>
              </w:rPr>
              <w:t>2560.32</w:t>
            </w:r>
            <w:r>
              <w:rPr>
                <w:rFonts w:hint="eastAsia" w:ascii="Times New Roman" w:hAnsi="Times New Roman"/>
                <w:color w:val="auto"/>
                <w:spacing w:val="-10"/>
                <w:sz w:val="24"/>
                <w:highlight w:val="none"/>
                <w:lang w:eastAsia="zh-CN"/>
              </w:rPr>
              <w:t>m</w:t>
            </w:r>
            <w:r>
              <w:rPr>
                <w:rFonts w:hint="eastAsia" w:ascii="Times New Roman" w:hAnsi="Times New Roman"/>
                <w:color w:val="auto"/>
                <w:spacing w:val="-10"/>
                <w:sz w:val="24"/>
                <w:highlight w:val="none"/>
                <w:vertAlign w:val="superscript"/>
                <w:lang w:eastAsia="zh-CN"/>
              </w:rPr>
              <w:t>3</w:t>
            </w:r>
            <w:r>
              <w:rPr>
                <w:rFonts w:hint="eastAsia" w:ascii="Times New Roman" w:hAnsi="Times New Roman"/>
                <w:color w:val="auto"/>
                <w:spacing w:val="-10"/>
                <w:sz w:val="24"/>
                <w:highlight w:val="none"/>
                <w:lang w:eastAsia="zh-CN"/>
              </w:rPr>
              <w:t>/h，</w:t>
            </w:r>
            <w:r>
              <w:rPr>
                <w:rFonts w:hint="eastAsia" w:ascii="Times New Roman" w:hAnsi="Times New Roman"/>
                <w:color w:val="auto"/>
                <w:spacing w:val="-10"/>
                <w:sz w:val="24"/>
                <w:highlight w:val="none"/>
                <w:lang w:val="en-US" w:eastAsia="zh-CN"/>
              </w:rPr>
              <w:t>则设计风量为3000</w:t>
            </w:r>
            <w:r>
              <w:rPr>
                <w:rFonts w:hint="eastAsia" w:ascii="Times New Roman" w:hAnsi="Times New Roman"/>
                <w:color w:val="auto"/>
                <w:spacing w:val="-10"/>
                <w:sz w:val="24"/>
                <w:highlight w:val="none"/>
                <w:lang w:eastAsia="zh-CN"/>
              </w:rPr>
              <w:t>m</w:t>
            </w:r>
            <w:r>
              <w:rPr>
                <w:rFonts w:hint="eastAsia" w:ascii="Times New Roman" w:hAnsi="Times New Roman"/>
                <w:color w:val="auto"/>
                <w:spacing w:val="-10"/>
                <w:sz w:val="24"/>
                <w:highlight w:val="none"/>
                <w:vertAlign w:val="superscript"/>
                <w:lang w:eastAsia="zh-CN"/>
              </w:rPr>
              <w:t>3</w:t>
            </w:r>
            <w:r>
              <w:rPr>
                <w:rFonts w:hint="eastAsia" w:ascii="Times New Roman" w:hAnsi="Times New Roman"/>
                <w:color w:val="auto"/>
                <w:spacing w:val="-10"/>
                <w:sz w:val="24"/>
                <w:highlight w:val="none"/>
                <w:lang w:eastAsia="zh-CN"/>
              </w:rPr>
              <w:t>/h</w:t>
            </w:r>
            <w:r>
              <w:rPr>
                <w:rFonts w:hint="eastAsia" w:ascii="Times New Roman" w:hAnsi="Times New Roman"/>
                <w:color w:val="auto"/>
                <w:spacing w:val="-10"/>
                <w:sz w:val="24"/>
                <w:highlight w:val="none"/>
                <w:lang w:val="en-US" w:eastAsia="zh-CN"/>
              </w:rPr>
              <w:t>的风机能够满足要求。</w:t>
            </w:r>
          </w:p>
          <w:p>
            <w:pPr>
              <w:pageBreakBefore w:val="0"/>
              <w:numPr>
                <w:ilvl w:val="-1"/>
                <w:numId w:val="0"/>
              </w:numPr>
              <w:kinsoku/>
              <w:wordWrap/>
              <w:overflowPunct/>
              <w:topLinePunct w:val="0"/>
              <w:autoSpaceDE/>
              <w:autoSpaceDN/>
              <w:bidi w:val="0"/>
              <w:adjustRightInd/>
              <w:snapToGrid/>
              <w:spacing w:line="500" w:lineRule="exact"/>
              <w:ind w:left="0" w:leftChars="0" w:firstLine="482" w:firstLineChars="200"/>
              <w:textAlignment w:val="auto"/>
              <w:rPr>
                <w:rFonts w:hint="default"/>
                <w:b/>
                <w:bCs/>
                <w:spacing w:val="0"/>
                <w:sz w:val="24"/>
                <w:szCs w:val="24"/>
                <w:lang w:val="en-US" w:eastAsia="zh-CN"/>
              </w:rPr>
            </w:pPr>
            <w:r>
              <w:rPr>
                <w:rFonts w:hint="default" w:ascii="Times New Roman" w:hAnsi="Times New Roman" w:cs="Times New Roman"/>
                <w:b/>
                <w:bCs/>
                <w:color w:val="auto"/>
                <w:spacing w:val="0"/>
                <w:kern w:val="0"/>
                <w:sz w:val="24"/>
                <w:szCs w:val="24"/>
                <w:lang w:val="en-US" w:eastAsia="zh-CN" w:bidi="ar"/>
              </w:rPr>
              <w:t>3</w:t>
            </w:r>
            <w:r>
              <w:rPr>
                <w:rFonts w:hint="eastAsia" w:ascii="Times New Roman" w:hAnsi="Times New Roman" w:cs="Times New Roman"/>
                <w:b/>
                <w:bCs/>
                <w:color w:val="auto"/>
                <w:spacing w:val="0"/>
                <w:kern w:val="0"/>
                <w:sz w:val="24"/>
                <w:szCs w:val="24"/>
                <w:lang w:val="en-US" w:eastAsia="zh-CN" w:bidi="ar"/>
              </w:rPr>
              <w:t>）</w:t>
            </w:r>
            <w:r>
              <w:rPr>
                <w:rFonts w:hint="eastAsia" w:ascii="宋体" w:hAnsi="宋体" w:eastAsia="宋体" w:cs="宋体"/>
                <w:b/>
                <w:bCs/>
                <w:color w:val="auto"/>
                <w:spacing w:val="0"/>
                <w:kern w:val="0"/>
                <w:sz w:val="24"/>
                <w:szCs w:val="24"/>
                <w:lang w:val="en-US" w:eastAsia="zh-CN" w:bidi="ar"/>
              </w:rPr>
              <w:t>废气处理技术可行性分析</w:t>
            </w:r>
          </w:p>
          <w:p>
            <w:pPr>
              <w:pStyle w:val="43"/>
              <w:numPr>
                <w:ilvl w:val="0"/>
                <w:numId w:val="0"/>
              </w:numPr>
              <w:adjustRightInd w:val="0"/>
              <w:snapToGrid w:val="0"/>
              <w:spacing w:line="500" w:lineRule="exact"/>
              <w:ind w:firstLine="480" w:firstLineChars="200"/>
              <w:rPr>
                <w:rFonts w:hint="eastAsia" w:ascii="Times New Roman" w:hAnsi="Times New Roman" w:eastAsia="宋体"/>
                <w:color w:val="auto"/>
                <w:spacing w:val="0"/>
                <w:highlight w:val="none"/>
                <w:lang w:eastAsia="zh-CN"/>
              </w:rPr>
            </w:pPr>
            <w:r>
              <w:rPr>
                <w:rFonts w:hint="eastAsia" w:ascii="宋体" w:hAnsi="宋体" w:eastAsia="宋体" w:cs="宋体"/>
                <w:b w:val="0"/>
                <w:bCs w:val="0"/>
                <w:color w:val="auto"/>
                <w:spacing w:val="0"/>
                <w:kern w:val="0"/>
                <w:sz w:val="24"/>
                <w:szCs w:val="24"/>
                <w:lang w:val="en-US" w:eastAsia="zh-CN" w:bidi="ar"/>
              </w:rPr>
              <w:t>①二级活性炭：</w:t>
            </w:r>
            <w:r>
              <w:rPr>
                <w:rFonts w:hint="eastAsia" w:ascii="Times New Roman" w:hAnsi="Times New Roman"/>
                <w:color w:val="auto"/>
                <w:spacing w:val="0"/>
                <w:highlight w:val="none"/>
              </w:rPr>
              <w:t>二级活性炭吸附装置是由两个独立的活性炭吸附箱体串联而成的吸附装置。每级活性炭吸附箱体是由活性炭纤维筒吸附装置、排风管和排风机、排气筒等组成。该装置在系统主风机的作用下，废气从塔体进风口处进入吸附塔体内的各吸附单元，利用高性能活性炭吸附剂固体本身的表面作用力将有机废气分子吸附质吸引附着在吸附剂表面，经吸附后的干净气体透过吸附单元进入塔体内的净气室并汇集至风口排出。随操作时间之增加，吸附剂将逐渐趋于饱和现象，所以活性炭在使用过程中性能会逐渐衰减，需定期进行更换。根据《大气中VOCs的污染现状及治理技术研究进展》（环境科学与管理2012年第37卷第6期）中数据，单级活性炭吸附装置对有机废气去除效率通常可达70%，故二级活性炭吸附装置去除效率可达90%以上。</w:t>
            </w:r>
          </w:p>
          <w:p>
            <w:pPr>
              <w:spacing w:before="156" w:beforeLines="50"/>
              <w:jc w:val="center"/>
              <w:rPr>
                <w:rFonts w:ascii="Times New Roman" w:hAnsi="Times New Roman" w:eastAsia="宋体" w:cs="Times New Roman"/>
                <w:b/>
                <w:bCs/>
                <w:color w:val="auto"/>
                <w:spacing w:val="0"/>
                <w:kern w:val="0"/>
                <w:sz w:val="24"/>
                <w:szCs w:val="24"/>
                <w:highlight w:val="none"/>
                <w:lang w:val="en-US" w:eastAsia="zh-CN" w:bidi="ar-SA"/>
              </w:rPr>
            </w:pPr>
            <w:r>
              <w:rPr>
                <w:rFonts w:ascii="Times New Roman" w:hAnsi="Times New Roman" w:eastAsia="宋体" w:cs="Times New Roman"/>
                <w:b/>
                <w:bCs/>
                <w:color w:val="auto"/>
                <w:spacing w:val="0"/>
                <w:kern w:val="0"/>
                <w:sz w:val="24"/>
                <w:szCs w:val="24"/>
                <w:highlight w:val="none"/>
                <w:lang w:val="en-US" w:eastAsia="zh-CN" w:bidi="ar-SA"/>
              </w:rPr>
              <w:t>表</w:t>
            </w:r>
            <w:r>
              <w:rPr>
                <w:rFonts w:hint="eastAsia" w:ascii="Times New Roman" w:hAnsi="Times New Roman" w:eastAsia="宋体" w:cs="Times New Roman"/>
                <w:b/>
                <w:bCs/>
                <w:color w:val="auto"/>
                <w:spacing w:val="0"/>
                <w:kern w:val="0"/>
                <w:sz w:val="24"/>
                <w:szCs w:val="24"/>
                <w:highlight w:val="none"/>
                <w:lang w:val="en-US" w:eastAsia="zh-CN" w:bidi="ar-SA"/>
              </w:rPr>
              <w:t>4-</w:t>
            </w:r>
            <w:r>
              <w:rPr>
                <w:rFonts w:hint="eastAsia" w:cs="Times New Roman"/>
                <w:b/>
                <w:bCs/>
                <w:color w:val="auto"/>
                <w:spacing w:val="0"/>
                <w:kern w:val="0"/>
                <w:sz w:val="24"/>
                <w:szCs w:val="24"/>
                <w:highlight w:val="none"/>
                <w:lang w:val="en-US" w:eastAsia="zh-CN" w:bidi="ar-SA"/>
              </w:rPr>
              <w:t>9</w:t>
            </w:r>
            <w:r>
              <w:rPr>
                <w:rFonts w:ascii="Times New Roman" w:hAnsi="Times New Roman" w:eastAsia="宋体" w:cs="Times New Roman"/>
                <w:b/>
                <w:bCs/>
                <w:color w:val="auto"/>
                <w:spacing w:val="0"/>
                <w:kern w:val="0"/>
                <w:sz w:val="24"/>
                <w:szCs w:val="24"/>
                <w:highlight w:val="none"/>
                <w:lang w:val="en-US" w:eastAsia="zh-CN" w:bidi="ar-SA"/>
              </w:rPr>
              <w:t xml:space="preserve"> </w:t>
            </w:r>
            <w:r>
              <w:rPr>
                <w:rFonts w:hint="eastAsia" w:ascii="Times New Roman" w:hAnsi="Times New Roman" w:eastAsia="宋体" w:cs="Times New Roman"/>
                <w:b/>
                <w:bCs/>
                <w:color w:val="auto"/>
                <w:spacing w:val="0"/>
                <w:kern w:val="0"/>
                <w:sz w:val="24"/>
                <w:szCs w:val="24"/>
                <w:highlight w:val="none"/>
                <w:lang w:val="en-US" w:eastAsia="zh-CN" w:bidi="ar-SA"/>
              </w:rPr>
              <w:t xml:space="preserve"> </w:t>
            </w:r>
            <w:r>
              <w:rPr>
                <w:rFonts w:ascii="Times New Roman" w:hAnsi="Times New Roman" w:eastAsia="宋体" w:cs="Times New Roman"/>
                <w:b/>
                <w:bCs/>
                <w:color w:val="auto"/>
                <w:spacing w:val="0"/>
                <w:kern w:val="0"/>
                <w:sz w:val="24"/>
                <w:szCs w:val="24"/>
                <w:highlight w:val="none"/>
                <w:lang w:val="en-US" w:eastAsia="zh-CN" w:bidi="ar-SA"/>
              </w:rPr>
              <w:t>活性炭净化器设备参数</w:t>
            </w:r>
          </w:p>
          <w:tbl>
            <w:tblPr>
              <w:tblStyle w:val="18"/>
              <w:tblW w:w="4915"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585"/>
              <w:gridCol w:w="2974"/>
              <w:gridCol w:w="402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tblHeader/>
                <w:jc w:val="center"/>
              </w:trPr>
              <w:tc>
                <w:tcPr>
                  <w:tcW w:w="923" w:type="pct"/>
                  <w:tcBorders>
                    <w:tl2br w:val="nil"/>
                    <w:tr2bl w:val="nil"/>
                  </w:tcBorders>
                  <w:noWrap w:val="0"/>
                  <w:vAlign w:val="center"/>
                </w:tcPr>
                <w:p>
                  <w:pPr>
                    <w:pStyle w:val="42"/>
                    <w:rPr>
                      <w:rFonts w:ascii="Times New Roman"/>
                      <w:b/>
                      <w:bCs/>
                      <w:color w:val="auto"/>
                    </w:rPr>
                  </w:pPr>
                  <w:r>
                    <w:rPr>
                      <w:rFonts w:ascii="Times New Roman"/>
                      <w:b/>
                      <w:bCs/>
                      <w:color w:val="auto"/>
                    </w:rPr>
                    <w:t>序号</w:t>
                  </w:r>
                </w:p>
              </w:tc>
              <w:tc>
                <w:tcPr>
                  <w:tcW w:w="1731" w:type="pct"/>
                  <w:tcBorders>
                    <w:tl2br w:val="nil"/>
                    <w:tr2bl w:val="nil"/>
                  </w:tcBorders>
                  <w:noWrap w:val="0"/>
                  <w:vAlign w:val="center"/>
                </w:tcPr>
                <w:p>
                  <w:pPr>
                    <w:pStyle w:val="42"/>
                    <w:rPr>
                      <w:rFonts w:ascii="Times New Roman"/>
                      <w:b/>
                      <w:bCs/>
                      <w:color w:val="auto"/>
                    </w:rPr>
                  </w:pPr>
                  <w:r>
                    <w:rPr>
                      <w:rFonts w:ascii="Times New Roman"/>
                      <w:b/>
                      <w:bCs/>
                      <w:color w:val="auto"/>
                    </w:rPr>
                    <w:t>项目</w:t>
                  </w:r>
                </w:p>
              </w:tc>
              <w:tc>
                <w:tcPr>
                  <w:tcW w:w="2345" w:type="pct"/>
                  <w:tcBorders>
                    <w:tl2br w:val="nil"/>
                    <w:tr2bl w:val="nil"/>
                  </w:tcBorders>
                  <w:noWrap w:val="0"/>
                  <w:vAlign w:val="center"/>
                </w:tcPr>
                <w:p>
                  <w:pPr>
                    <w:pStyle w:val="42"/>
                    <w:rPr>
                      <w:rFonts w:ascii="Times New Roman"/>
                      <w:b/>
                      <w:bCs/>
                      <w:color w:val="auto"/>
                    </w:rPr>
                  </w:pPr>
                  <w:r>
                    <w:rPr>
                      <w:rFonts w:ascii="Times New Roman"/>
                      <w:b/>
                      <w:bCs/>
                      <w:color w:val="auto"/>
                    </w:rPr>
                    <w:t>技术指标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tcBorders>
                    <w:tl2br w:val="nil"/>
                    <w:tr2bl w:val="nil"/>
                  </w:tcBorders>
                  <w:noWrap w:val="0"/>
                  <w:vAlign w:val="center"/>
                </w:tcPr>
                <w:p>
                  <w:pPr>
                    <w:pStyle w:val="42"/>
                    <w:rPr>
                      <w:rFonts w:ascii="Times New Roman"/>
                      <w:color w:val="auto"/>
                    </w:rPr>
                  </w:pPr>
                  <w:r>
                    <w:rPr>
                      <w:rFonts w:ascii="Times New Roman"/>
                      <w:color w:val="auto"/>
                    </w:rPr>
                    <w:t>1</w:t>
                  </w:r>
                </w:p>
              </w:tc>
              <w:tc>
                <w:tcPr>
                  <w:tcW w:w="1731" w:type="pct"/>
                  <w:tcBorders>
                    <w:tl2br w:val="nil"/>
                    <w:tr2bl w:val="nil"/>
                  </w:tcBorders>
                  <w:noWrap w:val="0"/>
                  <w:vAlign w:val="center"/>
                </w:tcPr>
                <w:p>
                  <w:pPr>
                    <w:pStyle w:val="42"/>
                    <w:rPr>
                      <w:rFonts w:ascii="Times New Roman"/>
                      <w:color w:val="auto"/>
                    </w:rPr>
                  </w:pPr>
                  <w:r>
                    <w:rPr>
                      <w:rFonts w:hint="eastAsia" w:ascii="Times New Roman"/>
                      <w:color w:val="auto"/>
                    </w:rPr>
                    <w:t>设计风量Q</w:t>
                  </w:r>
                </w:p>
              </w:tc>
              <w:tc>
                <w:tcPr>
                  <w:tcW w:w="2345" w:type="pct"/>
                  <w:tcBorders>
                    <w:tl2br w:val="nil"/>
                    <w:tr2bl w:val="nil"/>
                  </w:tcBorders>
                  <w:noWrap w:val="0"/>
                  <w:vAlign w:val="center"/>
                </w:tcPr>
                <w:p>
                  <w:pPr>
                    <w:pStyle w:val="42"/>
                    <w:rPr>
                      <w:rFonts w:ascii="Times New Roman"/>
                      <w:color w:val="auto"/>
                    </w:rPr>
                  </w:pPr>
                  <w:r>
                    <w:rPr>
                      <w:rFonts w:hint="eastAsia" w:ascii="Times New Roman"/>
                      <w:color w:val="auto"/>
                      <w:lang w:val="en-US" w:eastAsia="zh-CN"/>
                    </w:rPr>
                    <w:t>7000</w:t>
                  </w:r>
                  <w:r>
                    <w:rPr>
                      <w:rFonts w:ascii="Times New Roman"/>
                      <w:color w:val="auto"/>
                    </w:rPr>
                    <w:t>m</w:t>
                  </w:r>
                  <w:r>
                    <w:rPr>
                      <w:rFonts w:ascii="Times New Roman"/>
                      <w:color w:val="auto"/>
                      <w:vertAlign w:val="superscript"/>
                    </w:rPr>
                    <w:t>3</w:t>
                  </w:r>
                  <w:r>
                    <w:rPr>
                      <w:rFonts w:ascii="Times New Roman"/>
                      <w:color w:val="auto"/>
                    </w:rPr>
                    <w:t>/h</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tcBorders>
                    <w:tl2br w:val="nil"/>
                    <w:tr2bl w:val="nil"/>
                  </w:tcBorders>
                  <w:noWrap w:val="0"/>
                  <w:vAlign w:val="center"/>
                </w:tcPr>
                <w:p>
                  <w:pPr>
                    <w:pStyle w:val="42"/>
                    <w:rPr>
                      <w:rFonts w:ascii="Times New Roman"/>
                      <w:color w:val="auto"/>
                    </w:rPr>
                  </w:pPr>
                  <w:r>
                    <w:rPr>
                      <w:rFonts w:ascii="Times New Roman"/>
                      <w:color w:val="auto"/>
                    </w:rPr>
                    <w:t>2</w:t>
                  </w:r>
                </w:p>
              </w:tc>
              <w:tc>
                <w:tcPr>
                  <w:tcW w:w="1731" w:type="pct"/>
                  <w:tcBorders>
                    <w:tl2br w:val="nil"/>
                    <w:tr2bl w:val="nil"/>
                  </w:tcBorders>
                  <w:noWrap w:val="0"/>
                  <w:vAlign w:val="center"/>
                </w:tcPr>
                <w:p>
                  <w:pPr>
                    <w:pStyle w:val="42"/>
                    <w:rPr>
                      <w:rFonts w:ascii="Times New Roman"/>
                      <w:color w:val="auto"/>
                    </w:rPr>
                  </w:pPr>
                  <w:r>
                    <w:rPr>
                      <w:rFonts w:hint="eastAsia" w:ascii="Times New Roman"/>
                      <w:color w:val="auto"/>
                    </w:rPr>
                    <w:t>箱体规格</w:t>
                  </w:r>
                </w:p>
              </w:tc>
              <w:tc>
                <w:tcPr>
                  <w:tcW w:w="2345" w:type="pct"/>
                  <w:tcBorders>
                    <w:tl2br w:val="nil"/>
                    <w:tr2bl w:val="nil"/>
                  </w:tcBorders>
                  <w:noWrap w:val="0"/>
                  <w:vAlign w:val="center"/>
                </w:tcPr>
                <w:p>
                  <w:pPr>
                    <w:pStyle w:val="42"/>
                    <w:rPr>
                      <w:rFonts w:ascii="Times New Roman"/>
                      <w:color w:val="auto"/>
                    </w:rPr>
                  </w:pPr>
                  <w:r>
                    <w:rPr>
                      <w:rFonts w:hint="eastAsia" w:ascii="Times New Roman"/>
                      <w:color w:val="auto"/>
                    </w:rPr>
                    <w:t>L</w:t>
                  </w:r>
                  <w:r>
                    <w:rPr>
                      <w:rFonts w:hint="eastAsia" w:ascii="Times New Roman"/>
                      <w:color w:val="auto"/>
                      <w:lang w:val="en-US" w:eastAsia="zh-CN"/>
                    </w:rPr>
                    <w:t>20</w:t>
                  </w:r>
                  <w:r>
                    <w:rPr>
                      <w:rFonts w:hint="eastAsia" w:ascii="Times New Roman"/>
                      <w:color w:val="auto"/>
                    </w:rPr>
                    <w:t>00mm×W</w:t>
                  </w:r>
                  <w:r>
                    <w:rPr>
                      <w:rFonts w:hint="eastAsia" w:ascii="Times New Roman"/>
                      <w:color w:val="auto"/>
                      <w:lang w:val="en-US" w:eastAsia="zh-CN"/>
                    </w:rPr>
                    <w:t>15</w:t>
                  </w:r>
                  <w:r>
                    <w:rPr>
                      <w:rFonts w:hint="eastAsia" w:ascii="Times New Roman"/>
                      <w:color w:val="auto"/>
                    </w:rPr>
                    <w:t>00mm×H</w:t>
                  </w:r>
                  <w:r>
                    <w:rPr>
                      <w:rFonts w:hint="eastAsia" w:ascii="Times New Roman"/>
                      <w:color w:val="auto"/>
                      <w:lang w:val="en-US" w:eastAsia="zh-CN"/>
                    </w:rPr>
                    <w:t>1600</w:t>
                  </w:r>
                  <w:r>
                    <w:rPr>
                      <w:rFonts w:hint="eastAsia" w:ascii="Times New Roman"/>
                      <w:color w:val="auto"/>
                    </w:rPr>
                    <w:t>mm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tcBorders>
                    <w:tl2br w:val="nil"/>
                    <w:tr2bl w:val="nil"/>
                  </w:tcBorders>
                  <w:noWrap w:val="0"/>
                  <w:vAlign w:val="center"/>
                </w:tcPr>
                <w:p>
                  <w:pPr>
                    <w:pStyle w:val="42"/>
                    <w:rPr>
                      <w:rFonts w:ascii="Times New Roman"/>
                      <w:color w:val="auto"/>
                    </w:rPr>
                  </w:pPr>
                  <w:r>
                    <w:rPr>
                      <w:rFonts w:ascii="Times New Roman"/>
                      <w:color w:val="auto"/>
                    </w:rPr>
                    <w:t>3</w:t>
                  </w:r>
                </w:p>
              </w:tc>
              <w:tc>
                <w:tcPr>
                  <w:tcW w:w="1731" w:type="pct"/>
                  <w:tcBorders>
                    <w:tl2br w:val="nil"/>
                    <w:tr2bl w:val="nil"/>
                  </w:tcBorders>
                  <w:noWrap w:val="0"/>
                  <w:vAlign w:val="center"/>
                </w:tcPr>
                <w:p>
                  <w:pPr>
                    <w:pStyle w:val="42"/>
                    <w:rPr>
                      <w:rFonts w:ascii="Times New Roman"/>
                      <w:color w:val="auto"/>
                    </w:rPr>
                  </w:pPr>
                  <w:r>
                    <w:rPr>
                      <w:rFonts w:hint="eastAsia" w:ascii="Times New Roman"/>
                      <w:color w:val="auto"/>
                    </w:rPr>
                    <w:t>碳层规格</w:t>
                  </w:r>
                </w:p>
              </w:tc>
              <w:tc>
                <w:tcPr>
                  <w:tcW w:w="2345" w:type="pct"/>
                  <w:tcBorders>
                    <w:tl2br w:val="nil"/>
                    <w:tr2bl w:val="nil"/>
                  </w:tcBorders>
                  <w:noWrap w:val="0"/>
                  <w:vAlign w:val="center"/>
                </w:tcPr>
                <w:p>
                  <w:pPr>
                    <w:pStyle w:val="42"/>
                    <w:rPr>
                      <w:rFonts w:ascii="Times New Roman"/>
                      <w:color w:val="auto"/>
                    </w:rPr>
                  </w:pPr>
                  <w:r>
                    <w:rPr>
                      <w:rFonts w:hint="eastAsia" w:ascii="Times New Roman"/>
                      <w:color w:val="auto"/>
                    </w:rPr>
                    <w:t>L</w:t>
                  </w:r>
                  <w:r>
                    <w:rPr>
                      <w:rFonts w:hint="eastAsia" w:ascii="Times New Roman"/>
                      <w:color w:val="auto"/>
                      <w:lang w:val="en-US" w:eastAsia="zh-CN"/>
                    </w:rPr>
                    <w:t>1</w:t>
                  </w:r>
                  <w:r>
                    <w:rPr>
                      <w:rFonts w:hint="eastAsia"/>
                      <w:color w:val="auto"/>
                      <w:lang w:val="en-US" w:eastAsia="zh-CN"/>
                    </w:rPr>
                    <w:t>5</w:t>
                  </w:r>
                  <w:r>
                    <w:rPr>
                      <w:rFonts w:hint="eastAsia" w:ascii="Times New Roman"/>
                      <w:color w:val="auto"/>
                    </w:rPr>
                    <w:t>00mm×W</w:t>
                  </w:r>
                  <w:r>
                    <w:rPr>
                      <w:rFonts w:hint="eastAsia" w:ascii="Times New Roman"/>
                      <w:color w:val="auto"/>
                      <w:lang w:val="en-US" w:eastAsia="zh-CN"/>
                    </w:rPr>
                    <w:t>10</w:t>
                  </w:r>
                  <w:r>
                    <w:rPr>
                      <w:rFonts w:hint="eastAsia" w:ascii="Times New Roman"/>
                      <w:color w:val="auto"/>
                    </w:rPr>
                    <w:t>00mm×H</w:t>
                  </w:r>
                  <w:r>
                    <w:rPr>
                      <w:rFonts w:hint="eastAsia" w:ascii="Times New Roman"/>
                      <w:color w:val="auto"/>
                      <w:lang w:val="en-US" w:eastAsia="zh-CN"/>
                    </w:rPr>
                    <w:t>200</w:t>
                  </w:r>
                  <w:r>
                    <w:rPr>
                      <w:rFonts w:hint="eastAsia" w:ascii="Times New Roman"/>
                      <w:color w:val="auto"/>
                    </w:rPr>
                    <w:t>mm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tcBorders>
                    <w:tl2br w:val="nil"/>
                    <w:tr2bl w:val="nil"/>
                  </w:tcBorders>
                  <w:noWrap w:val="0"/>
                  <w:vAlign w:val="center"/>
                </w:tcPr>
                <w:p>
                  <w:pPr>
                    <w:pStyle w:val="42"/>
                    <w:rPr>
                      <w:rFonts w:ascii="Times New Roman"/>
                      <w:color w:val="auto"/>
                    </w:rPr>
                  </w:pPr>
                  <w:r>
                    <w:rPr>
                      <w:rFonts w:ascii="Times New Roman"/>
                      <w:color w:val="auto"/>
                    </w:rPr>
                    <w:t>4</w:t>
                  </w:r>
                </w:p>
              </w:tc>
              <w:tc>
                <w:tcPr>
                  <w:tcW w:w="1731" w:type="pct"/>
                  <w:tcBorders>
                    <w:tl2br w:val="nil"/>
                    <w:tr2bl w:val="nil"/>
                  </w:tcBorders>
                  <w:noWrap w:val="0"/>
                  <w:vAlign w:val="center"/>
                </w:tcPr>
                <w:p>
                  <w:pPr>
                    <w:pStyle w:val="42"/>
                    <w:rPr>
                      <w:rFonts w:ascii="Times New Roman"/>
                      <w:color w:val="auto"/>
                    </w:rPr>
                  </w:pPr>
                  <w:r>
                    <w:rPr>
                      <w:rFonts w:hint="eastAsia" w:ascii="Times New Roman"/>
                      <w:color w:val="auto"/>
                    </w:rPr>
                    <w:t>层数</w:t>
                  </w:r>
                </w:p>
              </w:tc>
              <w:tc>
                <w:tcPr>
                  <w:tcW w:w="2345" w:type="pct"/>
                  <w:tcBorders>
                    <w:tl2br w:val="nil"/>
                    <w:tr2bl w:val="nil"/>
                  </w:tcBorders>
                  <w:noWrap w:val="0"/>
                  <w:vAlign w:val="center"/>
                </w:tcPr>
                <w:p>
                  <w:pPr>
                    <w:pStyle w:val="42"/>
                    <w:rPr>
                      <w:rFonts w:ascii="Times New Roman"/>
                      <w:color w:val="auto"/>
                    </w:rPr>
                  </w:pPr>
                  <w:r>
                    <w:rPr>
                      <w:rFonts w:hint="eastAsia" w:ascii="Times New Roman"/>
                      <w:color w:val="auto"/>
                      <w:lang w:val="en-US" w:eastAsia="zh-CN"/>
                    </w:rPr>
                    <w:t>4</w:t>
                  </w:r>
                  <w:r>
                    <w:rPr>
                      <w:rFonts w:hint="eastAsia" w:ascii="Times New Roman"/>
                      <w:color w:val="auto"/>
                    </w:rPr>
                    <w:t>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tcBorders>
                    <w:tl2br w:val="nil"/>
                    <w:tr2bl w:val="nil"/>
                  </w:tcBorders>
                  <w:noWrap w:val="0"/>
                  <w:vAlign w:val="center"/>
                </w:tcPr>
                <w:p>
                  <w:pPr>
                    <w:pStyle w:val="42"/>
                    <w:rPr>
                      <w:rFonts w:ascii="Times New Roman"/>
                      <w:color w:val="auto"/>
                    </w:rPr>
                  </w:pPr>
                  <w:r>
                    <w:rPr>
                      <w:rFonts w:ascii="Times New Roman"/>
                      <w:color w:val="auto"/>
                    </w:rPr>
                    <w:t>5</w:t>
                  </w:r>
                </w:p>
              </w:tc>
              <w:tc>
                <w:tcPr>
                  <w:tcW w:w="2974" w:type="dxa"/>
                  <w:tcBorders>
                    <w:tl2br w:val="nil"/>
                    <w:tr2bl w:val="nil"/>
                  </w:tcBorders>
                  <w:noWrap w:val="0"/>
                  <w:vAlign w:val="center"/>
                </w:tcPr>
                <w:p>
                  <w:pPr>
                    <w:pStyle w:val="42"/>
                    <w:keepNext w:val="0"/>
                    <w:keepLines w:val="0"/>
                    <w:suppressLineNumbers w:val="0"/>
                    <w:spacing w:before="0" w:beforeAutospacing="0" w:after="0" w:afterAutospacing="0"/>
                    <w:ind w:left="0" w:leftChars="0" w:right="0" w:rightChars="0" w:firstLine="0" w:firstLineChars="0"/>
                    <w:jc w:val="center"/>
                    <w:rPr>
                      <w:rFonts w:ascii="Times New Roman"/>
                      <w:color w:val="auto"/>
                    </w:rPr>
                  </w:pPr>
                  <w:r>
                    <w:rPr>
                      <w:rFonts w:hint="eastAsia" w:ascii="Times New Roman" w:hAnsi="Times New Roman" w:eastAsia="宋体" w:cs="等线"/>
                      <w:color w:val="auto"/>
                    </w:rPr>
                    <w:t>活性炭类型</w:t>
                  </w:r>
                </w:p>
              </w:tc>
              <w:tc>
                <w:tcPr>
                  <w:tcW w:w="4028" w:type="dxa"/>
                  <w:tcBorders>
                    <w:tl2br w:val="nil"/>
                    <w:tr2bl w:val="nil"/>
                  </w:tcBorders>
                  <w:noWrap w:val="0"/>
                  <w:vAlign w:val="center"/>
                </w:tcPr>
                <w:p>
                  <w:pPr>
                    <w:pStyle w:val="42"/>
                    <w:keepNext w:val="0"/>
                    <w:keepLines w:val="0"/>
                    <w:suppressLineNumbers w:val="0"/>
                    <w:spacing w:before="0" w:beforeAutospacing="0" w:after="0" w:afterAutospacing="0"/>
                    <w:ind w:left="0" w:leftChars="0" w:right="0" w:rightChars="0" w:firstLine="0" w:firstLineChars="0"/>
                    <w:jc w:val="center"/>
                    <w:rPr>
                      <w:rFonts w:hint="default" w:ascii="Times New Roman" w:eastAsia="宋体"/>
                      <w:color w:val="auto"/>
                      <w:lang w:val="en-US" w:eastAsia="zh-CN"/>
                    </w:rPr>
                  </w:pPr>
                  <w:r>
                    <w:rPr>
                      <w:rFonts w:hint="eastAsia" w:ascii="Times New Roman" w:hAnsi="Times New Roman" w:eastAsia="宋体" w:cs="等线"/>
                      <w:color w:val="auto"/>
                      <w:lang w:val="en-US" w:eastAsia="zh-CN"/>
                    </w:rPr>
                    <w:t>蜂窝</w:t>
                  </w:r>
                  <w:r>
                    <w:rPr>
                      <w:rFonts w:hint="eastAsia" w:ascii="Times New Roman" w:hAnsi="Times New Roman" w:eastAsia="宋体" w:cs="等线"/>
                      <w:color w:val="auto"/>
                    </w:rPr>
                    <w:t>活性炭</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tcBorders>
                    <w:tl2br w:val="nil"/>
                    <w:tr2bl w:val="nil"/>
                  </w:tcBorders>
                  <w:noWrap w:val="0"/>
                  <w:vAlign w:val="center"/>
                </w:tcPr>
                <w:p>
                  <w:pPr>
                    <w:pStyle w:val="42"/>
                    <w:rPr>
                      <w:rFonts w:hint="eastAsia" w:ascii="Times New Roman" w:eastAsia="宋体"/>
                      <w:color w:val="auto"/>
                      <w:lang w:val="en-US" w:eastAsia="zh-CN"/>
                    </w:rPr>
                  </w:pPr>
                  <w:r>
                    <w:rPr>
                      <w:rFonts w:hint="eastAsia" w:ascii="Times New Roman"/>
                      <w:color w:val="auto"/>
                      <w:lang w:val="en-US" w:eastAsia="zh-CN"/>
                    </w:rPr>
                    <w:t>6</w:t>
                  </w:r>
                </w:p>
              </w:tc>
              <w:tc>
                <w:tcPr>
                  <w:tcW w:w="2974" w:type="dxa"/>
                  <w:tcBorders>
                    <w:tl2br w:val="nil"/>
                    <w:tr2bl w:val="nil"/>
                  </w:tcBorders>
                  <w:noWrap w:val="0"/>
                  <w:vAlign w:val="center"/>
                </w:tcPr>
                <w:p>
                  <w:pPr>
                    <w:pStyle w:val="42"/>
                    <w:keepNext w:val="0"/>
                    <w:keepLines w:val="0"/>
                    <w:suppressLineNumbers w:val="0"/>
                    <w:spacing w:before="0" w:beforeAutospacing="0" w:after="0" w:afterAutospacing="0"/>
                    <w:ind w:left="0" w:leftChars="0" w:right="0" w:rightChars="0" w:firstLine="0" w:firstLineChars="0"/>
                    <w:jc w:val="center"/>
                    <w:rPr>
                      <w:rFonts w:ascii="Times New Roman"/>
                      <w:color w:val="auto"/>
                    </w:rPr>
                  </w:pPr>
                  <w:r>
                    <w:rPr>
                      <w:rFonts w:hint="eastAsia" w:ascii="Times New Roman" w:hAnsi="Times New Roman" w:eastAsia="宋体" w:cs="等线"/>
                      <w:color w:val="auto"/>
                    </w:rPr>
                    <w:t>孔</w:t>
                  </w:r>
                  <w:r>
                    <w:rPr>
                      <w:rFonts w:hint="eastAsia" w:ascii="Times New Roman" w:hAnsi="Times New Roman" w:eastAsia="宋体" w:cs="等线"/>
                      <w:color w:val="auto"/>
                      <w:lang w:val="en-US" w:eastAsia="zh-CN"/>
                    </w:rPr>
                    <w:t>隙率</w:t>
                  </w:r>
                </w:p>
              </w:tc>
              <w:tc>
                <w:tcPr>
                  <w:tcW w:w="4028" w:type="dxa"/>
                  <w:tcBorders>
                    <w:tl2br w:val="nil"/>
                    <w:tr2bl w:val="nil"/>
                  </w:tcBorders>
                  <w:noWrap w:val="0"/>
                  <w:vAlign w:val="center"/>
                </w:tcPr>
                <w:p>
                  <w:pPr>
                    <w:pStyle w:val="42"/>
                    <w:keepNext w:val="0"/>
                    <w:keepLines w:val="0"/>
                    <w:suppressLineNumbers w:val="0"/>
                    <w:spacing w:before="0" w:beforeAutospacing="0" w:after="0" w:afterAutospacing="0"/>
                    <w:ind w:left="0" w:leftChars="0" w:right="0" w:rightChars="0" w:firstLine="0" w:firstLineChars="0"/>
                    <w:jc w:val="center"/>
                    <w:rPr>
                      <w:rFonts w:ascii="Times New Roman"/>
                      <w:color w:val="auto"/>
                    </w:rPr>
                  </w:pPr>
                  <w:r>
                    <w:rPr>
                      <w:rFonts w:hint="eastAsia" w:ascii="Times New Roman" w:hAnsi="Times New Roman" w:eastAsia="宋体" w:cs="等线"/>
                      <w:color w:val="auto"/>
                      <w:lang w:val="en-US" w:eastAsia="zh-CN"/>
                    </w:rPr>
                    <w:t>85%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tcBorders>
                    <w:tl2br w:val="nil"/>
                    <w:tr2bl w:val="nil"/>
                  </w:tcBorders>
                  <w:noWrap w:val="0"/>
                  <w:vAlign w:val="center"/>
                </w:tcPr>
                <w:p>
                  <w:pPr>
                    <w:pStyle w:val="42"/>
                    <w:rPr>
                      <w:rFonts w:hint="eastAsia" w:ascii="Times New Roman" w:eastAsia="宋体"/>
                      <w:color w:val="auto"/>
                      <w:lang w:val="en-US" w:eastAsia="zh-CN"/>
                    </w:rPr>
                  </w:pPr>
                  <w:r>
                    <w:rPr>
                      <w:rFonts w:hint="eastAsia" w:ascii="Times New Roman"/>
                      <w:color w:val="auto"/>
                      <w:lang w:val="en-US" w:eastAsia="zh-CN"/>
                    </w:rPr>
                    <w:t>7</w:t>
                  </w:r>
                </w:p>
              </w:tc>
              <w:tc>
                <w:tcPr>
                  <w:tcW w:w="2974" w:type="dxa"/>
                  <w:tcBorders>
                    <w:tl2br w:val="nil"/>
                    <w:tr2bl w:val="nil"/>
                  </w:tcBorders>
                  <w:noWrap w:val="0"/>
                  <w:vAlign w:val="center"/>
                </w:tcPr>
                <w:p>
                  <w:pPr>
                    <w:pStyle w:val="42"/>
                    <w:keepNext w:val="0"/>
                    <w:keepLines w:val="0"/>
                    <w:suppressLineNumbers w:val="0"/>
                    <w:spacing w:before="0" w:beforeAutospacing="0" w:after="0" w:afterAutospacing="0"/>
                    <w:ind w:left="0" w:leftChars="0" w:right="0" w:rightChars="0" w:firstLine="0" w:firstLineChars="0"/>
                    <w:jc w:val="center"/>
                    <w:rPr>
                      <w:rFonts w:ascii="Times New Roman"/>
                      <w:color w:val="auto"/>
                    </w:rPr>
                  </w:pPr>
                  <w:r>
                    <w:rPr>
                      <w:rFonts w:hint="eastAsia" w:ascii="Times New Roman" w:hAnsi="Times New Roman" w:eastAsia="宋体" w:cs="等线"/>
                      <w:color w:val="auto"/>
                    </w:rPr>
                    <w:t>活性炭密度</w:t>
                  </w:r>
                </w:p>
              </w:tc>
              <w:tc>
                <w:tcPr>
                  <w:tcW w:w="4028" w:type="dxa"/>
                  <w:tcBorders>
                    <w:tl2br w:val="nil"/>
                    <w:tr2bl w:val="nil"/>
                  </w:tcBorders>
                  <w:noWrap w:val="0"/>
                  <w:vAlign w:val="center"/>
                </w:tcPr>
                <w:p>
                  <w:pPr>
                    <w:pStyle w:val="42"/>
                    <w:keepNext w:val="0"/>
                    <w:keepLines w:val="0"/>
                    <w:suppressLineNumbers w:val="0"/>
                    <w:spacing w:before="0" w:beforeAutospacing="0" w:after="0" w:afterAutospacing="0"/>
                    <w:ind w:left="0" w:leftChars="0" w:right="0" w:rightChars="0" w:firstLine="0" w:firstLineChars="0"/>
                    <w:jc w:val="center"/>
                    <w:rPr>
                      <w:rFonts w:ascii="Times New Roman"/>
                      <w:color w:val="auto"/>
                    </w:rPr>
                  </w:pPr>
                  <w:r>
                    <w:rPr>
                      <w:rFonts w:ascii="Times New Roman" w:hAnsi="Times New Roman" w:eastAsia="宋体" w:cs="等线"/>
                      <w:color w:val="auto"/>
                    </w:rPr>
                    <w:t>0.</w:t>
                  </w:r>
                  <w:r>
                    <w:rPr>
                      <w:rFonts w:hint="eastAsia" w:ascii="Times New Roman" w:hAnsi="Times New Roman" w:eastAsia="宋体" w:cs="等线"/>
                      <w:color w:val="auto"/>
                      <w:lang w:val="en-US" w:eastAsia="zh-CN"/>
                    </w:rPr>
                    <w:t>4</w:t>
                  </w:r>
                  <w:r>
                    <w:rPr>
                      <w:rFonts w:ascii="Times New Roman" w:hAnsi="Times New Roman" w:eastAsia="宋体" w:cs="等线"/>
                      <w:color w:val="auto"/>
                    </w:rPr>
                    <w:t>g/cm</w:t>
                  </w:r>
                  <w:r>
                    <w:rPr>
                      <w:rFonts w:ascii="Times New Roman" w:hAnsi="Times New Roman" w:eastAsia="宋体" w:cs="等线"/>
                      <w:color w:val="auto"/>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tcBorders>
                    <w:tl2br w:val="nil"/>
                    <w:tr2bl w:val="nil"/>
                  </w:tcBorders>
                  <w:noWrap w:val="0"/>
                  <w:vAlign w:val="center"/>
                </w:tcPr>
                <w:p>
                  <w:pPr>
                    <w:pStyle w:val="42"/>
                    <w:rPr>
                      <w:rFonts w:hint="default" w:ascii="Times New Roman" w:eastAsia="宋体"/>
                      <w:color w:val="auto"/>
                      <w:lang w:val="en-US" w:eastAsia="zh-CN"/>
                    </w:rPr>
                  </w:pPr>
                  <w:r>
                    <w:rPr>
                      <w:rFonts w:hint="eastAsia" w:ascii="Times New Roman"/>
                      <w:color w:val="auto"/>
                      <w:lang w:val="en-US" w:eastAsia="zh-CN"/>
                    </w:rPr>
                    <w:t>9</w:t>
                  </w:r>
                </w:p>
              </w:tc>
              <w:tc>
                <w:tcPr>
                  <w:tcW w:w="2974" w:type="dxa"/>
                  <w:tcBorders>
                    <w:tl2br w:val="nil"/>
                    <w:tr2bl w:val="nil"/>
                  </w:tcBorders>
                  <w:noWrap w:val="0"/>
                  <w:vAlign w:val="center"/>
                </w:tcPr>
                <w:p>
                  <w:pPr>
                    <w:pStyle w:val="42"/>
                    <w:keepNext w:val="0"/>
                    <w:keepLines w:val="0"/>
                    <w:suppressLineNumbers w:val="0"/>
                    <w:spacing w:before="0" w:beforeAutospacing="0" w:after="0" w:afterAutospacing="0"/>
                    <w:ind w:left="0" w:leftChars="0" w:right="0" w:rightChars="0" w:firstLine="0" w:firstLineChars="0"/>
                    <w:jc w:val="center"/>
                    <w:rPr>
                      <w:rFonts w:ascii="Times New Roman"/>
                      <w:color w:val="auto"/>
                    </w:rPr>
                  </w:pPr>
                  <w:r>
                    <w:rPr>
                      <w:rFonts w:hint="eastAsia" w:ascii="Times New Roman" w:hAnsi="Times New Roman" w:eastAsia="宋体" w:cs="等线"/>
                      <w:color w:val="auto"/>
                    </w:rPr>
                    <w:t>吸入温度</w:t>
                  </w:r>
                </w:p>
              </w:tc>
              <w:tc>
                <w:tcPr>
                  <w:tcW w:w="4028" w:type="dxa"/>
                  <w:tcBorders>
                    <w:tl2br w:val="nil"/>
                    <w:tr2bl w:val="nil"/>
                  </w:tcBorders>
                  <w:noWrap w:val="0"/>
                  <w:vAlign w:val="center"/>
                </w:tcPr>
                <w:p>
                  <w:pPr>
                    <w:pStyle w:val="42"/>
                    <w:keepNext w:val="0"/>
                    <w:keepLines w:val="0"/>
                    <w:suppressLineNumbers w:val="0"/>
                    <w:spacing w:before="0" w:beforeAutospacing="0" w:after="0" w:afterAutospacing="0"/>
                    <w:ind w:left="0" w:leftChars="0" w:right="0" w:rightChars="0" w:firstLine="0" w:firstLineChars="0"/>
                    <w:jc w:val="center"/>
                    <w:rPr>
                      <w:rFonts w:ascii="Times New Roman"/>
                      <w:color w:val="auto"/>
                    </w:rPr>
                  </w:pPr>
                  <w:r>
                    <w:rPr>
                      <w:rFonts w:hint="default" w:ascii="Times New Roman" w:hAnsi="Times New Roman" w:eastAsia="宋体" w:cs="Times New Roman"/>
                      <w:color w:val="auto"/>
                      <w:lang w:val="en-US" w:eastAsia="zh-CN"/>
                    </w:rPr>
                    <w:t>&lt;</w:t>
                  </w:r>
                  <w:r>
                    <w:rPr>
                      <w:rFonts w:hint="eastAsia" w:ascii="Times New Roman" w:hAnsi="Times New Roman" w:eastAsia="宋体" w:cs="Times New Roman"/>
                      <w:color w:val="auto"/>
                      <w:lang w:val="en-US" w:eastAsia="zh-CN"/>
                    </w:rPr>
                    <w:t>40</w:t>
                  </w:r>
                  <w:r>
                    <w:rPr>
                      <w:rFonts w:hint="default" w:ascii="Times New Roman" w:hAnsi="Times New Roman" w:eastAsia="宋体" w:cs="Times New Roman"/>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tcBorders>
                    <w:tl2br w:val="nil"/>
                    <w:tr2bl w:val="nil"/>
                  </w:tcBorders>
                  <w:noWrap w:val="0"/>
                  <w:vAlign w:val="center"/>
                </w:tcPr>
                <w:p>
                  <w:pPr>
                    <w:pStyle w:val="42"/>
                    <w:ind w:left="0" w:leftChars="0" w:right="0" w:rightChars="0" w:firstLine="0" w:firstLineChars="0"/>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10</w:t>
                  </w:r>
                </w:p>
              </w:tc>
              <w:tc>
                <w:tcPr>
                  <w:tcW w:w="2974" w:type="dxa"/>
                  <w:tcBorders>
                    <w:tl2br w:val="nil"/>
                    <w:tr2bl w:val="nil"/>
                  </w:tcBorders>
                  <w:noWrap w:val="0"/>
                  <w:vAlign w:val="center"/>
                </w:tcPr>
                <w:p>
                  <w:pPr>
                    <w:pStyle w:val="42"/>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vertAlign w:val="baseline"/>
                      <w:lang w:val="en-US" w:eastAsia="zh-CN"/>
                    </w:rPr>
                    <w:t>碘吸附值</w:t>
                  </w:r>
                </w:p>
              </w:tc>
              <w:tc>
                <w:tcPr>
                  <w:tcW w:w="4028" w:type="dxa"/>
                  <w:tcBorders>
                    <w:tl2br w:val="nil"/>
                    <w:tr2bl w:val="nil"/>
                  </w:tcBorders>
                  <w:noWrap w:val="0"/>
                  <w:vAlign w:val="center"/>
                </w:tcPr>
                <w:p>
                  <w:pPr>
                    <w:pStyle w:val="42"/>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lang w:val="en-US" w:eastAsia="zh-CN"/>
                    </w:rPr>
                    <w:t>≥</w:t>
                  </w:r>
                  <w:r>
                    <w:rPr>
                      <w:rFonts w:hint="eastAsia" w:ascii="Times New Roman" w:hAnsi="Times New Roman" w:eastAsia="宋体" w:cs="等线"/>
                      <w:color w:val="auto"/>
                      <w:lang w:val="en-US" w:eastAsia="zh-CN"/>
                    </w:rPr>
                    <w:t>650mg/g</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noWrap w:val="0"/>
                  <w:vAlign w:val="center"/>
                </w:tcPr>
                <w:p>
                  <w:pPr>
                    <w:pStyle w:val="42"/>
                    <w:ind w:left="0" w:leftChars="0" w:right="0" w:rightChars="0" w:firstLine="0" w:firstLineChars="0"/>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11</w:t>
                  </w:r>
                </w:p>
              </w:tc>
              <w:tc>
                <w:tcPr>
                  <w:tcW w:w="2974" w:type="dxa"/>
                  <w:noWrap w:val="0"/>
                  <w:vAlign w:val="center"/>
                </w:tcPr>
                <w:p>
                  <w:pPr>
                    <w:pStyle w:val="42"/>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等线"/>
                      <w:color w:val="auto"/>
                      <w:lang w:val="en-US" w:eastAsia="zh-CN"/>
                    </w:rPr>
                    <w:t>比表面积</w:t>
                  </w:r>
                </w:p>
              </w:tc>
              <w:tc>
                <w:tcPr>
                  <w:tcW w:w="4028" w:type="dxa"/>
                  <w:noWrap w:val="0"/>
                  <w:vAlign w:val="center"/>
                </w:tcPr>
                <w:p>
                  <w:pPr>
                    <w:pStyle w:val="42"/>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lang w:val="en-US" w:eastAsia="zh-CN"/>
                    </w:rPr>
                    <w:t>≥</w:t>
                  </w:r>
                  <w:r>
                    <w:rPr>
                      <w:rFonts w:hint="eastAsia" w:ascii="Times New Roman" w:hAnsi="Times New Roman" w:eastAsia="宋体" w:cs="等线"/>
                      <w:color w:val="auto"/>
                      <w:lang w:val="en-US" w:eastAsia="zh-CN"/>
                    </w:rPr>
                    <w:t>750m</w:t>
                  </w:r>
                  <w:r>
                    <w:rPr>
                      <w:rFonts w:hint="eastAsia" w:ascii="Times New Roman" w:hAnsi="Times New Roman" w:eastAsia="宋体" w:cs="等线"/>
                      <w:color w:val="auto"/>
                      <w:vertAlign w:val="superscript"/>
                      <w:lang w:val="en-US" w:eastAsia="zh-CN"/>
                    </w:rPr>
                    <w:t>2</w:t>
                  </w:r>
                  <w:r>
                    <w:rPr>
                      <w:rFonts w:hint="eastAsia" w:ascii="Times New Roman" w:hAnsi="Times New Roman" w:eastAsia="宋体" w:cs="等线"/>
                      <w:color w:val="auto"/>
                      <w:lang w:val="en-US" w:eastAsia="zh-CN"/>
                    </w:rPr>
                    <w:t>/g</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noWrap w:val="0"/>
                  <w:vAlign w:val="center"/>
                </w:tcPr>
                <w:p>
                  <w:pPr>
                    <w:pStyle w:val="42"/>
                    <w:ind w:left="0" w:leftChars="0" w:right="0" w:rightChars="0" w:firstLine="0" w:firstLineChars="0"/>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12</w:t>
                  </w:r>
                </w:p>
              </w:tc>
              <w:tc>
                <w:tcPr>
                  <w:tcW w:w="2974" w:type="dxa"/>
                  <w:noWrap w:val="0"/>
                  <w:vAlign w:val="center"/>
                </w:tcPr>
                <w:p>
                  <w:pPr>
                    <w:pStyle w:val="42"/>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等线"/>
                      <w:color w:val="auto"/>
                      <w:lang w:val="en-US" w:eastAsia="zh-CN"/>
                    </w:rPr>
                    <w:t>横向抗压强度</w:t>
                  </w:r>
                </w:p>
              </w:tc>
              <w:tc>
                <w:tcPr>
                  <w:tcW w:w="4028" w:type="dxa"/>
                  <w:noWrap w:val="0"/>
                  <w:vAlign w:val="center"/>
                </w:tcPr>
                <w:p>
                  <w:pPr>
                    <w:pStyle w:val="42"/>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lang w:val="en-US" w:eastAsia="zh-CN"/>
                    </w:rPr>
                    <w:t>≥</w:t>
                  </w:r>
                  <w:r>
                    <w:rPr>
                      <w:rFonts w:hint="eastAsia" w:ascii="Times New Roman" w:hAnsi="Times New Roman" w:eastAsia="宋体" w:cs="等线"/>
                      <w:color w:val="auto"/>
                      <w:lang w:val="en-US" w:eastAsia="zh-CN"/>
                    </w:rPr>
                    <w:t>0.9MPa</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noWrap w:val="0"/>
                  <w:vAlign w:val="center"/>
                </w:tcPr>
                <w:p>
                  <w:pPr>
                    <w:pStyle w:val="42"/>
                    <w:ind w:left="0" w:leftChars="0" w:right="0" w:rightChars="0" w:firstLine="0" w:firstLineChars="0"/>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13</w:t>
                  </w:r>
                </w:p>
              </w:tc>
              <w:tc>
                <w:tcPr>
                  <w:tcW w:w="2974" w:type="dxa"/>
                  <w:noWrap w:val="0"/>
                  <w:vAlign w:val="center"/>
                </w:tcPr>
                <w:p>
                  <w:pPr>
                    <w:pStyle w:val="42"/>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等线"/>
                      <w:color w:val="auto"/>
                      <w:lang w:val="en-US" w:eastAsia="zh-CN"/>
                    </w:rPr>
                    <w:t>纵向抗压强度</w:t>
                  </w:r>
                </w:p>
              </w:tc>
              <w:tc>
                <w:tcPr>
                  <w:tcW w:w="4028" w:type="dxa"/>
                  <w:noWrap w:val="0"/>
                  <w:vAlign w:val="center"/>
                </w:tcPr>
                <w:p>
                  <w:pPr>
                    <w:pStyle w:val="42"/>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lang w:val="en-US" w:eastAsia="zh-CN"/>
                    </w:rPr>
                    <w:t>≥</w:t>
                  </w:r>
                  <w:r>
                    <w:rPr>
                      <w:rFonts w:hint="eastAsia" w:ascii="Times New Roman" w:hAnsi="Times New Roman" w:eastAsia="宋体" w:cs="等线"/>
                      <w:color w:val="auto"/>
                      <w:lang w:val="en-US" w:eastAsia="zh-CN"/>
                    </w:rPr>
                    <w:t>0.4MPa</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noWrap w:val="0"/>
                  <w:vAlign w:val="center"/>
                </w:tcPr>
                <w:p>
                  <w:pPr>
                    <w:pStyle w:val="42"/>
                    <w:ind w:left="0" w:leftChars="0" w:right="0" w:rightChars="0" w:firstLine="0" w:firstLineChars="0"/>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14</w:t>
                  </w:r>
                </w:p>
              </w:tc>
              <w:tc>
                <w:tcPr>
                  <w:tcW w:w="2974"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等线"/>
                      <w:color w:val="000000"/>
                      <w:kern w:val="0"/>
                      <w:sz w:val="21"/>
                      <w:szCs w:val="21"/>
                    </w:rPr>
                    <w:t>水分含量</w:t>
                  </w:r>
                </w:p>
              </w:tc>
              <w:tc>
                <w:tcPr>
                  <w:tcW w:w="4028"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
                    </w:rPr>
                  </w:pPr>
                  <w:r>
                    <w:rPr>
                      <w:rFonts w:ascii="Times New Roman" w:hAnsi="Times New Roman" w:eastAsia="宋体" w:cs="等线"/>
                      <w:color w:val="000000"/>
                      <w:kern w:val="0"/>
                      <w:sz w:val="21"/>
                      <w:szCs w:val="21"/>
                    </w:rPr>
                    <w:t>≤</w:t>
                  </w:r>
                  <w:r>
                    <w:rPr>
                      <w:rFonts w:hint="eastAsia" w:ascii="Times New Roman" w:hAnsi="Times New Roman" w:eastAsia="宋体" w:cs="等线"/>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noWrap w:val="0"/>
                  <w:vAlign w:val="center"/>
                </w:tcPr>
                <w:p>
                  <w:pPr>
                    <w:pStyle w:val="42"/>
                    <w:ind w:left="0" w:leftChars="0" w:right="0" w:rightChars="0" w:firstLine="0" w:firstLineChars="0"/>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15</w:t>
                  </w:r>
                </w:p>
              </w:tc>
              <w:tc>
                <w:tcPr>
                  <w:tcW w:w="2974"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等线"/>
                      <w:color w:val="000000"/>
                      <w:kern w:val="0"/>
                      <w:sz w:val="21"/>
                      <w:szCs w:val="21"/>
                    </w:rPr>
                    <w:t>着火点</w:t>
                  </w:r>
                </w:p>
              </w:tc>
              <w:tc>
                <w:tcPr>
                  <w:tcW w:w="4028"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
                    </w:rPr>
                  </w:pPr>
                  <w:r>
                    <w:rPr>
                      <w:rFonts w:ascii="Times New Roman" w:hAnsi="Times New Roman" w:eastAsia="宋体" w:cs="等线"/>
                      <w:color w:val="000000"/>
                      <w:kern w:val="0"/>
                      <w:sz w:val="21"/>
                      <w:szCs w:val="21"/>
                    </w:rPr>
                    <w:t>≥</w:t>
                  </w:r>
                  <w:r>
                    <w:rPr>
                      <w:rFonts w:hint="eastAsia" w:ascii="Times New Roman" w:hAnsi="Times New Roman" w:eastAsia="宋体" w:cs="等线"/>
                      <w:color w:val="000000"/>
                      <w:kern w:val="0"/>
                      <w:sz w:val="21"/>
                      <w:szCs w:val="21"/>
                    </w:rPr>
                    <w:t>400</w:t>
                  </w:r>
                  <w:r>
                    <w:rPr>
                      <w:rFonts w:hint="default" w:ascii="Times New Roman" w:hAnsi="Times New Roman" w:eastAsia="宋体"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noWrap w:val="0"/>
                  <w:vAlign w:val="center"/>
                </w:tcPr>
                <w:p>
                  <w:pPr>
                    <w:pStyle w:val="42"/>
                    <w:ind w:left="0" w:leftChars="0" w:right="0" w:rightChars="0" w:firstLine="0" w:firstLineChars="0"/>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16</w:t>
                  </w:r>
                </w:p>
              </w:tc>
              <w:tc>
                <w:tcPr>
                  <w:tcW w:w="2974"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等线"/>
                      <w:color w:val="000000"/>
                      <w:kern w:val="0"/>
                      <w:sz w:val="21"/>
                      <w:szCs w:val="21"/>
                    </w:rPr>
                    <w:t>灰分</w:t>
                  </w:r>
                </w:p>
              </w:tc>
              <w:tc>
                <w:tcPr>
                  <w:tcW w:w="4028"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
                    </w:rPr>
                  </w:pPr>
                  <w:r>
                    <w:rPr>
                      <w:rFonts w:ascii="Times New Roman" w:hAnsi="Times New Roman" w:eastAsia="宋体" w:cs="等线"/>
                      <w:color w:val="000000"/>
                      <w:kern w:val="0"/>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noWrap w:val="0"/>
                  <w:vAlign w:val="center"/>
                </w:tcPr>
                <w:p>
                  <w:pPr>
                    <w:pStyle w:val="42"/>
                    <w:ind w:left="0" w:leftChars="0" w:right="0" w:rightChars="0" w:firstLine="0" w:firstLineChars="0"/>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17</w:t>
                  </w:r>
                </w:p>
              </w:tc>
              <w:tc>
                <w:tcPr>
                  <w:tcW w:w="2974"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等线"/>
                      <w:color w:val="000000"/>
                      <w:kern w:val="0"/>
                      <w:sz w:val="21"/>
                      <w:szCs w:val="21"/>
                    </w:rPr>
                    <w:t>四氯化碳吸附率</w:t>
                  </w:r>
                </w:p>
              </w:tc>
              <w:tc>
                <w:tcPr>
                  <w:tcW w:w="4028"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21"/>
                      <w:szCs w:val="21"/>
                      <w:vertAlign w:val="baseline"/>
                      <w:lang w:val="en-US" w:eastAsia="zh-CN"/>
                    </w:rPr>
                  </w:pPr>
                  <w:r>
                    <w:rPr>
                      <w:rFonts w:ascii="Times New Roman" w:hAnsi="Times New Roman" w:eastAsia="宋体" w:cs="等线"/>
                      <w:color w:val="000000"/>
                      <w:kern w:val="0"/>
                      <w:sz w:val="21"/>
                      <w:szCs w:val="21"/>
                    </w:rPr>
                    <w:t>≥</w:t>
                  </w:r>
                  <w:r>
                    <w:rPr>
                      <w:rFonts w:hint="eastAsia" w:ascii="Times New Roman" w:hAnsi="Times New Roman" w:eastAsia="宋体" w:cs="等线"/>
                      <w:color w:val="000000"/>
                      <w:kern w:val="0"/>
                      <w:sz w:val="21"/>
                      <w:szCs w:val="21"/>
                      <w:lang w:val="en-US" w:eastAsia="zh-CN"/>
                    </w:rPr>
                    <w:t>25</w:t>
                  </w:r>
                  <w:r>
                    <w:rPr>
                      <w:rFonts w:hint="eastAsia" w:ascii="Times New Roman" w:hAnsi="Times New Roman" w:eastAsia="宋体" w:cs="等线"/>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3" w:type="pct"/>
                  <w:noWrap w:val="0"/>
                  <w:vAlign w:val="center"/>
                </w:tcPr>
                <w:p>
                  <w:pPr>
                    <w:pStyle w:val="42"/>
                    <w:ind w:left="0" w:leftChars="0" w:right="0" w:rightChars="0" w:firstLine="0" w:firstLineChars="0"/>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18</w:t>
                  </w:r>
                </w:p>
              </w:tc>
              <w:tc>
                <w:tcPr>
                  <w:tcW w:w="2974"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等线"/>
                      <w:color w:val="000000"/>
                      <w:kern w:val="0"/>
                      <w:sz w:val="21"/>
                      <w:szCs w:val="21"/>
                    </w:rPr>
                    <w:t>苯吸附率</w:t>
                  </w:r>
                </w:p>
              </w:tc>
              <w:tc>
                <w:tcPr>
                  <w:tcW w:w="4028"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lang w:val="en-US" w:eastAsia="zh-CN"/>
                    </w:rPr>
                  </w:pPr>
                  <w:r>
                    <w:rPr>
                      <w:rFonts w:ascii="Times New Roman" w:hAnsi="Times New Roman" w:eastAsia="宋体" w:cs="等线"/>
                      <w:color w:val="000000"/>
                      <w:kern w:val="0"/>
                      <w:sz w:val="21"/>
                      <w:szCs w:val="21"/>
                    </w:rPr>
                    <w:t>≥</w:t>
                  </w:r>
                  <w:r>
                    <w:rPr>
                      <w:rFonts w:hint="eastAsia" w:ascii="Times New Roman" w:hAnsi="Times New Roman" w:eastAsia="宋体" w:cs="等线"/>
                      <w:color w:val="000000"/>
                      <w:kern w:val="0"/>
                      <w:sz w:val="21"/>
                      <w:szCs w:val="21"/>
                    </w:rPr>
                    <w:t>300</w:t>
                  </w:r>
                  <w:r>
                    <w:rPr>
                      <w:rFonts w:hint="eastAsia" w:ascii="Times New Roman" w:hAnsi="Times New Roman" w:eastAsia="宋体" w:cs="等线"/>
                      <w:color w:val="auto"/>
                      <w:sz w:val="21"/>
                      <w:szCs w:val="21"/>
                      <w:lang w:val="en-US" w:eastAsia="zh-CN"/>
                    </w:rPr>
                    <w:t>mg/g</w:t>
                  </w:r>
                </w:p>
              </w:tc>
            </w:tr>
          </w:tbl>
          <w:p>
            <w:pPr>
              <w:spacing w:line="500" w:lineRule="exact"/>
              <w:ind w:firstLine="480" w:firstLineChars="200"/>
              <w:rPr>
                <w:rFonts w:hint="eastAsia" w:cs="Times New Roman"/>
                <w:color w:val="auto"/>
                <w:spacing w:val="0"/>
                <w:sz w:val="24"/>
                <w:szCs w:val="24"/>
                <w:vertAlign w:val="baseline"/>
                <w:lang w:eastAsia="zh-CN"/>
              </w:rPr>
            </w:pPr>
            <w:r>
              <w:rPr>
                <w:rFonts w:hint="eastAsia"/>
                <w:color w:val="auto"/>
                <w:spacing w:val="0"/>
                <w:sz w:val="24"/>
                <w:lang w:val="en-US" w:eastAsia="zh-CN"/>
              </w:rPr>
              <w:t>本项目印刷、胶黏、成型废气采用一套二级活性炭吸附装置，其碳层规格为</w:t>
            </w:r>
            <w:r>
              <w:rPr>
                <w:rFonts w:hint="default"/>
                <w:color w:val="auto"/>
                <w:sz w:val="24"/>
              </w:rPr>
              <w:t>L</w:t>
            </w:r>
            <w:r>
              <w:rPr>
                <w:rFonts w:hint="default"/>
                <w:color w:val="auto"/>
                <w:sz w:val="24"/>
                <w:lang w:val="en-US" w:eastAsia="zh-CN"/>
              </w:rPr>
              <w:t>1</w:t>
            </w:r>
            <w:r>
              <w:rPr>
                <w:rFonts w:hint="eastAsia"/>
                <w:color w:val="auto"/>
                <w:sz w:val="24"/>
                <w:lang w:val="en-US" w:eastAsia="zh-CN"/>
              </w:rPr>
              <w:t>5</w:t>
            </w:r>
            <w:r>
              <w:rPr>
                <w:rFonts w:hint="default"/>
                <w:color w:val="auto"/>
                <w:sz w:val="24"/>
                <w:lang w:val="en-US" w:eastAsia="zh-CN"/>
              </w:rPr>
              <w:t>0</w:t>
            </w:r>
            <w:r>
              <w:rPr>
                <w:rFonts w:hint="default"/>
                <w:color w:val="auto"/>
                <w:sz w:val="24"/>
              </w:rPr>
              <w:t>0mm×W</w:t>
            </w:r>
            <w:r>
              <w:rPr>
                <w:rFonts w:hint="eastAsia"/>
                <w:color w:val="auto"/>
                <w:sz w:val="24"/>
                <w:lang w:val="en-US" w:eastAsia="zh-CN"/>
              </w:rPr>
              <w:t>10</w:t>
            </w:r>
            <w:r>
              <w:rPr>
                <w:rFonts w:hint="default"/>
                <w:color w:val="auto"/>
                <w:sz w:val="24"/>
                <w:lang w:val="en-US" w:eastAsia="zh-CN"/>
              </w:rPr>
              <w:t>00</w:t>
            </w:r>
            <w:r>
              <w:rPr>
                <w:rFonts w:hint="default"/>
                <w:color w:val="auto"/>
                <w:sz w:val="24"/>
              </w:rPr>
              <w:t>mm×H</w:t>
            </w:r>
            <w:r>
              <w:rPr>
                <w:rFonts w:hint="eastAsia"/>
                <w:color w:val="auto"/>
                <w:sz w:val="24"/>
                <w:lang w:val="en-US" w:eastAsia="zh-CN"/>
              </w:rPr>
              <w:t>2</w:t>
            </w:r>
            <w:r>
              <w:rPr>
                <w:rFonts w:hint="eastAsia" w:cs="Times New Roman"/>
                <w:color w:val="auto"/>
                <w:sz w:val="24"/>
                <w:lang w:val="en-US" w:eastAsia="zh-CN"/>
              </w:rPr>
              <w:t>0</w:t>
            </w:r>
            <w:r>
              <w:rPr>
                <w:rFonts w:hint="default"/>
                <w:color w:val="auto"/>
                <w:sz w:val="24"/>
              </w:rPr>
              <w:t>0m</w:t>
            </w:r>
            <w:r>
              <w:rPr>
                <w:rFonts w:hint="eastAsia" w:ascii="Times New Roman" w:hAnsi="Times New Roman" w:cs="Times New Roman"/>
                <w:color w:val="auto"/>
                <w:sz w:val="24"/>
                <w:lang w:val="en-US" w:eastAsia="zh-CN"/>
              </w:rPr>
              <w:t>m</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则</w:t>
            </w:r>
            <w:r>
              <w:rPr>
                <w:rFonts w:hint="eastAsia"/>
                <w:color w:val="auto"/>
                <w:spacing w:val="0"/>
                <w:sz w:val="24"/>
                <w:lang w:val="en-US" w:eastAsia="zh-CN"/>
              </w:rPr>
              <w:t>过流</w:t>
            </w:r>
            <w:r>
              <w:rPr>
                <w:rFonts w:hint="eastAsia"/>
                <w:color w:val="auto"/>
                <w:spacing w:val="0"/>
                <w:sz w:val="24"/>
              </w:rPr>
              <w:t>速度</w:t>
            </w:r>
            <w:r>
              <w:rPr>
                <w:rFonts w:hint="default"/>
                <w:color w:val="auto"/>
                <w:spacing w:val="0"/>
                <w:sz w:val="24"/>
              </w:rPr>
              <w:t>v=Q/3600/4/L</w:t>
            </w:r>
            <w:r>
              <w:rPr>
                <w:rFonts w:hint="eastAsia"/>
                <w:color w:val="auto"/>
                <w:spacing w:val="0"/>
                <w:sz w:val="24"/>
              </w:rPr>
              <w:t>碳层/W碳层=</w:t>
            </w:r>
            <w:r>
              <w:rPr>
                <w:rFonts w:hint="eastAsia"/>
                <w:color w:val="auto"/>
                <w:spacing w:val="0"/>
                <w:sz w:val="24"/>
                <w:lang w:val="en-US" w:eastAsia="zh-CN"/>
              </w:rPr>
              <w:t>7000</w:t>
            </w:r>
            <w:r>
              <w:rPr>
                <w:rFonts w:hint="eastAsia"/>
                <w:color w:val="auto"/>
                <w:spacing w:val="0"/>
                <w:sz w:val="24"/>
              </w:rPr>
              <w:t>/3600/</w:t>
            </w:r>
            <w:r>
              <w:rPr>
                <w:rFonts w:hint="eastAsia"/>
                <w:color w:val="auto"/>
                <w:spacing w:val="0"/>
                <w:sz w:val="24"/>
                <w:lang w:val="en-US" w:eastAsia="zh-CN"/>
              </w:rPr>
              <w:t>4/1.7</w:t>
            </w:r>
            <w:r>
              <w:rPr>
                <w:rFonts w:hint="eastAsia"/>
                <w:color w:val="auto"/>
                <w:spacing w:val="0"/>
                <w:sz w:val="24"/>
              </w:rPr>
              <w:t>/</w:t>
            </w:r>
            <w:r>
              <w:rPr>
                <w:rFonts w:hint="eastAsia"/>
                <w:color w:val="auto"/>
                <w:spacing w:val="0"/>
                <w:sz w:val="24"/>
                <w:lang w:val="en-US" w:eastAsia="zh-CN"/>
              </w:rPr>
              <w:t>1/0.85</w:t>
            </w:r>
            <w:r>
              <w:rPr>
                <w:rFonts w:hint="eastAsia"/>
                <w:color w:val="auto"/>
                <w:spacing w:val="0"/>
                <w:sz w:val="24"/>
              </w:rPr>
              <w:t>≈</w:t>
            </w:r>
            <w:r>
              <w:rPr>
                <w:rFonts w:hint="eastAsia"/>
                <w:color w:val="auto"/>
                <w:spacing w:val="0"/>
                <w:sz w:val="24"/>
                <w:lang w:val="en-US" w:eastAsia="zh-CN"/>
              </w:rPr>
              <w:t>0.38</w:t>
            </w:r>
            <w:r>
              <w:rPr>
                <w:rFonts w:hint="eastAsia"/>
                <w:color w:val="auto"/>
                <w:spacing w:val="0"/>
                <w:sz w:val="24"/>
              </w:rPr>
              <w:t>m/s</w:t>
            </w:r>
            <w:r>
              <w:rPr>
                <w:rFonts w:hint="eastAsia"/>
                <w:color w:val="auto"/>
                <w:spacing w:val="0"/>
                <w:sz w:val="24"/>
                <w:lang w:eastAsia="zh-CN"/>
              </w:rPr>
              <w:t>；</w:t>
            </w:r>
            <w:r>
              <w:rPr>
                <w:rFonts w:hint="eastAsia"/>
                <w:color w:val="auto"/>
                <w:spacing w:val="0"/>
                <w:sz w:val="24"/>
              </w:rPr>
              <w:t>停留时间 T=H碳层/V=0.</w:t>
            </w:r>
            <w:r>
              <w:rPr>
                <w:rFonts w:hint="eastAsia"/>
                <w:color w:val="auto"/>
                <w:spacing w:val="0"/>
                <w:sz w:val="24"/>
                <w:lang w:val="en-US" w:eastAsia="zh-CN"/>
              </w:rPr>
              <w:t>2</w:t>
            </w:r>
            <w:r>
              <w:rPr>
                <w:rFonts w:hint="eastAsia"/>
                <w:color w:val="auto"/>
                <w:spacing w:val="0"/>
                <w:sz w:val="24"/>
              </w:rPr>
              <w:t>×</w:t>
            </w:r>
            <w:r>
              <w:rPr>
                <w:rFonts w:hint="eastAsia"/>
                <w:color w:val="auto"/>
                <w:spacing w:val="0"/>
                <w:sz w:val="24"/>
                <w:lang w:val="en-US" w:eastAsia="zh-CN"/>
              </w:rPr>
              <w:t>2</w:t>
            </w:r>
            <w:r>
              <w:rPr>
                <w:rFonts w:hint="eastAsia"/>
                <w:color w:val="auto"/>
                <w:spacing w:val="0"/>
                <w:sz w:val="24"/>
              </w:rPr>
              <w:t>/</w:t>
            </w:r>
            <w:r>
              <w:rPr>
                <w:rFonts w:hint="eastAsia"/>
                <w:color w:val="auto"/>
                <w:spacing w:val="0"/>
                <w:sz w:val="24"/>
                <w:lang w:val="en-US" w:eastAsia="zh-CN"/>
              </w:rPr>
              <w:t>0.38</w:t>
            </w:r>
            <w:r>
              <w:rPr>
                <w:rFonts w:hint="eastAsia"/>
                <w:color w:val="auto"/>
                <w:spacing w:val="0"/>
                <w:sz w:val="24"/>
              </w:rPr>
              <w:t>≈</w:t>
            </w:r>
            <w:r>
              <w:rPr>
                <w:rFonts w:hint="eastAsia"/>
                <w:color w:val="auto"/>
                <w:spacing w:val="0"/>
                <w:sz w:val="24"/>
                <w:lang w:val="en-US" w:eastAsia="zh-CN"/>
              </w:rPr>
              <w:t>1.05</w:t>
            </w:r>
            <w:r>
              <w:rPr>
                <w:rFonts w:hint="eastAsia"/>
                <w:color w:val="auto"/>
                <w:spacing w:val="0"/>
                <w:sz w:val="24"/>
              </w:rPr>
              <w:t>s；活性炭有效容积V=L碳层×W碳层×H×碳层=</w:t>
            </w:r>
            <w:r>
              <w:rPr>
                <w:rFonts w:hint="eastAsia"/>
                <w:color w:val="auto"/>
                <w:spacing w:val="0"/>
                <w:sz w:val="24"/>
                <w:lang w:val="en-US" w:eastAsia="zh-CN"/>
              </w:rPr>
              <w:t>1.5</w:t>
            </w:r>
            <w:r>
              <w:rPr>
                <w:rFonts w:hint="eastAsia"/>
                <w:color w:val="auto"/>
                <w:spacing w:val="0"/>
                <w:sz w:val="24"/>
              </w:rPr>
              <w:t>×</w:t>
            </w:r>
            <w:r>
              <w:rPr>
                <w:rFonts w:hint="eastAsia"/>
                <w:color w:val="auto"/>
                <w:spacing w:val="0"/>
                <w:sz w:val="24"/>
                <w:lang w:val="en-US" w:eastAsia="zh-CN"/>
              </w:rPr>
              <w:t>1</w:t>
            </w:r>
            <w:r>
              <w:rPr>
                <w:rFonts w:hint="eastAsia"/>
                <w:color w:val="auto"/>
                <w:spacing w:val="0"/>
                <w:sz w:val="24"/>
              </w:rPr>
              <w:t>×</w:t>
            </w:r>
            <w:r>
              <w:rPr>
                <w:rFonts w:hint="eastAsia"/>
                <w:color w:val="auto"/>
                <w:spacing w:val="0"/>
                <w:sz w:val="24"/>
                <w:lang w:val="en-US" w:eastAsia="zh-CN"/>
              </w:rPr>
              <w:t>0.2</w:t>
            </w:r>
            <w:r>
              <w:rPr>
                <w:rFonts w:hint="eastAsia"/>
                <w:color w:val="auto"/>
                <w:spacing w:val="0"/>
                <w:sz w:val="24"/>
              </w:rPr>
              <w:t>×</w:t>
            </w:r>
            <w:r>
              <w:rPr>
                <w:rFonts w:hint="eastAsia"/>
                <w:color w:val="auto"/>
                <w:spacing w:val="0"/>
                <w:sz w:val="24"/>
                <w:lang w:val="en-US" w:eastAsia="zh-CN"/>
              </w:rPr>
              <w:t>4</w:t>
            </w:r>
            <w:r>
              <w:rPr>
                <w:rFonts w:hint="eastAsia"/>
                <w:color w:val="auto"/>
                <w:spacing w:val="0"/>
                <w:sz w:val="24"/>
              </w:rPr>
              <w:t>×</w:t>
            </w:r>
            <w:r>
              <w:rPr>
                <w:rFonts w:hint="eastAsia"/>
                <w:color w:val="auto"/>
                <w:spacing w:val="0"/>
                <w:sz w:val="24"/>
                <w:lang w:val="en-US" w:eastAsia="zh-CN"/>
              </w:rPr>
              <w:t>2=2.4</w:t>
            </w:r>
            <w:r>
              <w:rPr>
                <w:rFonts w:hint="eastAsia"/>
                <w:color w:val="auto"/>
                <w:spacing w:val="0"/>
                <w:sz w:val="24"/>
              </w:rPr>
              <w:t>m</w:t>
            </w:r>
            <w:r>
              <w:rPr>
                <w:rFonts w:hint="eastAsia"/>
                <w:color w:val="auto"/>
                <w:spacing w:val="0"/>
                <w:sz w:val="24"/>
                <w:vertAlign w:val="superscript"/>
              </w:rPr>
              <w:t>3</w:t>
            </w:r>
            <w:r>
              <w:rPr>
                <w:rFonts w:hint="eastAsia"/>
                <w:color w:val="auto"/>
                <w:spacing w:val="0"/>
                <w:sz w:val="24"/>
              </w:rPr>
              <w:t>；活性炭填充量M=</w:t>
            </w:r>
            <w:r>
              <w:rPr>
                <w:rFonts w:hint="default" w:ascii="Times New Roman" w:hAnsi="Times New Roman" w:cs="Times New Roman"/>
                <w:color w:val="auto"/>
                <w:spacing w:val="0"/>
                <w:sz w:val="24"/>
              </w:rPr>
              <w:t>ρ</w:t>
            </w:r>
            <w:r>
              <w:rPr>
                <w:rFonts w:hint="eastAsia"/>
                <w:color w:val="auto"/>
                <w:spacing w:val="0"/>
                <w:sz w:val="24"/>
              </w:rPr>
              <w:t>×V=0.</w:t>
            </w:r>
            <w:r>
              <w:rPr>
                <w:rFonts w:hint="eastAsia"/>
                <w:color w:val="auto"/>
                <w:spacing w:val="0"/>
                <w:sz w:val="24"/>
                <w:lang w:val="en-US" w:eastAsia="zh-CN"/>
              </w:rPr>
              <w:t>4</w:t>
            </w:r>
            <w:r>
              <w:rPr>
                <w:rFonts w:hint="eastAsia"/>
                <w:color w:val="auto"/>
                <w:spacing w:val="0"/>
                <w:sz w:val="24"/>
              </w:rPr>
              <w:t>×</w:t>
            </w:r>
            <w:r>
              <w:rPr>
                <w:rFonts w:hint="eastAsia"/>
                <w:color w:val="auto"/>
                <w:spacing w:val="0"/>
                <w:sz w:val="24"/>
                <w:lang w:val="en-US" w:eastAsia="zh-CN"/>
              </w:rPr>
              <w:t>2.4=</w:t>
            </w:r>
            <w:r>
              <w:rPr>
                <w:rFonts w:hint="eastAsia" w:cs="Times New Roman"/>
                <w:color w:val="auto"/>
                <w:spacing w:val="0"/>
                <w:sz w:val="24"/>
                <w:szCs w:val="24"/>
                <w:vertAlign w:val="baseline"/>
                <w:lang w:val="en-US" w:eastAsia="zh-CN"/>
              </w:rPr>
              <w:t>0.96</w:t>
            </w:r>
            <w:r>
              <w:rPr>
                <w:rFonts w:hint="default" w:ascii="Times New Roman" w:hAnsi="Times New Roman" w:cs="Times New Roman"/>
                <w:color w:val="auto"/>
                <w:spacing w:val="0"/>
                <w:sz w:val="24"/>
                <w:szCs w:val="24"/>
                <w:vertAlign w:val="baseline"/>
              </w:rPr>
              <w:t>t</w:t>
            </w:r>
            <w:r>
              <w:rPr>
                <w:rFonts w:hint="eastAsia" w:cs="Times New Roman"/>
                <w:color w:val="auto"/>
                <w:spacing w:val="0"/>
                <w:sz w:val="24"/>
                <w:szCs w:val="24"/>
                <w:vertAlign w:val="baseline"/>
                <w:lang w:eastAsia="zh-CN"/>
              </w:rPr>
              <w:t>。</w:t>
            </w:r>
          </w:p>
          <w:p>
            <w:pPr>
              <w:keepNext w:val="0"/>
              <w:keepLines w:val="0"/>
              <w:suppressLineNumbers w:val="0"/>
              <w:spacing w:before="0" w:beforeAutospacing="0" w:after="0" w:afterAutospacing="0" w:line="500" w:lineRule="exact"/>
              <w:ind w:left="0" w:right="0" w:firstLine="480" w:firstLineChars="200"/>
              <w:rPr>
                <w:rFonts w:hint="eastAsia"/>
                <w:color w:val="auto"/>
                <w:spacing w:val="0"/>
                <w:sz w:val="24"/>
                <w:lang w:val="en-US" w:eastAsia="zh-CN"/>
              </w:rPr>
            </w:pPr>
            <w:r>
              <w:rPr>
                <w:rFonts w:hint="eastAsia"/>
                <w:color w:val="auto"/>
                <w:spacing w:val="0"/>
                <w:sz w:val="24"/>
                <w:lang w:val="en-US" w:eastAsia="zh-CN"/>
              </w:rPr>
              <w:t>根据关于印发</w:t>
            </w:r>
            <w:r>
              <w:rPr>
                <w:rFonts w:hint="eastAsia"/>
                <w:color w:val="auto"/>
                <w:spacing w:val="0"/>
                <w:sz w:val="24"/>
              </w:rPr>
              <w:t>《南通市废气活性炭吸附设施专项整治实施方案》</w:t>
            </w:r>
            <w:r>
              <w:rPr>
                <w:rFonts w:hint="eastAsia"/>
                <w:color w:val="auto"/>
                <w:spacing w:val="0"/>
                <w:sz w:val="24"/>
                <w:lang w:val="en-US" w:eastAsia="zh-CN"/>
              </w:rPr>
              <w:t>的通知及《省生态环境厅关于深入开展涉VOCs治理重点工作核查的通知》（苏环办〔2022〕218号），采用蜂窝炭时，气体流速应低于1.2m/s。本项目活性炭吸附层气流速度为0.38m/s，满足相关设计规范要求。</w:t>
            </w:r>
          </w:p>
          <w:p>
            <w:pPr>
              <w:pStyle w:val="4"/>
              <w:spacing w:before="0" w:after="0" w:line="500" w:lineRule="exact"/>
              <w:ind w:firstLine="480" w:firstLineChars="200"/>
              <w:rPr>
                <w:rFonts w:hint="default"/>
                <w:lang w:val="en-US" w:eastAsia="zh-CN"/>
              </w:rPr>
            </w:pPr>
            <w:r>
              <w:rPr>
                <w:rFonts w:hint="eastAsia" w:ascii="Times New Roman" w:hAnsi="Times New Roman"/>
                <w:b w:val="0"/>
                <w:bCs w:val="0"/>
                <w:color w:val="auto"/>
                <w:sz w:val="24"/>
                <w:szCs w:val="24"/>
              </w:rPr>
              <w:t>本项目</w:t>
            </w:r>
            <w:r>
              <w:rPr>
                <w:rFonts w:ascii="Times New Roman" w:hAnsi="Times New Roman"/>
                <w:b w:val="0"/>
                <w:bCs w:val="0"/>
                <w:color w:val="auto"/>
                <w:sz w:val="24"/>
                <w:szCs w:val="24"/>
              </w:rPr>
              <w:t>采用“</w:t>
            </w:r>
            <w:r>
              <w:rPr>
                <w:rFonts w:hint="eastAsia" w:ascii="Times New Roman" w:hAnsi="Times New Roman"/>
                <w:b w:val="0"/>
                <w:bCs w:val="0"/>
                <w:color w:val="auto"/>
                <w:sz w:val="24"/>
                <w:szCs w:val="24"/>
              </w:rPr>
              <w:t>二级活性炭吸附</w:t>
            </w:r>
            <w:r>
              <w:rPr>
                <w:rFonts w:ascii="Times New Roman" w:hAnsi="Times New Roman"/>
                <w:b w:val="0"/>
                <w:bCs w:val="0"/>
                <w:color w:val="auto"/>
                <w:sz w:val="24"/>
                <w:szCs w:val="24"/>
              </w:rPr>
              <w:t>”</w:t>
            </w:r>
            <w:r>
              <w:rPr>
                <w:rFonts w:hint="eastAsia" w:ascii="Times New Roman" w:hAnsi="Times New Roman"/>
                <w:b w:val="0"/>
                <w:bCs w:val="0"/>
                <w:color w:val="auto"/>
                <w:sz w:val="24"/>
                <w:szCs w:val="24"/>
              </w:rPr>
              <w:t>装置</w:t>
            </w:r>
            <w:r>
              <w:rPr>
                <w:rFonts w:ascii="Times New Roman" w:hAnsi="Times New Roman"/>
                <w:b w:val="0"/>
                <w:bCs w:val="0"/>
                <w:color w:val="auto"/>
                <w:sz w:val="24"/>
                <w:szCs w:val="24"/>
              </w:rPr>
              <w:t>处理</w:t>
            </w:r>
            <w:r>
              <w:rPr>
                <w:rFonts w:hint="eastAsia" w:ascii="Times New Roman" w:hAnsi="Times New Roman"/>
                <w:b w:val="0"/>
                <w:bCs w:val="0"/>
                <w:color w:val="auto"/>
                <w:sz w:val="24"/>
                <w:szCs w:val="24"/>
                <w:lang w:val="en-US" w:eastAsia="zh-CN"/>
              </w:rPr>
              <w:t>印刷、</w:t>
            </w:r>
            <w:r>
              <w:rPr>
                <w:rFonts w:hint="eastAsia"/>
                <w:b w:val="0"/>
                <w:bCs w:val="0"/>
                <w:color w:val="auto"/>
                <w:sz w:val="24"/>
                <w:szCs w:val="24"/>
                <w:lang w:val="en-US" w:eastAsia="zh-CN"/>
              </w:rPr>
              <w:t>胶黏、成型</w:t>
            </w:r>
            <w:r>
              <w:rPr>
                <w:rFonts w:ascii="Times New Roman" w:hAnsi="Times New Roman"/>
                <w:b w:val="0"/>
                <w:bCs w:val="0"/>
                <w:color w:val="auto"/>
                <w:sz w:val="24"/>
                <w:szCs w:val="24"/>
              </w:rPr>
              <w:t>过程</w:t>
            </w:r>
            <w:r>
              <w:rPr>
                <w:rFonts w:hint="eastAsia" w:ascii="Times New Roman" w:hAnsi="Times New Roman"/>
                <w:b w:val="0"/>
                <w:bCs w:val="0"/>
                <w:color w:val="auto"/>
                <w:sz w:val="24"/>
                <w:szCs w:val="24"/>
              </w:rPr>
              <w:t>中</w:t>
            </w:r>
            <w:r>
              <w:rPr>
                <w:rFonts w:ascii="Times New Roman" w:hAnsi="Times New Roman"/>
                <w:b w:val="0"/>
                <w:bCs w:val="0"/>
                <w:color w:val="auto"/>
                <w:sz w:val="24"/>
                <w:szCs w:val="24"/>
              </w:rPr>
              <w:t>产生的有机废气，去除效率以</w:t>
            </w:r>
            <w:r>
              <w:rPr>
                <w:rFonts w:hint="eastAsia" w:ascii="Times New Roman" w:hAnsi="Times New Roman"/>
                <w:b w:val="0"/>
                <w:bCs w:val="0"/>
                <w:color w:val="auto"/>
                <w:sz w:val="24"/>
                <w:szCs w:val="24"/>
              </w:rPr>
              <w:t>90</w:t>
            </w:r>
            <w:r>
              <w:rPr>
                <w:rFonts w:ascii="Times New Roman" w:hAnsi="Times New Roman"/>
                <w:b w:val="0"/>
                <w:bCs w:val="0"/>
                <w:color w:val="auto"/>
                <w:sz w:val="24"/>
                <w:szCs w:val="24"/>
              </w:rPr>
              <w:t>%计</w:t>
            </w:r>
            <w:r>
              <w:rPr>
                <w:rFonts w:hint="eastAsia" w:ascii="Times New Roman" w:hAnsi="Times New Roman"/>
                <w:b w:val="0"/>
                <w:bCs w:val="0"/>
                <w:color w:val="auto"/>
                <w:sz w:val="24"/>
                <w:szCs w:val="24"/>
                <w:lang w:val="en-US" w:eastAsia="zh-CN"/>
              </w:rPr>
              <w:t>，</w:t>
            </w:r>
            <w:r>
              <w:rPr>
                <w:rFonts w:ascii="Times New Roman" w:hAnsi="Times New Roman"/>
                <w:b w:val="0"/>
                <w:bCs w:val="0"/>
                <w:color w:val="auto"/>
                <w:sz w:val="24"/>
                <w:szCs w:val="24"/>
              </w:rPr>
              <w:t>根据工程分析</w:t>
            </w:r>
            <w:r>
              <w:rPr>
                <w:rFonts w:hint="eastAsia" w:ascii="Times New Roman" w:hAnsi="Times New Roman"/>
                <w:b w:val="0"/>
                <w:bCs w:val="0"/>
                <w:color w:val="000000"/>
                <w:sz w:val="24"/>
                <w:szCs w:val="24"/>
                <w:lang w:eastAsia="zh-CN"/>
              </w:rPr>
              <w:t>，</w:t>
            </w:r>
            <w:r>
              <w:rPr>
                <w:rFonts w:hint="eastAsia"/>
                <w:b w:val="0"/>
                <w:bCs w:val="0"/>
                <w:color w:val="000000"/>
                <w:sz w:val="24"/>
                <w:szCs w:val="24"/>
                <w:lang w:val="en-US" w:eastAsia="zh-CN"/>
              </w:rPr>
              <w:t>1#排气筒非甲烷总烃</w:t>
            </w:r>
            <w:r>
              <w:rPr>
                <w:rFonts w:ascii="Times New Roman" w:hAnsi="Times New Roman"/>
                <w:b w:val="0"/>
                <w:bCs w:val="0"/>
                <w:color w:val="auto"/>
                <w:sz w:val="24"/>
                <w:szCs w:val="24"/>
              </w:rPr>
              <w:t>排放浓度、排放速率能满足</w:t>
            </w:r>
            <w:r>
              <w:rPr>
                <w:rFonts w:hint="eastAsia" w:ascii="Times New Roman" w:hAnsi="Times New Roman" w:cs="Times New Roman"/>
                <w:b w:val="0"/>
                <w:bCs w:val="0"/>
                <w:color w:val="auto"/>
                <w:sz w:val="24"/>
                <w:szCs w:val="24"/>
                <w:lang w:val="en-US" w:eastAsia="zh-CN"/>
              </w:rPr>
              <w:t>江苏省《</w:t>
            </w:r>
            <w:r>
              <w:rPr>
                <w:rFonts w:hint="eastAsia"/>
                <w:b w:val="0"/>
                <w:bCs w:val="0"/>
                <w:color w:val="auto"/>
                <w:sz w:val="24"/>
                <w:szCs w:val="24"/>
                <w:lang w:val="en-US" w:eastAsia="zh-CN"/>
              </w:rPr>
              <w:t>印刷工业大气污染物排放标准</w:t>
            </w:r>
            <w:r>
              <w:rPr>
                <w:rFonts w:hint="eastAsia" w:ascii="Times New Roman" w:hAnsi="Times New Roman" w:cs="Times New Roman"/>
                <w:b w:val="0"/>
                <w:bCs w:val="0"/>
                <w:color w:val="auto"/>
                <w:sz w:val="24"/>
                <w:szCs w:val="24"/>
                <w:lang w:val="en-US" w:eastAsia="zh-CN"/>
              </w:rPr>
              <w:t>》</w:t>
            </w:r>
            <w:r>
              <w:rPr>
                <w:rFonts w:hint="eastAsia"/>
                <w:b w:val="0"/>
                <w:bCs w:val="0"/>
                <w:color w:val="auto"/>
                <w:sz w:val="24"/>
                <w:szCs w:val="24"/>
                <w:lang w:val="en-US" w:eastAsia="zh-CN"/>
              </w:rPr>
              <w:t>（DB32/ 4438-2022）中相关标准</w:t>
            </w:r>
            <w:r>
              <w:rPr>
                <w:rFonts w:ascii="Times New Roman" w:hAnsi="Times New Roman"/>
                <w:b w:val="0"/>
                <w:bCs w:val="0"/>
                <w:color w:val="auto"/>
                <w:sz w:val="24"/>
                <w:szCs w:val="24"/>
              </w:rPr>
              <w:t>中的相关要求</w:t>
            </w:r>
            <w:r>
              <w:rPr>
                <w:rFonts w:hint="eastAsia" w:ascii="Times New Roman" w:hAnsi="Times New Roman"/>
                <w:b w:val="0"/>
                <w:bCs w:val="0"/>
                <w:color w:val="000000"/>
                <w:sz w:val="24"/>
                <w:szCs w:val="24"/>
                <w:lang w:eastAsia="zh-CN"/>
              </w:rPr>
              <w:t>。</w:t>
            </w:r>
            <w:r>
              <w:rPr>
                <w:rFonts w:ascii="Times New Roman" w:hAnsi="Times New Roman"/>
                <w:b w:val="0"/>
                <w:bCs w:val="0"/>
                <w:color w:val="auto"/>
                <w:sz w:val="24"/>
                <w:szCs w:val="24"/>
              </w:rPr>
              <w:t>因此，</w:t>
            </w:r>
            <w:r>
              <w:rPr>
                <w:rFonts w:hint="eastAsia" w:ascii="Times New Roman" w:hAnsi="Times New Roman"/>
                <w:b w:val="0"/>
                <w:bCs w:val="0"/>
                <w:color w:val="auto"/>
                <w:sz w:val="24"/>
                <w:szCs w:val="24"/>
              </w:rPr>
              <w:t>本项目</w:t>
            </w:r>
            <w:r>
              <w:rPr>
                <w:rFonts w:hint="eastAsia" w:ascii="Times New Roman" w:hAnsi="Times New Roman"/>
                <w:b w:val="0"/>
                <w:bCs w:val="0"/>
                <w:color w:val="auto"/>
                <w:sz w:val="24"/>
                <w:szCs w:val="24"/>
                <w:lang w:val="en-US" w:eastAsia="zh-CN"/>
              </w:rPr>
              <w:t>印刷</w:t>
            </w:r>
            <w:r>
              <w:rPr>
                <w:rFonts w:hint="eastAsia" w:ascii="Times New Roman" w:hAnsi="Times New Roman"/>
                <w:b w:val="0"/>
                <w:bCs w:val="0"/>
                <w:color w:val="auto"/>
                <w:sz w:val="24"/>
                <w:szCs w:val="24"/>
              </w:rPr>
              <w:t>、</w:t>
            </w:r>
            <w:r>
              <w:rPr>
                <w:rFonts w:hint="eastAsia"/>
                <w:b w:val="0"/>
                <w:bCs w:val="0"/>
                <w:color w:val="auto"/>
                <w:sz w:val="24"/>
                <w:szCs w:val="24"/>
                <w:lang w:val="en-US" w:eastAsia="zh-CN"/>
              </w:rPr>
              <w:t>胶黏、成型</w:t>
            </w:r>
            <w:r>
              <w:rPr>
                <w:rFonts w:ascii="Times New Roman" w:hAnsi="Times New Roman"/>
                <w:b w:val="0"/>
                <w:bCs w:val="0"/>
                <w:color w:val="auto"/>
                <w:sz w:val="24"/>
                <w:szCs w:val="24"/>
              </w:rPr>
              <w:t>过程</w:t>
            </w:r>
            <w:r>
              <w:rPr>
                <w:rFonts w:hint="eastAsia" w:ascii="Times New Roman" w:hAnsi="Times New Roman"/>
                <w:b w:val="0"/>
                <w:bCs w:val="0"/>
                <w:color w:val="auto"/>
                <w:sz w:val="24"/>
                <w:szCs w:val="24"/>
              </w:rPr>
              <w:t>中</w:t>
            </w:r>
            <w:r>
              <w:rPr>
                <w:rFonts w:ascii="Times New Roman" w:hAnsi="Times New Roman"/>
                <w:b w:val="0"/>
                <w:bCs w:val="0"/>
                <w:color w:val="auto"/>
                <w:sz w:val="24"/>
                <w:szCs w:val="24"/>
              </w:rPr>
              <w:t>产生的有机废气采用“</w:t>
            </w:r>
            <w:r>
              <w:rPr>
                <w:rFonts w:hint="eastAsia" w:ascii="Times New Roman" w:hAnsi="Times New Roman"/>
                <w:b w:val="0"/>
                <w:bCs w:val="0"/>
                <w:color w:val="auto"/>
                <w:sz w:val="24"/>
                <w:szCs w:val="24"/>
              </w:rPr>
              <w:t>二级活性炭吸附</w:t>
            </w:r>
            <w:r>
              <w:rPr>
                <w:rFonts w:ascii="Times New Roman" w:hAnsi="Times New Roman"/>
                <w:b w:val="0"/>
                <w:bCs w:val="0"/>
                <w:color w:val="auto"/>
                <w:sz w:val="24"/>
                <w:szCs w:val="24"/>
              </w:rPr>
              <w:t>”处理</w:t>
            </w:r>
            <w:r>
              <w:rPr>
                <w:rFonts w:hint="eastAsia"/>
                <w:b w:val="0"/>
                <w:bCs w:val="0"/>
                <w:color w:val="auto"/>
                <w:sz w:val="24"/>
                <w:szCs w:val="24"/>
                <w:lang w:val="en-US" w:eastAsia="zh-CN"/>
              </w:rPr>
              <w:t>措施可行。</w:t>
            </w:r>
          </w:p>
          <w:p>
            <w:pPr>
              <w:pStyle w:val="4"/>
              <w:pageBreakBefore w:val="0"/>
              <w:numPr>
                <w:ilvl w:val="-1"/>
                <w:numId w:val="0"/>
              </w:numPr>
              <w:kinsoku/>
              <w:wordWrap/>
              <w:overflowPunct/>
              <w:topLinePunct w:val="0"/>
              <w:autoSpaceDE/>
              <w:autoSpaceDN/>
              <w:bidi w:val="0"/>
              <w:adjustRightInd/>
              <w:snapToGrid/>
              <w:spacing w:before="0" w:after="0" w:line="500" w:lineRule="exact"/>
              <w:ind w:left="0" w:leftChars="0" w:firstLine="480" w:firstLineChars="200"/>
              <w:textAlignment w:val="auto"/>
              <w:rPr>
                <w:rFonts w:hint="eastAsia" w:eastAsia="宋体" w:cs="Times New Roman"/>
                <w:b w:val="0"/>
                <w:bCs w:val="0"/>
                <w:color w:val="auto"/>
                <w:spacing w:val="0"/>
                <w:kern w:val="0"/>
                <w:position w:val="0"/>
                <w:sz w:val="24"/>
                <w:szCs w:val="24"/>
                <w:lang w:val="en-US" w:eastAsia="zh-CN" w:bidi="ar"/>
              </w:rPr>
            </w:pPr>
            <w:r>
              <w:rPr>
                <w:rFonts w:hint="eastAsia"/>
                <w:b w:val="0"/>
                <w:bCs w:val="0"/>
                <w:spacing w:val="0"/>
                <w:sz w:val="24"/>
                <w:szCs w:val="24"/>
                <w:lang w:val="en-US" w:eastAsia="zh-CN"/>
              </w:rPr>
              <w:t>②袋式除尘器：</w:t>
            </w:r>
            <w:r>
              <w:rPr>
                <w:b w:val="0"/>
                <w:bCs w:val="0"/>
                <w:color w:val="auto"/>
                <w:kern w:val="0"/>
                <w:sz w:val="24"/>
                <w:szCs w:val="24"/>
              </w:rPr>
              <w:t>含尘气体从布袋式除尘器入口进入后，由导流管进入各单元室，在导流装置的作用下，大颗粒粉尘分离后直接落入灰斗，其余粉尘随气流均匀进入各舱室过滤区中的滤袋，当含尘气体穿过滤袋时，粉尘即被吸附在滤袋上，而被净化的气体从滤袋内排除。当吸附在滤袋上的粉尘达到一定厚度电磁阀开，喷吹空气从滤袋出口处自上而下与气体排出的相反方向进入滤袋，将吸附在滤袋外面的粉尘清落至下面的灰斗中，粉灰经卸灰阀排除后利用输灰系统送出。</w:t>
            </w:r>
            <w:r>
              <w:rPr>
                <w:rFonts w:hint="eastAsia"/>
                <w:b w:val="0"/>
                <w:bCs w:val="0"/>
                <w:color w:val="auto"/>
                <w:kern w:val="0"/>
                <w:sz w:val="24"/>
                <w:szCs w:val="24"/>
                <w:lang w:val="en-US" w:eastAsia="zh-CN"/>
              </w:rPr>
              <w:t>本</w:t>
            </w:r>
            <w:r>
              <w:rPr>
                <w:rFonts w:hint="eastAsia" w:ascii="Times New Roman" w:cs="Times New Roman"/>
                <w:b w:val="0"/>
                <w:bCs/>
                <w:color w:val="auto"/>
                <w:spacing w:val="0"/>
                <w:sz w:val="24"/>
                <w:szCs w:val="24"/>
              </w:rPr>
              <w:t>项目</w:t>
            </w:r>
            <w:r>
              <w:rPr>
                <w:rFonts w:hint="eastAsia" w:cs="Times New Roman"/>
                <w:b w:val="0"/>
                <w:bCs w:val="0"/>
                <w:color w:val="auto"/>
                <w:spacing w:val="0"/>
                <w:sz w:val="24"/>
                <w:szCs w:val="24"/>
                <w:lang w:val="en-US" w:eastAsia="zh-CN"/>
              </w:rPr>
              <w:t>袋式</w:t>
            </w:r>
            <w:r>
              <w:rPr>
                <w:rFonts w:hint="eastAsia" w:ascii="Times New Roman" w:cs="Times New Roman"/>
                <w:b w:val="0"/>
                <w:bCs/>
                <w:color w:val="auto"/>
                <w:spacing w:val="0"/>
                <w:sz w:val="24"/>
                <w:szCs w:val="24"/>
              </w:rPr>
              <w:t>除尘器的主要技术参数见</w:t>
            </w:r>
            <w:r>
              <w:rPr>
                <w:rFonts w:hint="eastAsia" w:ascii="Times New Roman" w:cs="Times New Roman"/>
                <w:b w:val="0"/>
                <w:bCs/>
                <w:color w:val="auto"/>
                <w:spacing w:val="0"/>
                <w:sz w:val="24"/>
                <w:szCs w:val="24"/>
                <w:lang w:val="en-US" w:eastAsia="zh-CN"/>
              </w:rPr>
              <w:t>下</w:t>
            </w:r>
            <w:r>
              <w:rPr>
                <w:rFonts w:hint="eastAsia" w:ascii="Times New Roman" w:cs="Times New Roman"/>
                <w:b w:val="0"/>
                <w:bCs/>
                <w:color w:val="auto"/>
                <w:spacing w:val="0"/>
                <w:sz w:val="24"/>
                <w:szCs w:val="24"/>
              </w:rPr>
              <w:t>表</w:t>
            </w:r>
            <w:r>
              <w:rPr>
                <w:rFonts w:hint="eastAsia" w:cs="Times New Roman"/>
                <w:b w:val="0"/>
                <w:bCs/>
                <w:color w:val="auto"/>
                <w:spacing w:val="0"/>
                <w:sz w:val="24"/>
                <w:szCs w:val="24"/>
                <w:lang w:eastAsia="zh-CN"/>
              </w:rPr>
              <w:t>，</w:t>
            </w:r>
            <w:r>
              <w:rPr>
                <w:rFonts w:hint="eastAsia" w:eastAsia="宋体" w:cs="Times New Roman"/>
                <w:b w:val="0"/>
                <w:bCs w:val="0"/>
                <w:color w:val="auto"/>
                <w:spacing w:val="0"/>
                <w:kern w:val="0"/>
                <w:position w:val="0"/>
                <w:sz w:val="24"/>
                <w:szCs w:val="24"/>
                <w:lang w:val="en-US" w:eastAsia="zh-CN" w:bidi="ar"/>
              </w:rPr>
              <w:t>布袋除尘器</w:t>
            </w:r>
            <w:r>
              <w:rPr>
                <w:rFonts w:hint="eastAsia" w:eastAsia="宋体" w:cs="Times New Roman"/>
                <w:b w:val="0"/>
                <w:bCs/>
                <w:color w:val="auto"/>
                <w:kern w:val="2"/>
                <w:sz w:val="24"/>
                <w:szCs w:val="24"/>
                <w:lang w:val="en-US" w:eastAsia="zh-CN" w:bidi="ar-SA"/>
              </w:rPr>
              <w:t>滤袋规格为133mm*2000mm，滤袋数量为50个，则过滤面积为0.133</w:t>
            </w:r>
            <w:r>
              <w:rPr>
                <w:rFonts w:hint="default" w:ascii="Times New Roman" w:hAnsi="Times New Roman" w:eastAsia="宋体" w:cs="Times New Roman"/>
                <w:b w:val="0"/>
                <w:bCs w:val="0"/>
                <w:color w:val="auto"/>
                <w:spacing w:val="0"/>
                <w:kern w:val="0"/>
                <w:position w:val="0"/>
                <w:sz w:val="24"/>
                <w:szCs w:val="24"/>
                <w:lang w:val="en-US" w:eastAsia="zh-CN" w:bidi="ar"/>
              </w:rPr>
              <w:t>×</w:t>
            </w:r>
            <w:r>
              <w:rPr>
                <w:rFonts w:hint="eastAsia" w:eastAsia="宋体" w:cs="Times New Roman"/>
                <w:b w:val="0"/>
                <w:bCs w:val="0"/>
                <w:color w:val="auto"/>
                <w:spacing w:val="0"/>
                <w:kern w:val="0"/>
                <w:position w:val="0"/>
                <w:sz w:val="24"/>
                <w:szCs w:val="24"/>
                <w:lang w:val="en-US" w:eastAsia="zh-CN" w:bidi="ar"/>
              </w:rPr>
              <w:t>3.14</w:t>
            </w:r>
            <w:r>
              <w:rPr>
                <w:rFonts w:hint="default" w:ascii="Times New Roman" w:hAnsi="Times New Roman" w:eastAsia="宋体" w:cs="Times New Roman"/>
                <w:b w:val="0"/>
                <w:bCs w:val="0"/>
                <w:color w:val="auto"/>
                <w:spacing w:val="0"/>
                <w:kern w:val="0"/>
                <w:position w:val="0"/>
                <w:sz w:val="24"/>
                <w:szCs w:val="24"/>
                <w:lang w:val="en-US" w:eastAsia="zh-CN" w:bidi="ar"/>
              </w:rPr>
              <w:t>×</w:t>
            </w:r>
            <w:r>
              <w:rPr>
                <w:rFonts w:hint="eastAsia" w:eastAsia="宋体" w:cs="Times New Roman"/>
                <w:b w:val="0"/>
                <w:bCs w:val="0"/>
                <w:color w:val="auto"/>
                <w:spacing w:val="0"/>
                <w:kern w:val="0"/>
                <w:position w:val="0"/>
                <w:sz w:val="24"/>
                <w:szCs w:val="24"/>
                <w:lang w:val="en-US" w:eastAsia="zh-CN" w:bidi="ar"/>
              </w:rPr>
              <w:t>2</w:t>
            </w:r>
            <w:r>
              <w:rPr>
                <w:rFonts w:hint="default" w:ascii="Times New Roman" w:hAnsi="Times New Roman" w:eastAsia="宋体" w:cs="Times New Roman"/>
                <w:b w:val="0"/>
                <w:bCs w:val="0"/>
                <w:color w:val="auto"/>
                <w:spacing w:val="0"/>
                <w:kern w:val="0"/>
                <w:position w:val="0"/>
                <w:sz w:val="24"/>
                <w:szCs w:val="24"/>
                <w:lang w:val="en-US" w:eastAsia="zh-CN" w:bidi="ar"/>
              </w:rPr>
              <w:t>×</w:t>
            </w:r>
            <w:r>
              <w:rPr>
                <w:rFonts w:hint="eastAsia" w:eastAsia="宋体" w:cs="Times New Roman"/>
                <w:b w:val="0"/>
                <w:bCs w:val="0"/>
                <w:color w:val="auto"/>
                <w:spacing w:val="0"/>
                <w:kern w:val="0"/>
                <w:position w:val="0"/>
                <w:sz w:val="24"/>
                <w:szCs w:val="24"/>
                <w:lang w:val="en-US" w:eastAsia="zh-CN" w:bidi="ar"/>
              </w:rPr>
              <w:t>50</w:t>
            </w:r>
            <w:r>
              <w:rPr>
                <w:rFonts w:hint="eastAsia"/>
                <w:color w:val="auto"/>
                <w:spacing w:val="0"/>
                <w:sz w:val="24"/>
              </w:rPr>
              <w:t>≈</w:t>
            </w:r>
            <w:r>
              <w:rPr>
                <w:rFonts w:hint="eastAsia" w:eastAsia="宋体" w:cs="Times New Roman"/>
                <w:b w:val="0"/>
                <w:bCs w:val="0"/>
                <w:color w:val="auto"/>
                <w:spacing w:val="0"/>
                <w:kern w:val="0"/>
                <w:position w:val="0"/>
                <w:sz w:val="24"/>
                <w:szCs w:val="24"/>
                <w:lang w:val="en-US" w:eastAsia="zh-CN" w:bidi="ar"/>
              </w:rPr>
              <w:t>41.8m</w:t>
            </w:r>
            <w:r>
              <w:rPr>
                <w:rFonts w:hint="eastAsia" w:eastAsia="宋体" w:cs="Times New Roman"/>
                <w:b w:val="0"/>
                <w:bCs w:val="0"/>
                <w:color w:val="auto"/>
                <w:spacing w:val="0"/>
                <w:kern w:val="0"/>
                <w:position w:val="0"/>
                <w:sz w:val="24"/>
                <w:szCs w:val="24"/>
                <w:vertAlign w:val="superscript"/>
                <w:lang w:val="en-US" w:eastAsia="zh-CN" w:bidi="ar"/>
              </w:rPr>
              <w:t>2</w:t>
            </w:r>
            <w:r>
              <w:rPr>
                <w:rFonts w:hint="eastAsia" w:eastAsia="宋体" w:cs="Times New Roman"/>
                <w:b w:val="0"/>
                <w:bCs w:val="0"/>
                <w:color w:val="auto"/>
                <w:spacing w:val="0"/>
                <w:kern w:val="0"/>
                <w:position w:val="0"/>
                <w:sz w:val="24"/>
                <w:szCs w:val="24"/>
                <w:vertAlign w:val="baseline"/>
                <w:lang w:val="en-US" w:eastAsia="zh-CN" w:bidi="ar"/>
              </w:rPr>
              <w:t>，过滤风速1.2m/min。</w:t>
            </w:r>
          </w:p>
          <w:p>
            <w:pPr>
              <w:pStyle w:val="38"/>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eastAsia" w:ascii="Times New Roman" w:eastAsia="宋体" w:cs="Times New Roman"/>
                <w:b/>
                <w:bCs/>
                <w:color w:val="auto"/>
                <w:spacing w:val="0"/>
                <w:lang w:eastAsia="zh-CN"/>
              </w:rPr>
            </w:pPr>
            <w:r>
              <w:rPr>
                <w:rFonts w:hint="eastAsia" w:asciiTheme="majorEastAsia" w:hAnsiTheme="majorEastAsia" w:eastAsiaTheme="majorEastAsia" w:cstheme="majorEastAsia"/>
                <w:b/>
                <w:bCs/>
                <w:color w:val="auto"/>
                <w:spacing w:val="0"/>
              </w:rPr>
              <w:t>表</w:t>
            </w:r>
            <w:r>
              <w:rPr>
                <w:rFonts w:hint="default" w:ascii="Times New Roman" w:hAnsi="Times New Roman" w:cs="Times New Roman" w:eastAsiaTheme="majorEastAsia"/>
                <w:b/>
                <w:bCs/>
                <w:color w:val="auto"/>
                <w:spacing w:val="0"/>
              </w:rPr>
              <w:t>4-</w:t>
            </w:r>
            <w:r>
              <w:rPr>
                <w:rFonts w:hint="eastAsia" w:ascii="Times New Roman" w:cs="Times New Roman" w:eastAsiaTheme="majorEastAsia"/>
                <w:b/>
                <w:bCs/>
                <w:color w:val="auto"/>
                <w:spacing w:val="0"/>
                <w:lang w:val="en-US" w:eastAsia="zh-CN"/>
              </w:rPr>
              <w:t>10</w:t>
            </w:r>
            <w:r>
              <w:rPr>
                <w:rFonts w:hint="default" w:ascii="Times New Roman" w:hAnsi="Times New Roman" w:cs="Times New Roman" w:eastAsiaTheme="majorEastAsia"/>
                <w:b/>
                <w:bCs/>
                <w:color w:val="auto"/>
                <w:spacing w:val="0"/>
              </w:rPr>
              <w:t xml:space="preserve"> </w:t>
            </w:r>
            <w:r>
              <w:rPr>
                <w:rFonts w:hint="eastAsia" w:asciiTheme="majorEastAsia" w:hAnsiTheme="majorEastAsia" w:eastAsiaTheme="majorEastAsia" w:cstheme="majorEastAsia"/>
                <w:b/>
                <w:bCs/>
                <w:color w:val="auto"/>
                <w:spacing w:val="0"/>
              </w:rPr>
              <w:t xml:space="preserve"> </w:t>
            </w:r>
            <w:r>
              <w:rPr>
                <w:rFonts w:hint="eastAsia" w:asciiTheme="majorEastAsia" w:hAnsiTheme="majorEastAsia" w:eastAsiaTheme="majorEastAsia" w:cstheme="majorEastAsia"/>
                <w:b/>
                <w:bCs/>
                <w:color w:val="auto"/>
                <w:spacing w:val="0"/>
                <w:lang w:val="en-US" w:eastAsia="zh-CN"/>
              </w:rPr>
              <w:t>袋式</w:t>
            </w:r>
            <w:r>
              <w:rPr>
                <w:rFonts w:hint="eastAsia" w:asciiTheme="majorEastAsia" w:hAnsiTheme="majorEastAsia" w:eastAsiaTheme="majorEastAsia" w:cstheme="majorEastAsia"/>
                <w:b/>
                <w:bCs/>
                <w:color w:val="auto"/>
                <w:spacing w:val="0"/>
              </w:rPr>
              <w:t>除尘器技术参数一览表</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2154"/>
              <w:gridCol w:w="44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pct"/>
                  <w:tcBorders>
                    <w:tl2br w:val="nil"/>
                    <w:tr2bl w:val="nil"/>
                  </w:tcBorders>
                  <w:noWrap w:val="0"/>
                  <w:vAlign w:val="top"/>
                </w:tcPr>
                <w:p>
                  <w:pPr>
                    <w:tabs>
                      <w:tab w:val="left" w:pos="2160"/>
                    </w:tabs>
                    <w:adjustRightInd w:val="0"/>
                    <w:snapToGrid w:val="0"/>
                    <w:spacing w:line="320" w:lineRule="exact"/>
                    <w:jc w:val="center"/>
                    <w:rPr>
                      <w:b/>
                      <w:bCs/>
                      <w:color w:val="auto"/>
                      <w:sz w:val="21"/>
                      <w:szCs w:val="21"/>
                    </w:rPr>
                  </w:pPr>
                  <w:r>
                    <w:rPr>
                      <w:rFonts w:hint="eastAsia"/>
                      <w:b/>
                      <w:bCs/>
                      <w:color w:val="auto"/>
                      <w:sz w:val="21"/>
                      <w:szCs w:val="21"/>
                    </w:rPr>
                    <w:t>序号</w:t>
                  </w:r>
                </w:p>
              </w:tc>
              <w:tc>
                <w:tcPr>
                  <w:tcW w:w="1266" w:type="pct"/>
                  <w:tcBorders>
                    <w:tl2br w:val="nil"/>
                    <w:tr2bl w:val="nil"/>
                  </w:tcBorders>
                  <w:noWrap w:val="0"/>
                  <w:vAlign w:val="top"/>
                </w:tcPr>
                <w:p>
                  <w:pPr>
                    <w:tabs>
                      <w:tab w:val="left" w:pos="2160"/>
                    </w:tabs>
                    <w:adjustRightInd w:val="0"/>
                    <w:snapToGrid w:val="0"/>
                    <w:spacing w:line="320" w:lineRule="exact"/>
                    <w:jc w:val="center"/>
                    <w:rPr>
                      <w:b/>
                      <w:bCs/>
                      <w:color w:val="auto"/>
                      <w:sz w:val="21"/>
                      <w:szCs w:val="21"/>
                    </w:rPr>
                  </w:pPr>
                  <w:r>
                    <w:rPr>
                      <w:rFonts w:hint="eastAsia"/>
                      <w:b/>
                      <w:bCs/>
                      <w:color w:val="auto"/>
                      <w:sz w:val="21"/>
                      <w:szCs w:val="21"/>
                    </w:rPr>
                    <w:t>名称</w:t>
                  </w:r>
                </w:p>
              </w:tc>
              <w:tc>
                <w:tcPr>
                  <w:tcW w:w="2629" w:type="pct"/>
                  <w:tcBorders>
                    <w:tl2br w:val="nil"/>
                    <w:tr2bl w:val="nil"/>
                  </w:tcBorders>
                  <w:noWrap w:val="0"/>
                  <w:vAlign w:val="top"/>
                </w:tcPr>
                <w:p>
                  <w:pPr>
                    <w:tabs>
                      <w:tab w:val="left" w:pos="2160"/>
                    </w:tabs>
                    <w:adjustRightInd w:val="0"/>
                    <w:snapToGrid w:val="0"/>
                    <w:spacing w:line="320" w:lineRule="exact"/>
                    <w:jc w:val="center"/>
                    <w:rPr>
                      <w:b/>
                      <w:bCs/>
                      <w:color w:val="auto"/>
                      <w:sz w:val="21"/>
                      <w:szCs w:val="21"/>
                    </w:rPr>
                  </w:pPr>
                  <w:r>
                    <w:rPr>
                      <w:rFonts w:hint="eastAsia"/>
                      <w:b/>
                      <w:bCs/>
                      <w:color w:val="auto"/>
                      <w:sz w:val="21"/>
                      <w:szCs w:val="21"/>
                    </w:rPr>
                    <w:t>技术参数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1</w:t>
                  </w:r>
                </w:p>
              </w:tc>
              <w:tc>
                <w:tcPr>
                  <w:tcW w:w="1266"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处理风量</w:t>
                  </w:r>
                </w:p>
              </w:tc>
              <w:tc>
                <w:tcPr>
                  <w:tcW w:w="2629"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lang w:val="en-US" w:eastAsia="zh-CN"/>
                    </w:rPr>
                    <w:t>3000</w:t>
                  </w:r>
                  <w:r>
                    <w:rPr>
                      <w:rFonts w:hint="eastAsia"/>
                      <w:color w:val="auto"/>
                      <w:sz w:val="21"/>
                      <w:szCs w:val="21"/>
                    </w:rPr>
                    <w:t>m</w:t>
                  </w:r>
                  <w:r>
                    <w:rPr>
                      <w:rFonts w:hint="eastAsia"/>
                      <w:color w:val="auto"/>
                      <w:sz w:val="21"/>
                      <w:szCs w:val="21"/>
                      <w:vertAlign w:val="superscript"/>
                    </w:rPr>
                    <w:t xml:space="preserve">3 </w:t>
                  </w:r>
                  <w:r>
                    <w:rPr>
                      <w:rFonts w:hint="eastAsia"/>
                      <w:color w:val="auto"/>
                      <w:sz w:val="21"/>
                      <w:szCs w:val="21"/>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2</w:t>
                  </w:r>
                </w:p>
              </w:tc>
              <w:tc>
                <w:tcPr>
                  <w:tcW w:w="1266"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 xml:space="preserve">布袋尺寸 </w:t>
                  </w:r>
                </w:p>
              </w:tc>
              <w:tc>
                <w:tcPr>
                  <w:tcW w:w="2629"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default" w:ascii="Times New Roman" w:hAnsi="Times New Roman" w:cs="Times New Roman"/>
                      <w:b w:val="0"/>
                      <w:bCs/>
                      <w:color w:val="auto"/>
                      <w:sz w:val="21"/>
                      <w:szCs w:val="21"/>
                    </w:rPr>
                    <w:t>Φ</w:t>
                  </w:r>
                  <w:r>
                    <w:rPr>
                      <w:rFonts w:hint="eastAsia"/>
                      <w:color w:val="auto"/>
                      <w:sz w:val="21"/>
                      <w:szCs w:val="21"/>
                    </w:rPr>
                    <w:t>1</w:t>
                  </w:r>
                  <w:r>
                    <w:rPr>
                      <w:rFonts w:hint="eastAsia"/>
                      <w:color w:val="auto"/>
                      <w:sz w:val="21"/>
                      <w:szCs w:val="21"/>
                      <w:lang w:val="en-US" w:eastAsia="zh-CN"/>
                    </w:rPr>
                    <w:t>33</w:t>
                  </w:r>
                  <w:r>
                    <w:rPr>
                      <w:rFonts w:hint="eastAsia"/>
                      <w:color w:val="auto"/>
                      <w:sz w:val="21"/>
                      <w:szCs w:val="21"/>
                    </w:rPr>
                    <w:t>×</w:t>
                  </w:r>
                  <w:r>
                    <w:rPr>
                      <w:rFonts w:hint="eastAsia"/>
                      <w:color w:val="auto"/>
                      <w:sz w:val="21"/>
                      <w:szCs w:val="21"/>
                      <w:lang w:val="en-US" w:eastAsia="zh-CN"/>
                    </w:rPr>
                    <w:t>20</w:t>
                  </w:r>
                  <w:r>
                    <w:rPr>
                      <w:rFonts w:hint="eastAsia"/>
                      <w:color w:val="auto"/>
                      <w:sz w:val="21"/>
                      <w:szCs w:val="21"/>
                    </w:rPr>
                    <w:t>00mm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3</w:t>
                  </w:r>
                </w:p>
              </w:tc>
              <w:tc>
                <w:tcPr>
                  <w:tcW w:w="1266"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 xml:space="preserve">布袋数量 </w:t>
                  </w:r>
                </w:p>
              </w:tc>
              <w:tc>
                <w:tcPr>
                  <w:tcW w:w="2629"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lang w:val="en-US" w:eastAsia="zh-CN"/>
                    </w:rPr>
                    <w:t>50</w:t>
                  </w:r>
                  <w:r>
                    <w:rPr>
                      <w:rFonts w:hint="eastAsia"/>
                      <w:color w:val="auto"/>
                      <w:sz w:val="21"/>
                      <w:szCs w:val="21"/>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4</w:t>
                  </w:r>
                </w:p>
              </w:tc>
              <w:tc>
                <w:tcPr>
                  <w:tcW w:w="1266"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 xml:space="preserve">布袋材质 </w:t>
                  </w:r>
                </w:p>
              </w:tc>
              <w:tc>
                <w:tcPr>
                  <w:tcW w:w="2629"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涤纶针刺钻(防静电)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5</w:t>
                  </w:r>
                </w:p>
              </w:tc>
              <w:tc>
                <w:tcPr>
                  <w:tcW w:w="1266"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布袋寿命</w:t>
                  </w:r>
                </w:p>
              </w:tc>
              <w:tc>
                <w:tcPr>
                  <w:tcW w:w="2629"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1~3年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6</w:t>
                  </w:r>
                </w:p>
              </w:tc>
              <w:tc>
                <w:tcPr>
                  <w:tcW w:w="1266"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过滤面积</w:t>
                  </w:r>
                </w:p>
              </w:tc>
              <w:tc>
                <w:tcPr>
                  <w:tcW w:w="2629"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lang w:val="en-US" w:eastAsia="zh-CN"/>
                    </w:rPr>
                    <w:t>41.8</w:t>
                  </w:r>
                  <w:r>
                    <w:rPr>
                      <w:rFonts w:hint="eastAsia"/>
                      <w:color w:val="auto"/>
                      <w:sz w:val="21"/>
                      <w:szCs w:val="21"/>
                    </w:rPr>
                    <w:t>m</w:t>
                  </w:r>
                  <w:r>
                    <w:rPr>
                      <w:rFonts w:hint="eastAsia"/>
                      <w:color w:val="auto"/>
                      <w:sz w:val="21"/>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7</w:t>
                  </w:r>
                </w:p>
              </w:tc>
              <w:tc>
                <w:tcPr>
                  <w:tcW w:w="1266"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过滤风速</w:t>
                  </w:r>
                </w:p>
              </w:tc>
              <w:tc>
                <w:tcPr>
                  <w:tcW w:w="2629"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lang w:val="en-US" w:eastAsia="zh-CN"/>
                    </w:rPr>
                    <w:t>1.2</w:t>
                  </w:r>
                  <w:r>
                    <w:rPr>
                      <w:rFonts w:hint="eastAsia"/>
                      <w:color w:val="auto"/>
                      <w:sz w:val="21"/>
                      <w:szCs w:val="21"/>
                    </w:rPr>
                    <w:t>m/min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8</w:t>
                  </w:r>
                </w:p>
              </w:tc>
              <w:tc>
                <w:tcPr>
                  <w:tcW w:w="1266"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rFonts w:hint="eastAsia"/>
                      <w:color w:val="auto"/>
                      <w:sz w:val="21"/>
                      <w:szCs w:val="21"/>
                    </w:rPr>
                    <w:t xml:space="preserve">过滤效率 </w:t>
                  </w:r>
                </w:p>
              </w:tc>
              <w:tc>
                <w:tcPr>
                  <w:tcW w:w="2629" w:type="pct"/>
                  <w:tcBorders>
                    <w:tl2br w:val="nil"/>
                    <w:tr2bl w:val="nil"/>
                  </w:tcBorders>
                  <w:noWrap w:val="0"/>
                  <w:vAlign w:val="top"/>
                </w:tcPr>
                <w:p>
                  <w:pPr>
                    <w:tabs>
                      <w:tab w:val="left" w:pos="2160"/>
                    </w:tabs>
                    <w:adjustRightInd w:val="0"/>
                    <w:snapToGrid w:val="0"/>
                    <w:spacing w:line="320" w:lineRule="exact"/>
                    <w:jc w:val="center"/>
                    <w:rPr>
                      <w:color w:val="auto"/>
                      <w:sz w:val="21"/>
                      <w:szCs w:val="21"/>
                    </w:rPr>
                  </w:pPr>
                  <w:r>
                    <w:rPr>
                      <w:color w:val="auto"/>
                      <w:sz w:val="21"/>
                      <w:szCs w:val="21"/>
                    </w:rPr>
                    <w:t>一般在9</w:t>
                  </w:r>
                  <w:r>
                    <w:rPr>
                      <w:rFonts w:hint="eastAsia"/>
                      <w:color w:val="auto"/>
                      <w:sz w:val="21"/>
                      <w:szCs w:val="21"/>
                    </w:rPr>
                    <w:t>5</w:t>
                  </w:r>
                  <w:r>
                    <w:rPr>
                      <w:rFonts w:hint="eastAsia"/>
                      <w:color w:val="auto"/>
                      <w:sz w:val="21"/>
                      <w:szCs w:val="21"/>
                      <w:lang w:val="en-US" w:eastAsia="zh-CN"/>
                    </w:rPr>
                    <w:t>%</w:t>
                  </w:r>
                  <w:r>
                    <w:rPr>
                      <w:color w:val="auto"/>
                      <w:sz w:val="21"/>
                      <w:szCs w:val="21"/>
                    </w:rPr>
                    <w:t>以上</w:t>
                  </w:r>
                </w:p>
              </w:tc>
            </w:tr>
          </w:tbl>
          <w:p>
            <w:pPr>
              <w:keepNext w:val="0"/>
              <w:keepLines w:val="0"/>
              <w:pageBreakBefore w:val="0"/>
              <w:kinsoku/>
              <w:wordWrap/>
              <w:overflowPunct/>
              <w:topLinePunct w:val="0"/>
              <w:autoSpaceDE/>
              <w:autoSpaceDN/>
              <w:bidi w:val="0"/>
              <w:adjustRightInd w:val="0"/>
              <w:snapToGrid w:val="0"/>
              <w:spacing w:line="500" w:lineRule="exact"/>
              <w:ind w:firstLine="480" w:firstLineChars="200"/>
              <w:jc w:val="both"/>
              <w:textAlignment w:val="auto"/>
              <w:rPr>
                <w:rFonts w:ascii="Times New Roman" w:hAnsi="Times New Roman"/>
                <w:color w:val="000000"/>
              </w:rPr>
            </w:pPr>
            <w:r>
              <w:rPr>
                <w:rFonts w:hint="eastAsia" w:ascii="Times New Roman" w:hAnsi="Times New Roman"/>
                <w:snapToGrid w:val="0"/>
                <w:color w:val="000000"/>
                <w:kern w:val="0"/>
                <w:sz w:val="24"/>
                <w:szCs w:val="24"/>
              </w:rPr>
              <w:t>本项目采用</w:t>
            </w:r>
            <w:r>
              <w:rPr>
                <w:rFonts w:hint="eastAsia" w:ascii="Times New Roman" w:hAnsi="Times New Roman"/>
                <w:snapToGrid w:val="0"/>
                <w:color w:val="000000"/>
                <w:kern w:val="0"/>
                <w:sz w:val="24"/>
                <w:szCs w:val="24"/>
                <w:lang w:val="en-US" w:eastAsia="zh-CN"/>
              </w:rPr>
              <w:t>布袋除尘器</w:t>
            </w:r>
            <w:r>
              <w:rPr>
                <w:rFonts w:hint="eastAsia" w:ascii="Times New Roman" w:hAnsi="Times New Roman"/>
                <w:snapToGrid w:val="0"/>
                <w:color w:val="000000"/>
                <w:kern w:val="0"/>
                <w:sz w:val="24"/>
                <w:szCs w:val="24"/>
              </w:rPr>
              <w:t>处理</w:t>
            </w:r>
            <w:r>
              <w:rPr>
                <w:rFonts w:hint="eastAsia"/>
                <w:snapToGrid w:val="0"/>
                <w:color w:val="000000"/>
                <w:kern w:val="0"/>
                <w:sz w:val="24"/>
                <w:szCs w:val="24"/>
                <w:lang w:val="en-US" w:eastAsia="zh-CN"/>
              </w:rPr>
              <w:t>木制品加工</w:t>
            </w:r>
            <w:r>
              <w:rPr>
                <w:rFonts w:hint="eastAsia" w:ascii="Times New Roman" w:hAnsi="Times New Roman"/>
                <w:snapToGrid w:val="0"/>
                <w:color w:val="000000"/>
                <w:kern w:val="0"/>
                <w:sz w:val="24"/>
                <w:szCs w:val="24"/>
              </w:rPr>
              <w:t>过程产生的</w:t>
            </w:r>
            <w:r>
              <w:rPr>
                <w:rFonts w:hint="eastAsia" w:ascii="Times New Roman" w:hAnsi="Times New Roman"/>
                <w:snapToGrid w:val="0"/>
                <w:color w:val="000000"/>
                <w:kern w:val="0"/>
                <w:sz w:val="24"/>
                <w:szCs w:val="24"/>
                <w:lang w:val="en-US" w:eastAsia="zh-CN"/>
              </w:rPr>
              <w:t>颗粒物</w:t>
            </w:r>
            <w:r>
              <w:rPr>
                <w:rFonts w:hint="eastAsia" w:ascii="Times New Roman" w:hAnsi="Times New Roman"/>
                <w:snapToGrid w:val="0"/>
                <w:color w:val="000000"/>
                <w:kern w:val="0"/>
                <w:sz w:val="24"/>
                <w:szCs w:val="24"/>
              </w:rPr>
              <w:t>，为</w:t>
            </w:r>
            <w:r>
              <w:rPr>
                <w:rFonts w:ascii="Times New Roman" w:hAnsi="Times New Roman"/>
                <w:color w:val="000000"/>
                <w:sz w:val="24"/>
                <w:szCs w:val="24"/>
              </w:rPr>
              <w:t xml:space="preserve">《排污许可证申请与核发技术规范 </w:t>
            </w:r>
            <w:r>
              <w:rPr>
                <w:rFonts w:hint="eastAsia"/>
                <w:color w:val="000000"/>
                <w:sz w:val="24"/>
                <w:szCs w:val="24"/>
                <w:lang w:val="en-US" w:eastAsia="zh-CN"/>
              </w:rPr>
              <w:t>总则</w:t>
            </w:r>
            <w:r>
              <w:rPr>
                <w:rFonts w:ascii="Times New Roman" w:hAnsi="Times New Roman"/>
                <w:color w:val="000000"/>
                <w:sz w:val="24"/>
                <w:szCs w:val="24"/>
              </w:rPr>
              <w:t>》（HJ</w:t>
            </w:r>
            <w:r>
              <w:rPr>
                <w:rFonts w:hint="eastAsia"/>
                <w:color w:val="000000"/>
                <w:sz w:val="24"/>
                <w:szCs w:val="24"/>
                <w:lang w:val="en-US" w:eastAsia="zh-CN"/>
              </w:rPr>
              <w:t>942</w:t>
            </w:r>
            <w:r>
              <w:rPr>
                <w:rFonts w:ascii="Times New Roman" w:hAnsi="Times New Roman"/>
                <w:color w:val="000000"/>
                <w:sz w:val="24"/>
                <w:szCs w:val="24"/>
              </w:rPr>
              <w:t>-201</w:t>
            </w:r>
            <w:r>
              <w:rPr>
                <w:rFonts w:hint="eastAsia"/>
                <w:color w:val="000000"/>
                <w:sz w:val="24"/>
                <w:szCs w:val="24"/>
                <w:lang w:val="en-US" w:eastAsia="zh-CN"/>
              </w:rPr>
              <w:t>8</w:t>
            </w:r>
            <w:r>
              <w:rPr>
                <w:rFonts w:ascii="Times New Roman" w:hAnsi="Times New Roman"/>
                <w:color w:val="000000"/>
                <w:sz w:val="24"/>
                <w:szCs w:val="24"/>
              </w:rPr>
              <w:t>）</w:t>
            </w:r>
            <w:r>
              <w:rPr>
                <w:rFonts w:hint="eastAsia" w:ascii="Times New Roman" w:hAnsi="Times New Roman"/>
                <w:snapToGrid w:val="0"/>
                <w:color w:val="000000"/>
                <w:kern w:val="0"/>
                <w:sz w:val="24"/>
                <w:szCs w:val="24"/>
              </w:rPr>
              <w:t>推荐可行措施</w:t>
            </w:r>
            <w:r>
              <w:rPr>
                <w:rFonts w:ascii="Times New Roman" w:hAnsi="Times New Roman"/>
                <w:color w:val="000000"/>
                <w:sz w:val="24"/>
                <w:szCs w:val="24"/>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default" w:ascii="宋体" w:hAnsi="宋体" w:cs="宋体"/>
                <w:b/>
                <w:bCs w:val="0"/>
                <w:spacing w:val="0"/>
                <w:sz w:val="24"/>
                <w:lang w:val="en-US" w:eastAsia="zh-CN"/>
              </w:rPr>
            </w:pPr>
            <w:r>
              <w:rPr>
                <w:rFonts w:hint="eastAsia" w:ascii="宋体" w:hAnsi="宋体" w:cs="宋体"/>
                <w:b/>
                <w:bCs w:val="0"/>
                <w:spacing w:val="0"/>
                <w:sz w:val="24"/>
                <w:lang w:val="en-US" w:eastAsia="zh-CN"/>
              </w:rPr>
              <w:t>（</w:t>
            </w:r>
            <w:r>
              <w:rPr>
                <w:rFonts w:hint="default" w:ascii="Times New Roman" w:hAnsi="Times New Roman" w:cs="Times New Roman"/>
                <w:b/>
                <w:bCs w:val="0"/>
                <w:spacing w:val="0"/>
                <w:sz w:val="24"/>
                <w:lang w:val="en-US" w:eastAsia="zh-CN"/>
              </w:rPr>
              <w:t>7</w:t>
            </w:r>
            <w:r>
              <w:rPr>
                <w:rFonts w:hint="eastAsia" w:ascii="宋体" w:hAnsi="宋体" w:cs="宋体"/>
                <w:b/>
                <w:bCs w:val="0"/>
                <w:spacing w:val="0"/>
                <w:sz w:val="24"/>
                <w:lang w:val="en-US" w:eastAsia="zh-CN"/>
              </w:rPr>
              <w:t>）异味影响分析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401"/>
              <w:jc w:val="both"/>
              <w:textAlignment w:val="auto"/>
              <w:rPr>
                <w:rFonts w:hint="eastAsia" w:ascii="Times New Roman" w:hAnsi="Times New Roman" w:cs="Times New Roman"/>
                <w:b w:val="0"/>
                <w:bCs/>
                <w:spacing w:val="0"/>
                <w:sz w:val="24"/>
                <w:vertAlign w:val="baseline"/>
                <w:lang w:val="en-US" w:eastAsia="zh-CN"/>
              </w:rPr>
            </w:pPr>
            <w:r>
              <w:rPr>
                <w:rFonts w:hint="eastAsia" w:ascii="宋体" w:hAnsi="宋体" w:cs="宋体"/>
                <w:b w:val="0"/>
                <w:bCs/>
                <w:spacing w:val="0"/>
                <w:sz w:val="24"/>
                <w:lang w:val="en-US" w:eastAsia="zh-CN"/>
              </w:rPr>
              <w:t>本项目在生产过程中产生的异味主要有</w:t>
            </w:r>
            <w:r>
              <w:rPr>
                <w:rFonts w:hint="default" w:ascii="Times New Roman" w:hAnsi="Times New Roman" w:cs="Times New Roman"/>
                <w:b w:val="0"/>
                <w:bCs/>
                <w:spacing w:val="0"/>
                <w:sz w:val="24"/>
                <w:lang w:val="en-US" w:eastAsia="zh-CN"/>
              </w:rPr>
              <w:t>VOC</w:t>
            </w:r>
            <w:r>
              <w:rPr>
                <w:rFonts w:hint="default" w:ascii="Times New Roman" w:hAnsi="Times New Roman" w:cs="Times New Roman"/>
                <w:b w:val="0"/>
                <w:bCs/>
                <w:spacing w:val="0"/>
                <w:sz w:val="24"/>
                <w:vertAlign w:val="subscript"/>
                <w:lang w:val="en-US" w:eastAsia="zh-CN"/>
              </w:rPr>
              <w:t>S</w:t>
            </w:r>
            <w:r>
              <w:rPr>
                <w:rFonts w:hint="eastAsia" w:ascii="Times New Roman" w:hAnsi="Times New Roman" w:cs="Times New Roman"/>
                <w:b w:val="0"/>
                <w:bCs/>
                <w:spacing w:val="0"/>
                <w:sz w:val="24"/>
                <w:vertAlign w:val="baseline"/>
                <w:lang w:val="en-US" w:eastAsia="zh-CN"/>
              </w:rPr>
              <w:t>，具有刺激性，令人不愉快的异味，以臭气浓度计。目前，国外对恶臭强度的分级和测定多以人的嗅觉器官作为基础得到，如德国臭气强度5级分级（1958）年；日本的臭气强度6级分级（1972）年等。这种测定方法以经过训练合格的5-8名臭气监测员以自身的恶臭感知能力对恶臭进行强度监测。北京环境监测中心在吸取外国经验的基础上提出了恶臭6级分级法，该分级法以感受器-嗅觉的感觉和人的主观感觉特征两个方面来描述各级特征，既明确了各级的差别，也提高了分级的准确程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2865" w:firstLineChars="1189"/>
              <w:jc w:val="both"/>
              <w:textAlignment w:val="auto"/>
              <w:rPr>
                <w:rFonts w:hint="eastAsia" w:ascii="宋体" w:hAnsi="宋体" w:eastAsia="宋体" w:cs="宋体"/>
                <w:b/>
                <w:bCs w:val="0"/>
                <w:spacing w:val="0"/>
                <w:sz w:val="24"/>
                <w:szCs w:val="24"/>
                <w:vertAlign w:val="baseline"/>
                <w:lang w:val="en-US" w:eastAsia="zh-CN"/>
              </w:rPr>
            </w:pPr>
            <w:r>
              <w:rPr>
                <w:rFonts w:hint="eastAsia" w:ascii="宋体" w:hAnsi="宋体" w:eastAsia="宋体" w:cs="宋体"/>
                <w:b/>
                <w:bCs w:val="0"/>
                <w:spacing w:val="0"/>
                <w:sz w:val="24"/>
                <w:szCs w:val="24"/>
                <w:vertAlign w:val="baseline"/>
                <w:lang w:val="en-US" w:eastAsia="zh-CN"/>
              </w:rPr>
              <w:t xml:space="preserve">表 </w:t>
            </w:r>
            <w:r>
              <w:rPr>
                <w:rFonts w:hint="default" w:ascii="Times New Roman" w:hAnsi="Times New Roman" w:cs="Times New Roman"/>
                <w:b/>
                <w:bCs w:val="0"/>
                <w:spacing w:val="0"/>
                <w:sz w:val="24"/>
                <w:szCs w:val="24"/>
                <w:vertAlign w:val="baseline"/>
                <w:lang w:val="en-US" w:eastAsia="zh-CN"/>
              </w:rPr>
              <w:t>4-</w:t>
            </w:r>
            <w:r>
              <w:rPr>
                <w:rFonts w:hint="eastAsia" w:cs="Times New Roman"/>
                <w:b/>
                <w:bCs w:val="0"/>
                <w:spacing w:val="0"/>
                <w:sz w:val="24"/>
                <w:szCs w:val="24"/>
                <w:vertAlign w:val="baseline"/>
                <w:lang w:val="en-US" w:eastAsia="zh-CN"/>
              </w:rPr>
              <w:t>11</w:t>
            </w:r>
            <w:r>
              <w:rPr>
                <w:rFonts w:hint="eastAsia" w:ascii="宋体" w:hAnsi="宋体" w:eastAsia="宋体" w:cs="宋体"/>
                <w:b/>
                <w:bCs w:val="0"/>
                <w:spacing w:val="0"/>
                <w:sz w:val="24"/>
                <w:szCs w:val="24"/>
                <w:vertAlign w:val="baseline"/>
                <w:lang w:val="en-US" w:eastAsia="zh-CN"/>
              </w:rPr>
              <w:t xml:space="preserve">  恶臭</w:t>
            </w:r>
            <w:r>
              <w:rPr>
                <w:rFonts w:hint="default" w:ascii="Times New Roman" w:hAnsi="Times New Roman" w:eastAsia="宋体" w:cs="Times New Roman"/>
                <w:b/>
                <w:bCs w:val="0"/>
                <w:spacing w:val="0"/>
                <w:sz w:val="24"/>
                <w:szCs w:val="24"/>
                <w:vertAlign w:val="baseline"/>
                <w:lang w:val="en-US" w:eastAsia="zh-CN"/>
              </w:rPr>
              <w:t>6</w:t>
            </w:r>
            <w:r>
              <w:rPr>
                <w:rFonts w:hint="eastAsia" w:ascii="宋体" w:hAnsi="宋体" w:eastAsia="宋体" w:cs="宋体"/>
                <w:b/>
                <w:bCs w:val="0"/>
                <w:spacing w:val="0"/>
                <w:sz w:val="24"/>
                <w:szCs w:val="24"/>
                <w:vertAlign w:val="baseline"/>
                <w:lang w:val="en-US" w:eastAsia="zh-CN"/>
              </w:rPr>
              <w:t>级分级法</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71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pacing w:val="0"/>
                      <w:sz w:val="21"/>
                      <w:szCs w:val="21"/>
                      <w:vertAlign w:val="baseline"/>
                      <w:lang w:val="en-US" w:eastAsia="zh-CN"/>
                    </w:rPr>
                  </w:pPr>
                  <w:r>
                    <w:rPr>
                      <w:rFonts w:hint="eastAsia" w:ascii="宋体" w:hAnsi="宋体" w:eastAsia="宋体" w:cs="宋体"/>
                      <w:b/>
                      <w:bCs w:val="0"/>
                      <w:spacing w:val="0"/>
                      <w:sz w:val="21"/>
                      <w:szCs w:val="21"/>
                      <w:vertAlign w:val="baseline"/>
                      <w:lang w:val="en-US" w:eastAsia="zh-CN"/>
                    </w:rPr>
                    <w:t>恶臭强度级</w:t>
                  </w:r>
                </w:p>
              </w:tc>
              <w:tc>
                <w:tcPr>
                  <w:tcW w:w="684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pacing w:val="0"/>
                      <w:sz w:val="21"/>
                      <w:szCs w:val="21"/>
                      <w:vertAlign w:val="baseline"/>
                      <w:lang w:val="en-US" w:eastAsia="zh-CN"/>
                    </w:rPr>
                  </w:pPr>
                  <w:r>
                    <w:rPr>
                      <w:rFonts w:hint="eastAsia" w:ascii="宋体" w:hAnsi="宋体" w:eastAsia="宋体" w:cs="宋体"/>
                      <w:b/>
                      <w:bCs w:val="0"/>
                      <w:spacing w:val="0"/>
                      <w:sz w:val="21"/>
                      <w:szCs w:val="21"/>
                      <w:vertAlign w:val="baseline"/>
                      <w:lang w:val="en-US" w:eastAsia="zh-CN"/>
                    </w:rPr>
                    <w:t>特征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spacing w:val="0"/>
                      <w:sz w:val="21"/>
                      <w:szCs w:val="21"/>
                      <w:vertAlign w:val="baseline"/>
                      <w:lang w:val="en-US" w:eastAsia="zh-CN"/>
                    </w:rPr>
                  </w:pPr>
                  <w:r>
                    <w:rPr>
                      <w:rFonts w:hint="default" w:ascii="Times New Roman" w:hAnsi="Times New Roman" w:cs="Times New Roman"/>
                      <w:b w:val="0"/>
                      <w:bCs/>
                      <w:spacing w:val="0"/>
                      <w:sz w:val="21"/>
                      <w:szCs w:val="21"/>
                      <w:vertAlign w:val="baseline"/>
                      <w:lang w:val="en-US" w:eastAsia="zh-CN"/>
                    </w:rPr>
                    <w:t>0</w:t>
                  </w:r>
                </w:p>
              </w:tc>
              <w:tc>
                <w:tcPr>
                  <w:tcW w:w="684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spacing w:val="0"/>
                      <w:sz w:val="21"/>
                      <w:szCs w:val="21"/>
                      <w:vertAlign w:val="baseline"/>
                      <w:lang w:val="en-US" w:eastAsia="zh-CN"/>
                    </w:rPr>
                  </w:pPr>
                  <w:r>
                    <w:rPr>
                      <w:rFonts w:hint="eastAsia" w:ascii="宋体" w:hAnsi="宋体" w:cs="宋体"/>
                      <w:b w:val="0"/>
                      <w:bCs/>
                      <w:spacing w:val="0"/>
                      <w:sz w:val="21"/>
                      <w:szCs w:val="21"/>
                      <w:vertAlign w:val="baseline"/>
                      <w:lang w:val="en-US" w:eastAsia="zh-CN"/>
                    </w:rPr>
                    <w:t>未闻到有任何气味，无任何反应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spacing w:val="0"/>
                      <w:sz w:val="21"/>
                      <w:szCs w:val="21"/>
                      <w:vertAlign w:val="baseline"/>
                      <w:lang w:val="en-US" w:eastAsia="zh-CN"/>
                    </w:rPr>
                  </w:pPr>
                  <w:r>
                    <w:rPr>
                      <w:rFonts w:hint="default" w:ascii="Times New Roman" w:hAnsi="Times New Roman" w:cs="Times New Roman"/>
                      <w:b w:val="0"/>
                      <w:bCs/>
                      <w:spacing w:val="0"/>
                      <w:sz w:val="21"/>
                      <w:szCs w:val="21"/>
                      <w:vertAlign w:val="baseline"/>
                      <w:lang w:val="en-US" w:eastAsia="zh-CN"/>
                    </w:rPr>
                    <w:t>1</w:t>
                  </w:r>
                </w:p>
              </w:tc>
              <w:tc>
                <w:tcPr>
                  <w:tcW w:w="684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spacing w:val="0"/>
                      <w:sz w:val="21"/>
                      <w:szCs w:val="21"/>
                      <w:vertAlign w:val="baseline"/>
                      <w:lang w:val="en-US" w:eastAsia="zh-CN"/>
                    </w:rPr>
                  </w:pPr>
                  <w:r>
                    <w:rPr>
                      <w:rFonts w:hint="eastAsia" w:ascii="宋体" w:hAnsi="宋体" w:cs="宋体"/>
                      <w:b w:val="0"/>
                      <w:bCs/>
                      <w:spacing w:val="0"/>
                      <w:sz w:val="21"/>
                      <w:szCs w:val="21"/>
                      <w:vertAlign w:val="baseline"/>
                      <w:lang w:val="en-US" w:eastAsia="zh-CN"/>
                    </w:rPr>
                    <w:t>勉强能闻到有气味，但不宜辨认气味性质（感觉阈值），认为无所谓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spacing w:val="0"/>
                      <w:sz w:val="21"/>
                      <w:szCs w:val="21"/>
                      <w:vertAlign w:val="baseline"/>
                      <w:lang w:val="en-US" w:eastAsia="zh-CN"/>
                    </w:rPr>
                  </w:pPr>
                  <w:r>
                    <w:rPr>
                      <w:rFonts w:hint="default" w:ascii="Times New Roman" w:hAnsi="Times New Roman" w:cs="Times New Roman"/>
                      <w:b w:val="0"/>
                      <w:bCs/>
                      <w:spacing w:val="0"/>
                      <w:sz w:val="21"/>
                      <w:szCs w:val="21"/>
                      <w:vertAlign w:val="baseline"/>
                      <w:lang w:val="en-US" w:eastAsia="zh-CN"/>
                    </w:rPr>
                    <w:t>2</w:t>
                  </w:r>
                </w:p>
              </w:tc>
              <w:tc>
                <w:tcPr>
                  <w:tcW w:w="684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spacing w:val="0"/>
                      <w:sz w:val="21"/>
                      <w:szCs w:val="21"/>
                      <w:vertAlign w:val="baseline"/>
                      <w:lang w:val="en-US" w:eastAsia="zh-CN"/>
                    </w:rPr>
                  </w:pPr>
                  <w:r>
                    <w:rPr>
                      <w:rFonts w:hint="eastAsia" w:ascii="宋体" w:hAnsi="宋体" w:cs="宋体"/>
                      <w:b w:val="0"/>
                      <w:bCs/>
                      <w:spacing w:val="0"/>
                      <w:sz w:val="21"/>
                      <w:szCs w:val="21"/>
                      <w:vertAlign w:val="baseline"/>
                      <w:lang w:val="en-US" w:eastAsia="zh-CN"/>
                    </w:rPr>
                    <w:t>能闻到气味，且能辨认气味的性质（识别阈值），但感到很正常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spacing w:val="0"/>
                      <w:sz w:val="21"/>
                      <w:szCs w:val="21"/>
                      <w:vertAlign w:val="baseline"/>
                      <w:lang w:val="en-US" w:eastAsia="zh-CN"/>
                    </w:rPr>
                  </w:pPr>
                  <w:r>
                    <w:rPr>
                      <w:rFonts w:hint="default" w:ascii="Times New Roman" w:hAnsi="Times New Roman" w:cs="Times New Roman"/>
                      <w:b w:val="0"/>
                      <w:bCs/>
                      <w:spacing w:val="0"/>
                      <w:sz w:val="21"/>
                      <w:szCs w:val="21"/>
                      <w:vertAlign w:val="baseline"/>
                      <w:lang w:val="en-US" w:eastAsia="zh-CN"/>
                    </w:rPr>
                    <w:t>3</w:t>
                  </w:r>
                </w:p>
              </w:tc>
              <w:tc>
                <w:tcPr>
                  <w:tcW w:w="684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spacing w:val="0"/>
                      <w:sz w:val="21"/>
                      <w:szCs w:val="21"/>
                      <w:vertAlign w:val="baseline"/>
                      <w:lang w:val="en-US" w:eastAsia="zh-CN"/>
                    </w:rPr>
                  </w:pPr>
                  <w:r>
                    <w:rPr>
                      <w:rFonts w:hint="eastAsia" w:ascii="宋体" w:hAnsi="宋体" w:cs="宋体"/>
                      <w:b w:val="0"/>
                      <w:bCs/>
                      <w:spacing w:val="0"/>
                      <w:sz w:val="21"/>
                      <w:szCs w:val="21"/>
                      <w:vertAlign w:val="baseline"/>
                      <w:lang w:val="en-US" w:eastAsia="zh-CN"/>
                    </w:rPr>
                    <w:t>很容易闻到气味，有所不快，但不反感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spacing w:val="0"/>
                      <w:sz w:val="21"/>
                      <w:szCs w:val="21"/>
                      <w:vertAlign w:val="baseline"/>
                      <w:lang w:val="en-US" w:eastAsia="zh-CN"/>
                    </w:rPr>
                  </w:pPr>
                  <w:r>
                    <w:rPr>
                      <w:rFonts w:hint="default" w:ascii="Times New Roman" w:hAnsi="Times New Roman" w:cs="Times New Roman"/>
                      <w:b w:val="0"/>
                      <w:bCs/>
                      <w:spacing w:val="0"/>
                      <w:sz w:val="21"/>
                      <w:szCs w:val="21"/>
                      <w:vertAlign w:val="baseline"/>
                      <w:lang w:val="en-US" w:eastAsia="zh-CN"/>
                    </w:rPr>
                    <w:t>4</w:t>
                  </w:r>
                </w:p>
              </w:tc>
              <w:tc>
                <w:tcPr>
                  <w:tcW w:w="684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spacing w:val="0"/>
                      <w:sz w:val="21"/>
                      <w:szCs w:val="21"/>
                      <w:vertAlign w:val="baseline"/>
                      <w:lang w:val="en-US" w:eastAsia="zh-CN"/>
                    </w:rPr>
                  </w:pPr>
                  <w:r>
                    <w:rPr>
                      <w:rFonts w:hint="eastAsia" w:ascii="宋体" w:hAnsi="宋体" w:cs="宋体"/>
                      <w:b w:val="0"/>
                      <w:bCs/>
                      <w:spacing w:val="0"/>
                      <w:sz w:val="21"/>
                      <w:szCs w:val="21"/>
                      <w:vertAlign w:val="baseline"/>
                      <w:lang w:val="en-US" w:eastAsia="zh-CN"/>
                    </w:rPr>
                    <w:t>有很强的气味，而且很反感，想离开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spacing w:val="0"/>
                      <w:sz w:val="21"/>
                      <w:szCs w:val="21"/>
                      <w:vertAlign w:val="baseline"/>
                      <w:lang w:val="en-US" w:eastAsia="zh-CN"/>
                    </w:rPr>
                  </w:pPr>
                  <w:r>
                    <w:rPr>
                      <w:rFonts w:hint="default" w:ascii="Times New Roman" w:hAnsi="Times New Roman" w:cs="Times New Roman"/>
                      <w:b w:val="0"/>
                      <w:bCs/>
                      <w:spacing w:val="0"/>
                      <w:sz w:val="21"/>
                      <w:szCs w:val="21"/>
                      <w:vertAlign w:val="baseline"/>
                      <w:lang w:val="en-US" w:eastAsia="zh-CN"/>
                    </w:rPr>
                    <w:t>5</w:t>
                  </w:r>
                </w:p>
              </w:tc>
              <w:tc>
                <w:tcPr>
                  <w:tcW w:w="684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spacing w:val="0"/>
                      <w:sz w:val="21"/>
                      <w:szCs w:val="21"/>
                      <w:vertAlign w:val="baseline"/>
                      <w:lang w:val="en-US" w:eastAsia="zh-CN"/>
                    </w:rPr>
                  </w:pPr>
                  <w:r>
                    <w:rPr>
                      <w:rFonts w:hint="eastAsia" w:ascii="宋体" w:hAnsi="宋体" w:cs="宋体"/>
                      <w:b w:val="0"/>
                      <w:bCs/>
                      <w:spacing w:val="0"/>
                      <w:sz w:val="21"/>
                      <w:szCs w:val="21"/>
                      <w:vertAlign w:val="baseline"/>
                      <w:lang w:val="en-US" w:eastAsia="zh-CN"/>
                    </w:rPr>
                    <w:t>有极强的气味，无法忍受，立即逃跑</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480" w:firstLineChars="200"/>
              <w:jc w:val="both"/>
              <w:textAlignment w:val="auto"/>
              <w:rPr>
                <w:rFonts w:hint="default" w:ascii="宋体" w:hAnsi="宋体" w:cs="宋体"/>
                <w:b w:val="0"/>
                <w:bCs/>
                <w:spacing w:val="0"/>
                <w:sz w:val="24"/>
                <w:vertAlign w:val="baseline"/>
                <w:lang w:val="en-US" w:eastAsia="zh-CN"/>
              </w:rPr>
            </w:pPr>
            <w:r>
              <w:rPr>
                <w:rFonts w:hint="eastAsia" w:ascii="宋体" w:hAnsi="宋体" w:cs="宋体"/>
                <w:b w:val="0"/>
                <w:bCs/>
                <w:spacing w:val="0"/>
                <w:sz w:val="24"/>
                <w:vertAlign w:val="baseline"/>
                <w:lang w:val="en-US" w:eastAsia="zh-CN"/>
              </w:rPr>
              <w:t>根据对类似项目生产车间调查，本项目生产车间内的恶臭等级一般在</w:t>
            </w:r>
            <w:r>
              <w:rPr>
                <w:rFonts w:hint="default" w:ascii="Times New Roman" w:hAnsi="Times New Roman" w:cs="Times New Roman"/>
                <w:b w:val="0"/>
                <w:bCs/>
                <w:spacing w:val="0"/>
                <w:sz w:val="24"/>
                <w:vertAlign w:val="baseline"/>
                <w:lang w:val="en-US" w:eastAsia="zh-CN"/>
              </w:rPr>
              <w:t>2</w:t>
            </w:r>
            <w:r>
              <w:rPr>
                <w:rFonts w:hint="eastAsia" w:ascii="宋体" w:hAnsi="宋体" w:cs="宋体"/>
                <w:b w:val="0"/>
                <w:bCs/>
                <w:spacing w:val="0"/>
                <w:sz w:val="24"/>
                <w:vertAlign w:val="baseline"/>
                <w:lang w:val="en-US" w:eastAsia="zh-CN"/>
              </w:rPr>
              <w:t>级左右，异味在正常排放情况下对周围环境影响较小，但仍应加强污染控制管理，减少不正常排放情况的发生，异味污染是可以得到控制的。</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default" w:ascii="宋体" w:hAnsi="宋体" w:cs="宋体"/>
                <w:b/>
                <w:bCs w:val="0"/>
                <w:spacing w:val="0"/>
                <w:sz w:val="24"/>
                <w:lang w:val="en-US" w:eastAsia="zh-CN"/>
              </w:rPr>
            </w:pPr>
            <w:r>
              <w:rPr>
                <w:rFonts w:hint="eastAsia" w:ascii="宋体" w:hAnsi="宋体" w:cs="宋体"/>
                <w:b/>
                <w:bCs w:val="0"/>
                <w:spacing w:val="0"/>
                <w:sz w:val="24"/>
                <w:lang w:val="en-US" w:eastAsia="zh-CN"/>
              </w:rPr>
              <w:t>（</w:t>
            </w:r>
            <w:r>
              <w:rPr>
                <w:rFonts w:hint="default" w:ascii="Times New Roman" w:hAnsi="Times New Roman" w:cs="Times New Roman"/>
                <w:b/>
                <w:bCs w:val="0"/>
                <w:spacing w:val="0"/>
                <w:sz w:val="24"/>
                <w:lang w:val="en-US" w:eastAsia="zh-CN"/>
              </w:rPr>
              <w:t>8</w:t>
            </w:r>
            <w:r>
              <w:rPr>
                <w:rFonts w:hint="eastAsia" w:ascii="宋体" w:hAnsi="宋体" w:cs="宋体"/>
                <w:b/>
                <w:bCs w:val="0"/>
                <w:spacing w:val="0"/>
                <w:sz w:val="24"/>
                <w:lang w:val="en-US" w:eastAsia="zh-CN"/>
              </w:rPr>
              <w:t>）大气环境影响分析结论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01"/>
              <w:jc w:val="both"/>
              <w:textAlignment w:val="auto"/>
              <w:rPr>
                <w:rFonts w:hint="default" w:cs="Times New Roman"/>
                <w:spacing w:val="0"/>
                <w:sz w:val="24"/>
                <w:szCs w:val="24"/>
                <w:lang w:val="en-US" w:eastAsia="zh-CN"/>
              </w:rPr>
            </w:pPr>
            <w:r>
              <w:rPr>
                <w:rFonts w:hint="eastAsia" w:ascii="宋体" w:hAnsi="宋体" w:cs="宋体"/>
                <w:b w:val="0"/>
                <w:bCs/>
                <w:spacing w:val="0"/>
                <w:sz w:val="24"/>
                <w:lang w:val="en-US" w:eastAsia="zh-CN"/>
              </w:rPr>
              <w:t>本项目位于</w:t>
            </w:r>
            <w:r>
              <w:rPr>
                <w:rFonts w:hint="eastAsia" w:ascii="Times New Roman" w:hAnsi="Times New Roman" w:eastAsia="宋体" w:cs="Times New Roman"/>
                <w:spacing w:val="0"/>
                <w:sz w:val="24"/>
                <w:szCs w:val="24"/>
              </w:rPr>
              <w:t>海安市大公镇科技产业园开发大道606号</w:t>
            </w:r>
            <w:r>
              <w:rPr>
                <w:rFonts w:hint="eastAsia" w:cs="Times New Roman"/>
                <w:spacing w:val="0"/>
                <w:sz w:val="24"/>
                <w:szCs w:val="24"/>
                <w:lang w:eastAsia="zh-CN"/>
              </w:rPr>
              <w:t>，</w:t>
            </w:r>
            <w:r>
              <w:rPr>
                <w:rFonts w:hint="eastAsia" w:cs="Times New Roman"/>
                <w:spacing w:val="0"/>
                <w:sz w:val="24"/>
                <w:szCs w:val="24"/>
                <w:lang w:val="en-US" w:eastAsia="zh-CN"/>
              </w:rPr>
              <w:t>项目周边500m范围内大气环境保护目标为项目南侧20米的于坝村二十九组、南侧166米的于坝村十八组、西南侧8米的于坝村二十五组（散户）、西侧80米的于坝村二十五组、西南侧183米的于坝村十七组、北侧490米的于坝村二十八组。</w:t>
            </w:r>
            <w:r>
              <w:rPr>
                <w:rFonts w:ascii="Times New Roman" w:hAnsi="Times New Roman"/>
                <w:color w:val="auto"/>
                <w:sz w:val="24"/>
                <w:szCs w:val="24"/>
              </w:rPr>
              <w:t>经各项污染治理措施处理后，</w:t>
            </w:r>
            <w:r>
              <w:rPr>
                <w:rFonts w:hint="eastAsia" w:ascii="Times New Roman" w:hAnsi="Times New Roman"/>
                <w:color w:val="auto"/>
                <w:sz w:val="24"/>
                <w:szCs w:val="24"/>
              </w:rPr>
              <w:t>1</w:t>
            </w:r>
            <w:r>
              <w:rPr>
                <w:rFonts w:ascii="Times New Roman" w:hAnsi="Times New Roman"/>
                <w:color w:val="auto"/>
                <w:sz w:val="24"/>
                <w:szCs w:val="24"/>
              </w:rPr>
              <w:t>#排气筒</w:t>
            </w:r>
            <w:r>
              <w:rPr>
                <w:rFonts w:hint="eastAsia"/>
                <w:color w:val="auto"/>
                <w:sz w:val="24"/>
                <w:szCs w:val="24"/>
                <w:lang w:val="en-US" w:eastAsia="zh-CN"/>
              </w:rPr>
              <w:t>非甲烷总烃</w:t>
            </w:r>
            <w:r>
              <w:rPr>
                <w:rFonts w:hint="eastAsia" w:ascii="Times New Roman" w:hAnsi="Times New Roman"/>
                <w:color w:val="auto"/>
                <w:sz w:val="24"/>
                <w:szCs w:val="24"/>
              </w:rPr>
              <w:t>的</w:t>
            </w:r>
            <w:r>
              <w:rPr>
                <w:rFonts w:ascii="Times New Roman" w:hAnsi="Times New Roman"/>
                <w:color w:val="auto"/>
                <w:sz w:val="24"/>
                <w:szCs w:val="24"/>
              </w:rPr>
              <w:t>排放速率、排放浓度均满足</w:t>
            </w:r>
            <w:r>
              <w:rPr>
                <w:rFonts w:hint="eastAsia" w:ascii="Times New Roman" w:hAnsi="Times New Roman" w:cs="Times New Roman"/>
                <w:b w:val="0"/>
                <w:bCs w:val="0"/>
                <w:color w:val="auto"/>
                <w:spacing w:val="0"/>
                <w:sz w:val="24"/>
                <w:szCs w:val="24"/>
                <w:lang w:val="en-US" w:eastAsia="zh-CN"/>
              </w:rPr>
              <w:t>江苏省《</w:t>
            </w:r>
            <w:r>
              <w:rPr>
                <w:rFonts w:hint="eastAsia"/>
                <w:b w:val="0"/>
                <w:bCs w:val="0"/>
                <w:color w:val="auto"/>
                <w:spacing w:val="0"/>
                <w:sz w:val="24"/>
                <w:szCs w:val="24"/>
                <w:lang w:val="en-US" w:eastAsia="zh-CN"/>
              </w:rPr>
              <w:t>印刷工业大气污染物排放标准</w:t>
            </w:r>
            <w:r>
              <w:rPr>
                <w:rFonts w:hint="eastAsia" w:ascii="Times New Roman" w:hAnsi="Times New Roman" w:cs="Times New Roman"/>
                <w:b w:val="0"/>
                <w:bCs w:val="0"/>
                <w:color w:val="auto"/>
                <w:spacing w:val="0"/>
                <w:sz w:val="24"/>
                <w:szCs w:val="24"/>
                <w:lang w:val="en-US" w:eastAsia="zh-CN"/>
              </w:rPr>
              <w:t>》</w:t>
            </w:r>
            <w:r>
              <w:rPr>
                <w:rFonts w:hint="eastAsia"/>
                <w:b w:val="0"/>
                <w:bCs w:val="0"/>
                <w:color w:val="auto"/>
                <w:spacing w:val="0"/>
                <w:sz w:val="24"/>
                <w:szCs w:val="24"/>
                <w:lang w:val="en-US" w:eastAsia="zh-CN"/>
              </w:rPr>
              <w:t>（DB32/ 4438-2022）</w:t>
            </w:r>
            <w:r>
              <w:rPr>
                <w:rFonts w:hint="default" w:ascii="Times New Roman" w:hAnsi="Times New Roman" w:cs="Times New Roman"/>
                <w:b w:val="0"/>
                <w:bCs w:val="0"/>
                <w:color w:val="auto"/>
                <w:spacing w:val="0"/>
                <w:sz w:val="24"/>
                <w:szCs w:val="24"/>
              </w:rPr>
              <w:t>中相关标准</w:t>
            </w:r>
            <w:r>
              <w:rPr>
                <w:rFonts w:hint="eastAsia" w:cs="Times New Roman"/>
                <w:b w:val="0"/>
                <w:bCs w:val="0"/>
                <w:color w:val="auto"/>
                <w:spacing w:val="0"/>
                <w:sz w:val="24"/>
                <w:szCs w:val="24"/>
                <w:lang w:val="en-US" w:eastAsia="zh-CN"/>
              </w:rPr>
              <w:t>限值</w:t>
            </w:r>
            <w:r>
              <w:rPr>
                <w:rFonts w:hint="eastAsia" w:ascii="Times New Roman" w:hAnsi="Times New Roman"/>
                <w:color w:val="auto"/>
                <w:sz w:val="24"/>
                <w:szCs w:val="24"/>
              </w:rPr>
              <w:t>；</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w:t>
            </w:r>
            <w:r>
              <w:rPr>
                <w:rFonts w:ascii="Times New Roman" w:hAnsi="Times New Roman"/>
                <w:color w:val="auto"/>
                <w:sz w:val="24"/>
                <w:szCs w:val="24"/>
              </w:rPr>
              <w:t>排气筒</w:t>
            </w:r>
            <w:r>
              <w:rPr>
                <w:rFonts w:hint="eastAsia" w:ascii="Times New Roman" w:hAnsi="Times New Roman"/>
                <w:color w:val="auto"/>
                <w:sz w:val="24"/>
                <w:szCs w:val="24"/>
                <w:lang w:val="en-US" w:eastAsia="zh-CN"/>
              </w:rPr>
              <w:t>颗粒物</w:t>
            </w:r>
            <w:r>
              <w:rPr>
                <w:rFonts w:hint="eastAsia" w:ascii="Times New Roman" w:hAnsi="Times New Roman"/>
                <w:color w:val="auto"/>
                <w:sz w:val="24"/>
                <w:szCs w:val="24"/>
              </w:rPr>
              <w:t>的</w:t>
            </w:r>
            <w:r>
              <w:rPr>
                <w:rFonts w:ascii="Times New Roman" w:hAnsi="Times New Roman"/>
                <w:color w:val="auto"/>
                <w:sz w:val="24"/>
                <w:szCs w:val="24"/>
              </w:rPr>
              <w:t>排放</w:t>
            </w:r>
            <w:r>
              <w:rPr>
                <w:rFonts w:hint="eastAsia"/>
                <w:color w:val="auto"/>
                <w:sz w:val="24"/>
                <w:szCs w:val="24"/>
                <w:lang w:val="en-US" w:eastAsia="zh-CN"/>
              </w:rPr>
              <w:t>浓度</w:t>
            </w:r>
            <w:r>
              <w:rPr>
                <w:rFonts w:ascii="Times New Roman" w:hAnsi="Times New Roman"/>
                <w:color w:val="auto"/>
                <w:sz w:val="24"/>
                <w:szCs w:val="24"/>
              </w:rPr>
              <w:t>满足江苏省《</w:t>
            </w:r>
            <w:r>
              <w:rPr>
                <w:rFonts w:hint="eastAsia" w:ascii="Times New Roman" w:eastAsia="宋体"/>
                <w:color w:val="auto"/>
                <w:sz w:val="24"/>
                <w:szCs w:val="24"/>
                <w:lang w:val="en-US" w:eastAsia="zh-CN"/>
              </w:rPr>
              <w:t>木材加工行业大气污染物排放标准</w:t>
            </w:r>
            <w:r>
              <w:rPr>
                <w:rFonts w:ascii="Times New Roman" w:hAnsi="Times New Roman"/>
                <w:color w:val="auto"/>
                <w:sz w:val="24"/>
                <w:szCs w:val="24"/>
              </w:rPr>
              <w:t>》（</w:t>
            </w:r>
            <w:r>
              <w:rPr>
                <w:rFonts w:hint="eastAsia" w:ascii="Times New Roman" w:hAnsi="Times New Roman"/>
                <w:color w:val="auto"/>
                <w:sz w:val="24"/>
                <w:szCs w:val="24"/>
              </w:rPr>
              <w:t>D</w:t>
            </w:r>
            <w:r>
              <w:rPr>
                <w:rFonts w:ascii="Times New Roman" w:hAnsi="Times New Roman"/>
                <w:color w:val="auto"/>
                <w:sz w:val="24"/>
                <w:szCs w:val="24"/>
              </w:rPr>
              <w:t>B</w:t>
            </w:r>
            <w:r>
              <w:rPr>
                <w:rFonts w:hint="eastAsia" w:ascii="Times New Roman" w:hAnsi="Times New Roman"/>
                <w:color w:val="auto"/>
                <w:sz w:val="24"/>
                <w:szCs w:val="24"/>
              </w:rPr>
              <w:t>32/4</w:t>
            </w:r>
            <w:r>
              <w:rPr>
                <w:rFonts w:hint="eastAsia" w:ascii="Times New Roman" w:eastAsia="宋体"/>
                <w:color w:val="auto"/>
                <w:sz w:val="24"/>
                <w:szCs w:val="24"/>
                <w:lang w:val="en-US" w:eastAsia="zh-CN"/>
              </w:rPr>
              <w:t>436</w:t>
            </w:r>
            <w:r>
              <w:rPr>
                <w:rFonts w:hint="eastAsia" w:ascii="Times New Roman" w:hAnsi="Times New Roman"/>
                <w:color w:val="auto"/>
                <w:sz w:val="24"/>
                <w:szCs w:val="24"/>
              </w:rPr>
              <w:t>-20</w:t>
            </w:r>
            <w:r>
              <w:rPr>
                <w:rFonts w:hint="eastAsia" w:ascii="Times New Roman" w:eastAsia="宋体"/>
                <w:color w:val="auto"/>
                <w:sz w:val="24"/>
                <w:szCs w:val="24"/>
                <w:lang w:val="en-US" w:eastAsia="zh-CN"/>
              </w:rPr>
              <w:t>22</w:t>
            </w:r>
            <w:r>
              <w:rPr>
                <w:rFonts w:ascii="Times New Roman" w:hAnsi="Times New Roman"/>
                <w:color w:val="auto"/>
                <w:sz w:val="24"/>
                <w:szCs w:val="24"/>
              </w:rPr>
              <w:t>）中的相关要求</w:t>
            </w:r>
            <w:r>
              <w:rPr>
                <w:rFonts w:hint="eastAsia"/>
                <w:color w:val="auto"/>
                <w:sz w:val="24"/>
                <w:szCs w:val="24"/>
                <w:lang w:eastAsia="zh-CN"/>
              </w:rPr>
              <w:t>。</w:t>
            </w:r>
            <w:r>
              <w:rPr>
                <w:rFonts w:hint="eastAsia" w:ascii="Times New Roman" w:hAnsi="Times New Roman"/>
                <w:color w:val="auto"/>
                <w:sz w:val="24"/>
                <w:szCs w:val="24"/>
              </w:rPr>
              <w:t>本项目</w:t>
            </w:r>
            <w:r>
              <w:rPr>
                <w:rFonts w:ascii="Times New Roman" w:hAnsi="Times New Roman"/>
                <w:color w:val="auto"/>
                <w:sz w:val="24"/>
                <w:szCs w:val="24"/>
              </w:rPr>
              <w:t>各废气污染物达标排放，对周围大气环境影响较小。</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pacing w:val="0"/>
                <w:sz w:val="24"/>
                <w:szCs w:val="24"/>
                <w:lang w:val="en-US" w:eastAsia="zh-CN"/>
              </w:rPr>
            </w:pPr>
            <w:r>
              <w:rPr>
                <w:rFonts w:hint="eastAsia" w:cs="Times New Roman"/>
                <w:b/>
                <w:bCs/>
                <w:spacing w:val="0"/>
                <w:sz w:val="24"/>
                <w:szCs w:val="24"/>
                <w:lang w:val="en-US" w:eastAsia="zh-CN"/>
              </w:rPr>
              <w:t>2、废水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00" w:lineRule="exact"/>
              <w:ind w:firstLine="480" w:firstLineChars="200"/>
              <w:textAlignment w:val="auto"/>
              <w:rPr>
                <w:rFonts w:hint="default"/>
                <w:b w:val="0"/>
                <w:bCs w:val="0"/>
                <w:spacing w:val="0"/>
                <w:lang w:val="en-US" w:eastAsia="zh-CN"/>
              </w:rPr>
            </w:pPr>
            <w:r>
              <w:rPr>
                <w:rFonts w:hint="eastAsia" w:cs="Times New Roman"/>
                <w:b w:val="0"/>
                <w:bCs w:val="0"/>
                <w:spacing w:val="0"/>
                <w:sz w:val="24"/>
                <w:szCs w:val="24"/>
                <w:lang w:val="en-US" w:eastAsia="zh-CN"/>
              </w:rPr>
              <w:t>本项目废水主要为生活污水。</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spacing w:val="0"/>
                <w:lang w:val="en-US" w:eastAsia="zh-CN"/>
              </w:rPr>
            </w:pPr>
            <w:r>
              <w:rPr>
                <w:rFonts w:hint="eastAsia" w:cs="Times New Roman"/>
                <w:b/>
                <w:bCs/>
                <w:spacing w:val="0"/>
                <w:sz w:val="24"/>
                <w:szCs w:val="24"/>
                <w:lang w:val="en-US" w:eastAsia="zh-CN"/>
              </w:rPr>
              <w:t>（1）废水污染源强核算结果及相关参数</w:t>
            </w:r>
          </w:p>
          <w:p>
            <w:pPr>
              <w:pStyle w:val="4"/>
              <w:spacing w:before="0" w:after="0" w:line="500" w:lineRule="exact"/>
              <w:jc w:val="center"/>
              <w:outlineLvl w:val="2"/>
              <w:rPr>
                <w:rFonts w:hint="default" w:ascii="Times New Roman" w:hAnsi="Times New Roman" w:cs="Times New Roman"/>
                <w:color w:val="auto"/>
                <w:spacing w:val="0"/>
                <w:sz w:val="24"/>
                <w:szCs w:val="24"/>
                <w:lang w:val="en-US" w:eastAsia="zh-CN"/>
              </w:rPr>
            </w:pPr>
            <w:r>
              <w:rPr>
                <w:rFonts w:hint="default" w:ascii="Times New Roman" w:hAnsi="Times New Roman" w:cs="Times New Roman"/>
                <w:color w:val="auto"/>
                <w:spacing w:val="0"/>
                <w:sz w:val="24"/>
                <w:szCs w:val="24"/>
                <w:highlight w:val="none"/>
                <w:lang w:val="en-US" w:eastAsia="zh-CN"/>
              </w:rPr>
              <w:t>表4-</w:t>
            </w:r>
            <w:r>
              <w:rPr>
                <w:rFonts w:hint="eastAsia" w:cs="Times New Roman"/>
                <w:color w:val="auto"/>
                <w:spacing w:val="0"/>
                <w:sz w:val="24"/>
                <w:szCs w:val="24"/>
                <w:highlight w:val="none"/>
                <w:lang w:val="en-US" w:eastAsia="zh-CN"/>
              </w:rPr>
              <w:t xml:space="preserve">12 </w:t>
            </w:r>
            <w:r>
              <w:rPr>
                <w:rFonts w:hint="default" w:ascii="Times New Roman" w:hAnsi="Times New Roman" w:cs="Times New Roman"/>
                <w:color w:val="auto"/>
                <w:spacing w:val="0"/>
                <w:sz w:val="24"/>
                <w:szCs w:val="24"/>
                <w:highlight w:val="none"/>
                <w:lang w:val="en-US" w:eastAsia="zh-CN"/>
              </w:rPr>
              <w:t xml:space="preserve">  废水源强核算、收集、排放方式</w:t>
            </w:r>
          </w:p>
          <w:tbl>
            <w:tblPr>
              <w:tblStyle w:val="18"/>
              <w:tblW w:w="480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61"/>
              <w:gridCol w:w="648"/>
              <w:gridCol w:w="793"/>
              <w:gridCol w:w="820"/>
              <w:gridCol w:w="823"/>
              <w:gridCol w:w="663"/>
              <w:gridCol w:w="652"/>
              <w:gridCol w:w="563"/>
              <w:gridCol w:w="539"/>
              <w:gridCol w:w="590"/>
              <w:gridCol w:w="757"/>
              <w:gridCol w:w="6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vMerge w:val="restar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产排污环节</w:t>
                  </w:r>
                </w:p>
              </w:tc>
              <w:tc>
                <w:tcPr>
                  <w:tcW w:w="386" w:type="pct"/>
                  <w:vMerge w:val="restart"/>
                  <w:tcBorders>
                    <w:tl2br w:val="nil"/>
                    <w:tr2bl w:val="nil"/>
                  </w:tcBorders>
                  <w:noWrap w:val="0"/>
                  <w:vAlign w:val="center"/>
                </w:tcPr>
                <w:p>
                  <w:pPr>
                    <w:pStyle w:val="45"/>
                    <w:spacing w:line="240" w:lineRule="auto"/>
                    <w:jc w:val="center"/>
                    <w:rPr>
                      <w:rFonts w:hint="default" w:ascii="Times New Roman" w:hAnsi="Times New Roman" w:eastAsia="宋体" w:cs="Times New Roman"/>
                      <w:b/>
                      <w:bCs/>
                      <w:color w:val="auto"/>
                      <w:spacing w:val="0"/>
                      <w:sz w:val="21"/>
                      <w:szCs w:val="21"/>
                      <w:lang w:val="en-US" w:eastAsia="zh-CN"/>
                    </w:rPr>
                  </w:pPr>
                  <w:r>
                    <w:rPr>
                      <w:rFonts w:hint="default" w:ascii="Times New Roman" w:hAnsi="Times New Roman" w:eastAsia="宋体" w:cs="Times New Roman"/>
                      <w:b/>
                      <w:bCs/>
                      <w:color w:val="auto"/>
                      <w:spacing w:val="0"/>
                      <w:sz w:val="21"/>
                      <w:szCs w:val="21"/>
                      <w:lang w:val="en-US" w:eastAsia="zh-CN"/>
                    </w:rPr>
                    <w:t>废水量(t/a)</w:t>
                  </w:r>
                </w:p>
              </w:tc>
              <w:tc>
                <w:tcPr>
                  <w:tcW w:w="472" w:type="pct"/>
                  <w:vMerge w:val="restar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污染物种类</w:t>
                  </w:r>
                </w:p>
              </w:tc>
              <w:tc>
                <w:tcPr>
                  <w:tcW w:w="978" w:type="pct"/>
                  <w:gridSpan w:val="2"/>
                  <w:tcBorders>
                    <w:tl2br w:val="nil"/>
                    <w:tr2bl w:val="nil"/>
                  </w:tcBorders>
                  <w:noWrap w:val="0"/>
                  <w:vAlign w:val="center"/>
                </w:tcPr>
                <w:p>
                  <w:pPr>
                    <w:pStyle w:val="45"/>
                    <w:spacing w:line="240" w:lineRule="auto"/>
                    <w:jc w:val="center"/>
                    <w:rPr>
                      <w:rFonts w:hint="default" w:ascii="Times New Roman" w:hAnsi="Times New Roman" w:eastAsia="宋体" w:cs="Times New Roman"/>
                      <w:b/>
                      <w:bCs/>
                      <w:color w:val="auto"/>
                      <w:spacing w:val="0"/>
                      <w:sz w:val="21"/>
                      <w:szCs w:val="21"/>
                      <w:lang w:val="en-US" w:eastAsia="zh-CN"/>
                    </w:rPr>
                  </w:pPr>
                  <w:r>
                    <w:rPr>
                      <w:rFonts w:hint="default" w:ascii="Times New Roman" w:hAnsi="Times New Roman" w:eastAsia="宋体" w:cs="Times New Roman"/>
                      <w:b/>
                      <w:bCs/>
                      <w:color w:val="auto"/>
                      <w:spacing w:val="0"/>
                      <w:sz w:val="21"/>
                      <w:szCs w:val="21"/>
                      <w:lang w:val="en-US" w:eastAsia="zh-CN"/>
                    </w:rPr>
                    <w:t>污染物产生</w:t>
                  </w:r>
                </w:p>
              </w:tc>
              <w:tc>
                <w:tcPr>
                  <w:tcW w:w="1439" w:type="pct"/>
                  <w:gridSpan w:val="4"/>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治理设施</w:t>
                  </w:r>
                </w:p>
              </w:tc>
              <w:tc>
                <w:tcPr>
                  <w:tcW w:w="802" w:type="pct"/>
                  <w:gridSpan w:val="2"/>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污染物排放</w:t>
                  </w:r>
                </w:p>
              </w:tc>
              <w:tc>
                <w:tcPr>
                  <w:tcW w:w="407" w:type="pct"/>
                  <w:vMerge w:val="restar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b w:val="0"/>
                      <w:bCs w:val="0"/>
                      <w:color w:val="auto"/>
                      <w:spacing w:val="0"/>
                      <w:sz w:val="21"/>
                      <w:szCs w:val="21"/>
                      <w:lang w:val="en-US" w:eastAsia="zh-CN"/>
                    </w:rPr>
                  </w:pPr>
                  <w:r>
                    <w:rPr>
                      <w:rFonts w:hint="default" w:ascii="Times New Roman" w:hAnsi="Times New Roman" w:cs="Times New Roman"/>
                      <w:color w:val="auto"/>
                      <w:spacing w:val="0"/>
                      <w:sz w:val="21"/>
                      <w:szCs w:val="21"/>
                      <w:lang w:val="en-US" w:eastAsia="zh-CN"/>
                    </w:rPr>
                    <w:t>排放方式及去向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vMerge w:val="continue"/>
                  <w:tcBorders>
                    <w:tl2br w:val="nil"/>
                    <w:tr2bl w:val="nil"/>
                  </w:tcBorders>
                  <w:noWrap w:val="0"/>
                  <w:vAlign w:val="center"/>
                </w:tcPr>
                <w:p>
                  <w:pPr>
                    <w:pStyle w:val="4"/>
                    <w:spacing w:before="0" w:after="0" w:line="240" w:lineRule="auto"/>
                    <w:jc w:val="center"/>
                    <w:outlineLvl w:val="9"/>
                    <w:rPr>
                      <w:rFonts w:hint="default" w:ascii="Times New Roman" w:hAnsi="Times New Roman" w:cs="Times New Roman"/>
                      <w:color w:val="auto"/>
                      <w:spacing w:val="0"/>
                      <w:sz w:val="21"/>
                      <w:szCs w:val="21"/>
                      <w:lang w:val="en-US" w:eastAsia="zh-CN"/>
                    </w:rPr>
                  </w:pPr>
                </w:p>
              </w:tc>
              <w:tc>
                <w:tcPr>
                  <w:tcW w:w="386" w:type="pct"/>
                  <w:vMerge w:val="continue"/>
                  <w:tcBorders>
                    <w:tl2br w:val="nil"/>
                    <w:tr2bl w:val="nil"/>
                  </w:tcBorders>
                  <w:noWrap w:val="0"/>
                  <w:vAlign w:val="center"/>
                </w:tcPr>
                <w:p>
                  <w:pPr>
                    <w:pStyle w:val="4"/>
                    <w:spacing w:before="0" w:after="0" w:line="240" w:lineRule="auto"/>
                    <w:jc w:val="center"/>
                    <w:outlineLvl w:val="9"/>
                    <w:rPr>
                      <w:rFonts w:hint="default" w:ascii="Times New Roman" w:hAnsi="Times New Roman" w:cs="Times New Roman"/>
                      <w:color w:val="auto"/>
                      <w:spacing w:val="0"/>
                      <w:sz w:val="21"/>
                      <w:szCs w:val="21"/>
                      <w:lang w:val="en-US" w:eastAsia="zh-CN"/>
                    </w:rPr>
                  </w:pPr>
                </w:p>
              </w:tc>
              <w:tc>
                <w:tcPr>
                  <w:tcW w:w="472" w:type="pct"/>
                  <w:vMerge w:val="continue"/>
                  <w:tcBorders>
                    <w:tl2br w:val="nil"/>
                    <w:tr2bl w:val="nil"/>
                  </w:tcBorders>
                  <w:noWrap w:val="0"/>
                  <w:vAlign w:val="center"/>
                </w:tcPr>
                <w:p>
                  <w:pPr>
                    <w:pStyle w:val="4"/>
                    <w:spacing w:before="0" w:after="0" w:line="240" w:lineRule="auto"/>
                    <w:jc w:val="center"/>
                    <w:outlineLvl w:val="9"/>
                    <w:rPr>
                      <w:rFonts w:hint="default" w:ascii="Times New Roman" w:hAnsi="Times New Roman" w:cs="Times New Roman"/>
                      <w:color w:val="auto"/>
                      <w:spacing w:val="0"/>
                      <w:sz w:val="21"/>
                      <w:szCs w:val="21"/>
                      <w:lang w:val="en-US" w:eastAsia="zh-CN"/>
                    </w:rPr>
                  </w:pPr>
                </w:p>
              </w:tc>
              <w:tc>
                <w:tcPr>
                  <w:tcW w:w="488" w:type="pc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浓度</w:t>
                  </w:r>
                </w:p>
                <w:p>
                  <w:pPr>
                    <w:pStyle w:val="4"/>
                    <w:spacing w:before="0" w:after="0" w:line="240" w:lineRule="auto"/>
                    <w:jc w:val="center"/>
                    <w:outlineLvl w:val="2"/>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(mg/L)</w:t>
                  </w:r>
                </w:p>
              </w:tc>
              <w:tc>
                <w:tcPr>
                  <w:tcW w:w="490" w:type="pc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产生量</w:t>
                  </w:r>
                </w:p>
                <w:p>
                  <w:pPr>
                    <w:pStyle w:val="4"/>
                    <w:spacing w:before="0" w:after="0" w:line="240" w:lineRule="auto"/>
                    <w:jc w:val="center"/>
                    <w:outlineLvl w:val="2"/>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(t/a)</w:t>
                  </w:r>
                </w:p>
              </w:tc>
              <w:tc>
                <w:tcPr>
                  <w:tcW w:w="395" w:type="pc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治理工艺</w:t>
                  </w:r>
                </w:p>
              </w:tc>
              <w:tc>
                <w:tcPr>
                  <w:tcW w:w="388" w:type="pc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处理能力</w:t>
                  </w:r>
                </w:p>
                <w:p>
                  <w:pPr>
                    <w:pStyle w:val="4"/>
                    <w:spacing w:before="0" w:after="0" w:line="240" w:lineRule="auto"/>
                    <w:jc w:val="center"/>
                    <w:outlineLvl w:val="2"/>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m</w:t>
                  </w:r>
                  <w:r>
                    <w:rPr>
                      <w:rFonts w:hint="default" w:ascii="Times New Roman" w:hAnsi="Times New Roman" w:cs="Times New Roman"/>
                      <w:color w:val="auto"/>
                      <w:spacing w:val="0"/>
                      <w:sz w:val="21"/>
                      <w:szCs w:val="21"/>
                      <w:vertAlign w:val="superscript"/>
                      <w:lang w:val="en-US" w:eastAsia="zh-CN"/>
                    </w:rPr>
                    <w:t>3</w:t>
                  </w:r>
                  <w:r>
                    <w:rPr>
                      <w:rFonts w:hint="eastAsia" w:ascii="Times New Roman" w:hAnsi="Times New Roman" w:cs="Times New Roman"/>
                      <w:color w:val="auto"/>
                      <w:spacing w:val="0"/>
                      <w:sz w:val="21"/>
                      <w:szCs w:val="21"/>
                      <w:vertAlign w:val="baseline"/>
                      <w:lang w:val="en-US" w:eastAsia="zh-CN"/>
                    </w:rPr>
                    <w:t>/d</w:t>
                  </w:r>
                </w:p>
              </w:tc>
              <w:tc>
                <w:tcPr>
                  <w:tcW w:w="335" w:type="pc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治理效率(%)</w:t>
                  </w:r>
                </w:p>
              </w:tc>
              <w:tc>
                <w:tcPr>
                  <w:tcW w:w="320" w:type="pc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是否为可行性技术</w:t>
                  </w:r>
                </w:p>
              </w:tc>
              <w:tc>
                <w:tcPr>
                  <w:tcW w:w="351" w:type="pc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浓度(mg/L)</w:t>
                  </w:r>
                </w:p>
              </w:tc>
              <w:tc>
                <w:tcPr>
                  <w:tcW w:w="451" w:type="pc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排放量(t/a)</w:t>
                  </w:r>
                </w:p>
              </w:tc>
              <w:tc>
                <w:tcPr>
                  <w:tcW w:w="407" w:type="pct"/>
                  <w:vMerge w:val="continue"/>
                  <w:tcBorders>
                    <w:tl2br w:val="nil"/>
                    <w:tr2bl w:val="nil"/>
                  </w:tcBorders>
                  <w:noWrap w:val="0"/>
                  <w:vAlign w:val="center"/>
                </w:tcPr>
                <w:p>
                  <w:pPr>
                    <w:pStyle w:val="4"/>
                    <w:spacing w:before="0" w:after="0" w:line="240" w:lineRule="auto"/>
                    <w:jc w:val="center"/>
                    <w:outlineLvl w:val="9"/>
                    <w:rPr>
                      <w:rFonts w:hint="default" w:ascii="Times New Roman" w:hAnsi="Times New Roman" w:cs="Times New Roman"/>
                      <w:b w:val="0"/>
                      <w:bCs w:val="0"/>
                      <w:color w:val="auto"/>
                      <w:spacing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vMerge w:val="restart"/>
                  <w:tcBorders>
                    <w:tl2br w:val="nil"/>
                    <w:tr2bl w:val="nil"/>
                  </w:tcBorders>
                  <w:noWrap w:val="0"/>
                  <w:vAlign w:val="center"/>
                </w:tcPr>
                <w:p>
                  <w:pPr>
                    <w:pStyle w:val="44"/>
                    <w:snapToGrid w:val="0"/>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生活污水</w:t>
                  </w:r>
                </w:p>
              </w:tc>
              <w:tc>
                <w:tcPr>
                  <w:tcW w:w="386" w:type="pct"/>
                  <w:vMerge w:val="restart"/>
                  <w:tcBorders>
                    <w:tl2br w:val="nil"/>
                    <w:tr2bl w:val="nil"/>
                  </w:tcBorders>
                  <w:noWrap w:val="0"/>
                  <w:vAlign w:val="center"/>
                </w:tcPr>
                <w:p>
                  <w:pPr>
                    <w:pStyle w:val="44"/>
                    <w:snapToGrid w:val="0"/>
                    <w:jc w:val="center"/>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250</w:t>
                  </w:r>
                </w:p>
              </w:tc>
              <w:tc>
                <w:tcPr>
                  <w:tcW w:w="472" w:type="pc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b w:val="0"/>
                      <w:bCs w:val="0"/>
                      <w:color w:val="auto"/>
                      <w:spacing w:val="0"/>
                      <w:kern w:val="0"/>
                      <w:sz w:val="21"/>
                      <w:szCs w:val="21"/>
                      <w:lang w:val="en-US" w:eastAsia="zh-CN"/>
                    </w:rPr>
                  </w:pPr>
                  <w:r>
                    <w:rPr>
                      <w:rFonts w:hint="default" w:ascii="Times New Roman" w:hAnsi="Times New Roman" w:cs="Times New Roman"/>
                      <w:b w:val="0"/>
                      <w:bCs w:val="0"/>
                      <w:color w:val="auto"/>
                      <w:spacing w:val="0"/>
                      <w:kern w:val="0"/>
                      <w:sz w:val="21"/>
                      <w:szCs w:val="21"/>
                      <w:lang w:val="en-US" w:eastAsia="zh-CN"/>
                    </w:rPr>
                    <w:t>COD</w:t>
                  </w:r>
                </w:p>
              </w:tc>
              <w:tc>
                <w:tcPr>
                  <w:tcW w:w="488"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kern w:val="2"/>
                      <w:sz w:val="21"/>
                      <w:szCs w:val="21"/>
                      <w:lang w:val="en-US" w:eastAsia="zh-CN" w:bidi="ar-SA"/>
                    </w:rPr>
                  </w:pPr>
                  <w:r>
                    <w:rPr>
                      <w:rFonts w:hint="eastAsia" w:ascii="Times New Roman" w:eastAsia="宋体" w:cs="Times New Roman"/>
                      <w:color w:val="auto"/>
                      <w:spacing w:val="0"/>
                      <w:kern w:val="2"/>
                      <w:sz w:val="21"/>
                      <w:szCs w:val="21"/>
                      <w:lang w:val="en-US" w:eastAsia="zh-CN" w:bidi="ar-SA"/>
                    </w:rPr>
                    <w:t>4</w:t>
                  </w:r>
                  <w:r>
                    <w:rPr>
                      <w:rFonts w:hint="default" w:ascii="Times New Roman" w:hAnsi="Times New Roman" w:eastAsia="宋体" w:cs="Times New Roman"/>
                      <w:color w:val="auto"/>
                      <w:spacing w:val="0"/>
                      <w:kern w:val="2"/>
                      <w:sz w:val="21"/>
                      <w:szCs w:val="21"/>
                      <w:lang w:val="en-US" w:eastAsia="zh-CN" w:bidi="ar-SA"/>
                    </w:rPr>
                    <w:t>50</w:t>
                  </w:r>
                </w:p>
              </w:tc>
              <w:tc>
                <w:tcPr>
                  <w:tcW w:w="490"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0.</w:t>
                  </w:r>
                  <w:r>
                    <w:rPr>
                      <w:rFonts w:hint="eastAsia" w:ascii="Times New Roman" w:eastAsia="宋体" w:cs="Times New Roman"/>
                      <w:color w:val="auto"/>
                      <w:spacing w:val="0"/>
                      <w:kern w:val="2"/>
                      <w:sz w:val="21"/>
                      <w:szCs w:val="21"/>
                      <w:lang w:val="en-US" w:eastAsia="zh-CN" w:bidi="ar-SA"/>
                    </w:rPr>
                    <w:t>1125</w:t>
                  </w:r>
                </w:p>
              </w:tc>
              <w:tc>
                <w:tcPr>
                  <w:tcW w:w="395" w:type="pct"/>
                  <w:vMerge w:val="restar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r>
                    <w:rPr>
                      <w:rFonts w:hint="eastAsia" w:ascii="宋体" w:hAnsi="宋体" w:eastAsia="宋体" w:cs="宋体"/>
                      <w:color w:val="auto"/>
                      <w:spacing w:val="0"/>
                      <w:szCs w:val="21"/>
                      <w:lang w:val="en-US" w:eastAsia="zh-CN"/>
                    </w:rPr>
                    <w:t>化粪池</w:t>
                  </w:r>
                </w:p>
              </w:tc>
              <w:tc>
                <w:tcPr>
                  <w:tcW w:w="388" w:type="pct"/>
                  <w:vMerge w:val="restar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r>
                    <w:rPr>
                      <w:rFonts w:hint="eastAsia" w:ascii="Times New Roman" w:cs="Times New Roman"/>
                      <w:color w:val="auto"/>
                      <w:spacing w:val="0"/>
                      <w:szCs w:val="21"/>
                      <w:lang w:val="en-US" w:eastAsia="zh-CN"/>
                    </w:rPr>
                    <w:t>10</w:t>
                  </w:r>
                </w:p>
              </w:tc>
              <w:tc>
                <w:tcPr>
                  <w:tcW w:w="335"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r>
                    <w:rPr>
                      <w:rFonts w:hint="eastAsia" w:ascii="Times New Roman" w:cs="Times New Roman"/>
                      <w:color w:val="auto"/>
                      <w:spacing w:val="0"/>
                      <w:szCs w:val="21"/>
                      <w:lang w:val="en-US" w:eastAsia="zh-CN"/>
                    </w:rPr>
                    <w:t>22.2</w:t>
                  </w:r>
                </w:p>
              </w:tc>
              <w:tc>
                <w:tcPr>
                  <w:tcW w:w="320" w:type="pct"/>
                  <w:vMerge w:val="restar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r>
                    <w:rPr>
                      <w:rFonts w:hint="default" w:ascii="Times New Roman" w:hAnsi="Times New Roman" w:cs="Times New Roman"/>
                      <w:color w:val="auto"/>
                      <w:spacing w:val="0"/>
                      <w:szCs w:val="21"/>
                      <w:lang w:val="en-US" w:eastAsia="zh-CN"/>
                    </w:rPr>
                    <w:t>/</w:t>
                  </w:r>
                </w:p>
              </w:tc>
              <w:tc>
                <w:tcPr>
                  <w:tcW w:w="351"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szCs w:val="21"/>
                      <w:lang w:val="en-US" w:eastAsia="zh-CN"/>
                    </w:rPr>
                  </w:pPr>
                  <w:r>
                    <w:rPr>
                      <w:rFonts w:hint="default" w:ascii="Times New Roman" w:hAnsi="Times New Roman" w:eastAsia="宋体" w:cs="Times New Roman"/>
                      <w:color w:val="auto"/>
                      <w:spacing w:val="0"/>
                      <w:szCs w:val="21"/>
                      <w:lang w:val="en-US" w:eastAsia="zh-CN"/>
                    </w:rPr>
                    <w:t>350</w:t>
                  </w:r>
                </w:p>
              </w:tc>
              <w:tc>
                <w:tcPr>
                  <w:tcW w:w="451"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0.0</w:t>
                  </w:r>
                  <w:r>
                    <w:rPr>
                      <w:rFonts w:hint="eastAsia" w:ascii="Times New Roman" w:cs="Times New Roman"/>
                      <w:color w:val="auto"/>
                      <w:spacing w:val="0"/>
                      <w:kern w:val="2"/>
                      <w:sz w:val="21"/>
                      <w:szCs w:val="21"/>
                      <w:lang w:val="en-US" w:eastAsia="zh-CN" w:bidi="ar-SA"/>
                    </w:rPr>
                    <w:t>875</w:t>
                  </w:r>
                </w:p>
              </w:tc>
              <w:tc>
                <w:tcPr>
                  <w:tcW w:w="407" w:type="pct"/>
                  <w:vMerge w:val="restar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b w:val="0"/>
                      <w:bCs w:val="0"/>
                      <w:color w:val="auto"/>
                      <w:spacing w:val="0"/>
                      <w:sz w:val="21"/>
                      <w:szCs w:val="21"/>
                      <w:lang w:val="en-US" w:eastAsia="zh-CN"/>
                    </w:rPr>
                  </w:pPr>
                  <w:r>
                    <w:rPr>
                      <w:rFonts w:hint="eastAsia" w:ascii="Times New Roman" w:hAnsi="Times New Roman" w:cs="Times New Roman"/>
                      <w:b w:val="0"/>
                      <w:bCs w:val="0"/>
                      <w:color w:val="auto"/>
                      <w:spacing w:val="0"/>
                      <w:sz w:val="21"/>
                      <w:szCs w:val="21"/>
                      <w:lang w:val="en-US" w:eastAsia="zh-CN"/>
                    </w:rPr>
                    <w:t>海安市惠泽净水有限公司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vMerge w:val="continue"/>
                  <w:tcBorders>
                    <w:tl2br w:val="nil"/>
                    <w:tr2bl w:val="nil"/>
                  </w:tcBorders>
                  <w:noWrap w:val="0"/>
                  <w:vAlign w:val="center"/>
                </w:tcPr>
                <w:p>
                  <w:pPr>
                    <w:pStyle w:val="4"/>
                    <w:spacing w:before="0" w:after="0" w:line="240" w:lineRule="auto"/>
                    <w:jc w:val="center"/>
                    <w:outlineLvl w:val="9"/>
                    <w:rPr>
                      <w:rFonts w:hint="default" w:ascii="Times New Roman" w:hAnsi="Times New Roman" w:cs="Times New Roman"/>
                      <w:b w:val="0"/>
                      <w:bCs w:val="0"/>
                      <w:color w:val="auto"/>
                      <w:spacing w:val="0"/>
                      <w:sz w:val="21"/>
                      <w:szCs w:val="21"/>
                      <w:lang w:val="en-US" w:eastAsia="zh-CN"/>
                    </w:rPr>
                  </w:pPr>
                </w:p>
              </w:tc>
              <w:tc>
                <w:tcPr>
                  <w:tcW w:w="386" w:type="pct"/>
                  <w:vMerge w:val="continue"/>
                  <w:tcBorders>
                    <w:tl2br w:val="nil"/>
                    <w:tr2bl w:val="nil"/>
                  </w:tcBorders>
                  <w:noWrap w:val="0"/>
                  <w:vAlign w:val="center"/>
                </w:tcPr>
                <w:p>
                  <w:pPr>
                    <w:pStyle w:val="4"/>
                    <w:spacing w:before="0" w:after="0" w:line="240" w:lineRule="auto"/>
                    <w:jc w:val="center"/>
                    <w:outlineLvl w:val="9"/>
                    <w:rPr>
                      <w:rFonts w:hint="default" w:ascii="Times New Roman" w:hAnsi="Times New Roman" w:cs="Times New Roman"/>
                      <w:b w:val="0"/>
                      <w:bCs w:val="0"/>
                      <w:color w:val="auto"/>
                      <w:spacing w:val="0"/>
                      <w:sz w:val="21"/>
                      <w:szCs w:val="21"/>
                      <w:lang w:val="en-US" w:eastAsia="zh-CN"/>
                    </w:rPr>
                  </w:pPr>
                </w:p>
              </w:tc>
              <w:tc>
                <w:tcPr>
                  <w:tcW w:w="472" w:type="pc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b w:val="0"/>
                      <w:bCs w:val="0"/>
                      <w:color w:val="auto"/>
                      <w:spacing w:val="0"/>
                      <w:sz w:val="21"/>
                      <w:szCs w:val="21"/>
                      <w:lang w:val="en-US" w:eastAsia="zh-CN"/>
                    </w:rPr>
                  </w:pPr>
                  <w:r>
                    <w:rPr>
                      <w:rFonts w:hint="default" w:ascii="Times New Roman" w:hAnsi="Times New Roman" w:cs="Times New Roman"/>
                      <w:b w:val="0"/>
                      <w:bCs w:val="0"/>
                      <w:color w:val="auto"/>
                      <w:spacing w:val="0"/>
                      <w:sz w:val="21"/>
                      <w:szCs w:val="21"/>
                      <w:lang w:val="en-US" w:eastAsia="zh-CN"/>
                    </w:rPr>
                    <w:t>SS</w:t>
                  </w:r>
                </w:p>
              </w:tc>
              <w:tc>
                <w:tcPr>
                  <w:tcW w:w="488"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kern w:val="2"/>
                      <w:sz w:val="21"/>
                      <w:szCs w:val="21"/>
                      <w:lang w:val="en-US" w:eastAsia="zh-CN" w:bidi="ar-SA"/>
                    </w:rPr>
                  </w:pPr>
                  <w:r>
                    <w:rPr>
                      <w:rFonts w:hint="eastAsia" w:ascii="Times New Roman" w:eastAsia="宋体" w:cs="Times New Roman"/>
                      <w:color w:val="auto"/>
                      <w:spacing w:val="0"/>
                      <w:kern w:val="2"/>
                      <w:sz w:val="21"/>
                      <w:szCs w:val="21"/>
                      <w:lang w:val="en-US" w:eastAsia="zh-CN" w:bidi="ar-SA"/>
                    </w:rPr>
                    <w:t>3</w:t>
                  </w:r>
                  <w:r>
                    <w:rPr>
                      <w:rFonts w:hint="default" w:ascii="Times New Roman" w:hAnsi="Times New Roman" w:eastAsia="宋体" w:cs="Times New Roman"/>
                      <w:color w:val="auto"/>
                      <w:spacing w:val="0"/>
                      <w:kern w:val="2"/>
                      <w:sz w:val="21"/>
                      <w:szCs w:val="21"/>
                      <w:lang w:val="en-US" w:eastAsia="zh-CN" w:bidi="ar-SA"/>
                    </w:rPr>
                    <w:t>00</w:t>
                  </w:r>
                </w:p>
              </w:tc>
              <w:tc>
                <w:tcPr>
                  <w:tcW w:w="490"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0.0</w:t>
                  </w:r>
                  <w:r>
                    <w:rPr>
                      <w:rFonts w:hint="eastAsia" w:ascii="Times New Roman" w:eastAsia="宋体" w:cs="Times New Roman"/>
                      <w:color w:val="auto"/>
                      <w:spacing w:val="0"/>
                      <w:kern w:val="2"/>
                      <w:sz w:val="21"/>
                      <w:szCs w:val="21"/>
                      <w:lang w:val="en-US" w:eastAsia="zh-CN" w:bidi="ar-SA"/>
                    </w:rPr>
                    <w:t>7</w:t>
                  </w:r>
                  <w:r>
                    <w:rPr>
                      <w:rFonts w:hint="eastAsia" w:ascii="Times New Roman" w:cs="Times New Roman"/>
                      <w:color w:val="auto"/>
                      <w:spacing w:val="0"/>
                      <w:kern w:val="2"/>
                      <w:sz w:val="21"/>
                      <w:szCs w:val="21"/>
                      <w:lang w:val="en-US" w:eastAsia="zh-CN" w:bidi="ar-SA"/>
                    </w:rPr>
                    <w:t>5</w:t>
                  </w:r>
                </w:p>
              </w:tc>
              <w:tc>
                <w:tcPr>
                  <w:tcW w:w="395" w:type="pct"/>
                  <w:vMerge w:val="continue"/>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p>
              </w:tc>
              <w:tc>
                <w:tcPr>
                  <w:tcW w:w="388" w:type="pct"/>
                  <w:vMerge w:val="continue"/>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p>
              </w:tc>
              <w:tc>
                <w:tcPr>
                  <w:tcW w:w="335"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r>
                    <w:rPr>
                      <w:rFonts w:hint="eastAsia" w:ascii="Times New Roman" w:cs="Times New Roman"/>
                      <w:color w:val="auto"/>
                      <w:spacing w:val="0"/>
                      <w:szCs w:val="21"/>
                      <w:lang w:val="en-US" w:eastAsia="zh-CN"/>
                    </w:rPr>
                    <w:t>33.3</w:t>
                  </w:r>
                </w:p>
              </w:tc>
              <w:tc>
                <w:tcPr>
                  <w:tcW w:w="320" w:type="pct"/>
                  <w:vMerge w:val="continue"/>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p>
              </w:tc>
              <w:tc>
                <w:tcPr>
                  <w:tcW w:w="351"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szCs w:val="21"/>
                      <w:lang w:val="en-US" w:eastAsia="zh-CN"/>
                    </w:rPr>
                  </w:pPr>
                  <w:r>
                    <w:rPr>
                      <w:rFonts w:hint="default" w:ascii="Times New Roman" w:hAnsi="Times New Roman" w:eastAsia="宋体" w:cs="Times New Roman"/>
                      <w:color w:val="auto"/>
                      <w:spacing w:val="0"/>
                      <w:szCs w:val="21"/>
                      <w:lang w:val="en-US" w:eastAsia="zh-CN"/>
                    </w:rPr>
                    <w:t>200</w:t>
                  </w:r>
                </w:p>
              </w:tc>
              <w:tc>
                <w:tcPr>
                  <w:tcW w:w="451"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0.0</w:t>
                  </w:r>
                  <w:r>
                    <w:rPr>
                      <w:rFonts w:hint="eastAsia" w:ascii="Times New Roman" w:cs="Times New Roman"/>
                      <w:color w:val="auto"/>
                      <w:spacing w:val="0"/>
                      <w:kern w:val="2"/>
                      <w:sz w:val="21"/>
                      <w:szCs w:val="21"/>
                      <w:lang w:val="en-US" w:eastAsia="zh-CN" w:bidi="ar-SA"/>
                    </w:rPr>
                    <w:t>5</w:t>
                  </w:r>
                </w:p>
              </w:tc>
              <w:tc>
                <w:tcPr>
                  <w:tcW w:w="407" w:type="pct"/>
                  <w:vMerge w:val="continue"/>
                  <w:tcBorders>
                    <w:tl2br w:val="nil"/>
                    <w:tr2bl w:val="nil"/>
                  </w:tcBorders>
                  <w:noWrap w:val="0"/>
                  <w:vAlign w:val="center"/>
                </w:tcPr>
                <w:p>
                  <w:pPr>
                    <w:pStyle w:val="4"/>
                    <w:spacing w:before="0" w:after="0" w:line="240" w:lineRule="auto"/>
                    <w:jc w:val="center"/>
                    <w:outlineLvl w:val="9"/>
                    <w:rPr>
                      <w:rFonts w:hint="default" w:ascii="Times New Roman" w:hAnsi="Times New Roman" w:cs="Times New Roman"/>
                      <w:b w:val="0"/>
                      <w:bCs w:val="0"/>
                      <w:color w:val="auto"/>
                      <w:spacing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vMerge w:val="continue"/>
                  <w:tcBorders>
                    <w:tl2br w:val="nil"/>
                    <w:tr2bl w:val="nil"/>
                  </w:tcBorders>
                  <w:noWrap w:val="0"/>
                  <w:vAlign w:val="center"/>
                </w:tcPr>
                <w:p>
                  <w:pPr>
                    <w:pStyle w:val="4"/>
                    <w:spacing w:before="0" w:after="0" w:line="240" w:lineRule="auto"/>
                    <w:jc w:val="center"/>
                    <w:outlineLvl w:val="9"/>
                    <w:rPr>
                      <w:rFonts w:hint="default" w:ascii="Times New Roman" w:hAnsi="Times New Roman" w:cs="Times New Roman"/>
                      <w:b w:val="0"/>
                      <w:bCs w:val="0"/>
                      <w:color w:val="auto"/>
                      <w:spacing w:val="0"/>
                      <w:sz w:val="21"/>
                      <w:szCs w:val="21"/>
                      <w:lang w:val="en-US" w:eastAsia="zh-CN"/>
                    </w:rPr>
                  </w:pPr>
                </w:p>
              </w:tc>
              <w:tc>
                <w:tcPr>
                  <w:tcW w:w="386" w:type="pct"/>
                  <w:vMerge w:val="continue"/>
                  <w:tcBorders>
                    <w:tl2br w:val="nil"/>
                    <w:tr2bl w:val="nil"/>
                  </w:tcBorders>
                  <w:noWrap w:val="0"/>
                  <w:vAlign w:val="center"/>
                </w:tcPr>
                <w:p>
                  <w:pPr>
                    <w:pStyle w:val="4"/>
                    <w:spacing w:before="0" w:after="0" w:line="240" w:lineRule="auto"/>
                    <w:jc w:val="center"/>
                    <w:outlineLvl w:val="9"/>
                    <w:rPr>
                      <w:rFonts w:hint="default" w:ascii="Times New Roman" w:hAnsi="Times New Roman" w:cs="Times New Roman"/>
                      <w:b w:val="0"/>
                      <w:bCs w:val="0"/>
                      <w:color w:val="auto"/>
                      <w:spacing w:val="0"/>
                      <w:sz w:val="21"/>
                      <w:szCs w:val="21"/>
                      <w:lang w:val="en-US" w:eastAsia="zh-CN"/>
                    </w:rPr>
                  </w:pPr>
                </w:p>
              </w:tc>
              <w:tc>
                <w:tcPr>
                  <w:tcW w:w="472" w:type="pc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b w:val="0"/>
                      <w:bCs w:val="0"/>
                      <w:color w:val="auto"/>
                      <w:spacing w:val="0"/>
                      <w:sz w:val="21"/>
                      <w:szCs w:val="21"/>
                      <w:lang w:val="en-US" w:eastAsia="zh-CN"/>
                    </w:rPr>
                  </w:pPr>
                  <w:r>
                    <w:rPr>
                      <w:rFonts w:hint="default" w:ascii="Times New Roman" w:hAnsi="Times New Roman" w:cs="Times New Roman"/>
                      <w:b w:val="0"/>
                      <w:bCs w:val="0"/>
                      <w:color w:val="auto"/>
                      <w:spacing w:val="0"/>
                      <w:sz w:val="21"/>
                      <w:szCs w:val="21"/>
                      <w:lang w:val="en-US" w:eastAsia="zh-CN"/>
                    </w:rPr>
                    <w:t>NH</w:t>
                  </w:r>
                  <w:r>
                    <w:rPr>
                      <w:rFonts w:hint="default" w:ascii="Times New Roman" w:hAnsi="Times New Roman" w:cs="Times New Roman"/>
                      <w:b w:val="0"/>
                      <w:bCs w:val="0"/>
                      <w:color w:val="auto"/>
                      <w:spacing w:val="0"/>
                      <w:sz w:val="21"/>
                      <w:szCs w:val="21"/>
                      <w:vertAlign w:val="subscript"/>
                      <w:lang w:val="en-US" w:eastAsia="zh-CN"/>
                    </w:rPr>
                    <w:t>3</w:t>
                  </w:r>
                  <w:r>
                    <w:rPr>
                      <w:rFonts w:hint="default" w:ascii="Times New Roman" w:hAnsi="Times New Roman" w:cs="Times New Roman"/>
                      <w:b w:val="0"/>
                      <w:bCs w:val="0"/>
                      <w:color w:val="auto"/>
                      <w:spacing w:val="0"/>
                      <w:sz w:val="21"/>
                      <w:szCs w:val="21"/>
                      <w:lang w:val="en-US" w:eastAsia="zh-CN"/>
                    </w:rPr>
                    <w:t>-N</w:t>
                  </w:r>
                </w:p>
              </w:tc>
              <w:tc>
                <w:tcPr>
                  <w:tcW w:w="488"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3</w:t>
                  </w:r>
                  <w:r>
                    <w:rPr>
                      <w:rFonts w:hint="eastAsia" w:ascii="Times New Roman" w:eastAsia="宋体" w:cs="Times New Roman"/>
                      <w:color w:val="auto"/>
                      <w:spacing w:val="0"/>
                      <w:kern w:val="2"/>
                      <w:sz w:val="21"/>
                      <w:szCs w:val="21"/>
                      <w:lang w:val="en-US" w:eastAsia="zh-CN" w:bidi="ar-SA"/>
                    </w:rPr>
                    <w:t>0</w:t>
                  </w:r>
                </w:p>
              </w:tc>
              <w:tc>
                <w:tcPr>
                  <w:tcW w:w="490"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0.00</w:t>
                  </w:r>
                  <w:r>
                    <w:rPr>
                      <w:rFonts w:hint="eastAsia" w:ascii="Times New Roman" w:cs="Times New Roman"/>
                      <w:color w:val="auto"/>
                      <w:spacing w:val="0"/>
                      <w:kern w:val="2"/>
                      <w:sz w:val="21"/>
                      <w:szCs w:val="21"/>
                      <w:lang w:val="en-US" w:eastAsia="zh-CN" w:bidi="ar-SA"/>
                    </w:rPr>
                    <w:t>75</w:t>
                  </w:r>
                </w:p>
              </w:tc>
              <w:tc>
                <w:tcPr>
                  <w:tcW w:w="395" w:type="pct"/>
                  <w:vMerge w:val="continue"/>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p>
              </w:tc>
              <w:tc>
                <w:tcPr>
                  <w:tcW w:w="388" w:type="pct"/>
                  <w:vMerge w:val="continue"/>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p>
              </w:tc>
              <w:tc>
                <w:tcPr>
                  <w:tcW w:w="335"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r>
                    <w:rPr>
                      <w:rFonts w:hint="default" w:ascii="Times New Roman" w:hAnsi="Times New Roman" w:cs="Times New Roman"/>
                      <w:color w:val="auto"/>
                      <w:spacing w:val="0"/>
                      <w:szCs w:val="21"/>
                      <w:lang w:val="en-US" w:eastAsia="zh-CN"/>
                    </w:rPr>
                    <w:t>/</w:t>
                  </w:r>
                </w:p>
              </w:tc>
              <w:tc>
                <w:tcPr>
                  <w:tcW w:w="320" w:type="pct"/>
                  <w:vMerge w:val="continue"/>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p>
              </w:tc>
              <w:tc>
                <w:tcPr>
                  <w:tcW w:w="351"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szCs w:val="21"/>
                      <w:lang w:val="en-US" w:eastAsia="zh-CN"/>
                    </w:rPr>
                  </w:pPr>
                  <w:r>
                    <w:rPr>
                      <w:rFonts w:hint="default" w:ascii="Times New Roman" w:hAnsi="Times New Roman" w:eastAsia="宋体" w:cs="Times New Roman"/>
                      <w:color w:val="auto"/>
                      <w:spacing w:val="0"/>
                      <w:szCs w:val="21"/>
                      <w:lang w:val="en-US" w:eastAsia="zh-CN"/>
                    </w:rPr>
                    <w:t>35</w:t>
                  </w:r>
                </w:p>
              </w:tc>
              <w:tc>
                <w:tcPr>
                  <w:tcW w:w="451"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0.00</w:t>
                  </w:r>
                  <w:r>
                    <w:rPr>
                      <w:rFonts w:hint="eastAsia" w:ascii="Times New Roman" w:cs="Times New Roman"/>
                      <w:color w:val="auto"/>
                      <w:spacing w:val="0"/>
                      <w:kern w:val="2"/>
                      <w:sz w:val="21"/>
                      <w:szCs w:val="21"/>
                      <w:lang w:val="en-US" w:eastAsia="zh-CN" w:bidi="ar-SA"/>
                    </w:rPr>
                    <w:t>75</w:t>
                  </w:r>
                </w:p>
              </w:tc>
              <w:tc>
                <w:tcPr>
                  <w:tcW w:w="407" w:type="pct"/>
                  <w:vMerge w:val="continue"/>
                  <w:tcBorders>
                    <w:tl2br w:val="nil"/>
                    <w:tr2bl w:val="nil"/>
                  </w:tcBorders>
                  <w:noWrap w:val="0"/>
                  <w:vAlign w:val="center"/>
                </w:tcPr>
                <w:p>
                  <w:pPr>
                    <w:pStyle w:val="4"/>
                    <w:spacing w:before="0" w:after="0" w:line="240" w:lineRule="auto"/>
                    <w:jc w:val="center"/>
                    <w:outlineLvl w:val="9"/>
                    <w:rPr>
                      <w:rFonts w:hint="default" w:ascii="Times New Roman" w:hAnsi="Times New Roman" w:cs="Times New Roman"/>
                      <w:b w:val="0"/>
                      <w:bCs w:val="0"/>
                      <w:color w:val="auto"/>
                      <w:spacing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vMerge w:val="continue"/>
                  <w:tcBorders>
                    <w:tl2br w:val="nil"/>
                    <w:tr2bl w:val="nil"/>
                  </w:tcBorders>
                  <w:noWrap w:val="0"/>
                  <w:vAlign w:val="center"/>
                </w:tcPr>
                <w:p>
                  <w:pPr>
                    <w:pStyle w:val="4"/>
                    <w:spacing w:before="0" w:after="0" w:line="240" w:lineRule="auto"/>
                    <w:jc w:val="center"/>
                    <w:outlineLvl w:val="9"/>
                    <w:rPr>
                      <w:rFonts w:hint="default" w:ascii="Times New Roman" w:hAnsi="Times New Roman" w:cs="Times New Roman"/>
                      <w:b w:val="0"/>
                      <w:bCs w:val="0"/>
                      <w:color w:val="auto"/>
                      <w:spacing w:val="0"/>
                      <w:sz w:val="21"/>
                      <w:szCs w:val="21"/>
                      <w:lang w:val="en-US" w:eastAsia="zh-CN"/>
                    </w:rPr>
                  </w:pPr>
                </w:p>
              </w:tc>
              <w:tc>
                <w:tcPr>
                  <w:tcW w:w="386" w:type="pct"/>
                  <w:vMerge w:val="continue"/>
                  <w:tcBorders>
                    <w:tl2br w:val="nil"/>
                    <w:tr2bl w:val="nil"/>
                  </w:tcBorders>
                  <w:noWrap w:val="0"/>
                  <w:vAlign w:val="center"/>
                </w:tcPr>
                <w:p>
                  <w:pPr>
                    <w:pStyle w:val="4"/>
                    <w:spacing w:before="0" w:after="0" w:line="240" w:lineRule="auto"/>
                    <w:jc w:val="center"/>
                    <w:outlineLvl w:val="9"/>
                    <w:rPr>
                      <w:rFonts w:hint="default" w:ascii="Times New Roman" w:hAnsi="Times New Roman" w:cs="Times New Roman"/>
                      <w:b w:val="0"/>
                      <w:bCs w:val="0"/>
                      <w:color w:val="auto"/>
                      <w:spacing w:val="0"/>
                      <w:sz w:val="21"/>
                      <w:szCs w:val="21"/>
                      <w:lang w:val="en-US" w:eastAsia="zh-CN"/>
                    </w:rPr>
                  </w:pPr>
                </w:p>
              </w:tc>
              <w:tc>
                <w:tcPr>
                  <w:tcW w:w="472" w:type="pc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b w:val="0"/>
                      <w:bCs w:val="0"/>
                      <w:color w:val="auto"/>
                      <w:spacing w:val="0"/>
                      <w:sz w:val="21"/>
                      <w:szCs w:val="21"/>
                      <w:lang w:val="en-US" w:eastAsia="zh-CN"/>
                    </w:rPr>
                  </w:pPr>
                  <w:r>
                    <w:rPr>
                      <w:rFonts w:hint="default" w:ascii="Times New Roman" w:hAnsi="Times New Roman" w:cs="Times New Roman"/>
                      <w:b w:val="0"/>
                      <w:bCs w:val="0"/>
                      <w:color w:val="auto"/>
                      <w:spacing w:val="0"/>
                      <w:sz w:val="21"/>
                      <w:szCs w:val="21"/>
                      <w:lang w:val="en-US" w:eastAsia="zh-CN"/>
                    </w:rPr>
                    <w:t>TN</w:t>
                  </w:r>
                </w:p>
              </w:tc>
              <w:tc>
                <w:tcPr>
                  <w:tcW w:w="488"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4</w:t>
                  </w:r>
                  <w:r>
                    <w:rPr>
                      <w:rFonts w:hint="eastAsia" w:ascii="Times New Roman" w:eastAsia="宋体" w:cs="Times New Roman"/>
                      <w:color w:val="auto"/>
                      <w:spacing w:val="0"/>
                      <w:kern w:val="2"/>
                      <w:sz w:val="21"/>
                      <w:szCs w:val="21"/>
                      <w:lang w:val="en-US" w:eastAsia="zh-CN" w:bidi="ar-SA"/>
                    </w:rPr>
                    <w:t>0</w:t>
                  </w:r>
                </w:p>
              </w:tc>
              <w:tc>
                <w:tcPr>
                  <w:tcW w:w="490"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0.0</w:t>
                  </w:r>
                  <w:r>
                    <w:rPr>
                      <w:rFonts w:hint="eastAsia" w:ascii="Times New Roman" w:cs="Times New Roman"/>
                      <w:color w:val="auto"/>
                      <w:spacing w:val="0"/>
                      <w:kern w:val="2"/>
                      <w:sz w:val="21"/>
                      <w:szCs w:val="21"/>
                      <w:lang w:val="en-US" w:eastAsia="zh-CN" w:bidi="ar-SA"/>
                    </w:rPr>
                    <w:t>1</w:t>
                  </w:r>
                </w:p>
              </w:tc>
              <w:tc>
                <w:tcPr>
                  <w:tcW w:w="395" w:type="pct"/>
                  <w:vMerge w:val="continue"/>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p>
              </w:tc>
              <w:tc>
                <w:tcPr>
                  <w:tcW w:w="388" w:type="pct"/>
                  <w:vMerge w:val="continue"/>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p>
              </w:tc>
              <w:tc>
                <w:tcPr>
                  <w:tcW w:w="335"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r>
                    <w:rPr>
                      <w:rFonts w:hint="default" w:ascii="Times New Roman" w:hAnsi="Times New Roman" w:cs="Times New Roman"/>
                      <w:color w:val="auto"/>
                      <w:spacing w:val="0"/>
                      <w:szCs w:val="21"/>
                      <w:lang w:val="en-US" w:eastAsia="zh-CN"/>
                    </w:rPr>
                    <w:t>/</w:t>
                  </w:r>
                </w:p>
              </w:tc>
              <w:tc>
                <w:tcPr>
                  <w:tcW w:w="320" w:type="pct"/>
                  <w:vMerge w:val="continue"/>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p>
              </w:tc>
              <w:tc>
                <w:tcPr>
                  <w:tcW w:w="351"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szCs w:val="21"/>
                      <w:lang w:val="en-US" w:eastAsia="zh-CN"/>
                    </w:rPr>
                  </w:pPr>
                  <w:r>
                    <w:rPr>
                      <w:rFonts w:hint="default" w:ascii="Times New Roman" w:hAnsi="Times New Roman" w:eastAsia="宋体" w:cs="Times New Roman"/>
                      <w:color w:val="auto"/>
                      <w:spacing w:val="0"/>
                      <w:szCs w:val="21"/>
                      <w:lang w:val="en-US" w:eastAsia="zh-CN"/>
                    </w:rPr>
                    <w:t>4</w:t>
                  </w:r>
                  <w:r>
                    <w:rPr>
                      <w:rFonts w:hint="eastAsia" w:ascii="Times New Roman" w:eastAsia="宋体" w:cs="Times New Roman"/>
                      <w:color w:val="auto"/>
                      <w:spacing w:val="0"/>
                      <w:szCs w:val="21"/>
                      <w:lang w:val="en-US" w:eastAsia="zh-CN"/>
                    </w:rPr>
                    <w:t>0</w:t>
                  </w:r>
                </w:p>
              </w:tc>
              <w:tc>
                <w:tcPr>
                  <w:tcW w:w="451"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0.0</w:t>
                  </w:r>
                  <w:r>
                    <w:rPr>
                      <w:rFonts w:hint="eastAsia" w:ascii="Times New Roman" w:cs="Times New Roman"/>
                      <w:color w:val="auto"/>
                      <w:spacing w:val="0"/>
                      <w:kern w:val="2"/>
                      <w:sz w:val="21"/>
                      <w:szCs w:val="21"/>
                      <w:lang w:val="en-US" w:eastAsia="zh-CN" w:bidi="ar-SA"/>
                    </w:rPr>
                    <w:t>1</w:t>
                  </w:r>
                </w:p>
              </w:tc>
              <w:tc>
                <w:tcPr>
                  <w:tcW w:w="407" w:type="pct"/>
                  <w:vMerge w:val="continue"/>
                  <w:tcBorders>
                    <w:tl2br w:val="nil"/>
                    <w:tr2bl w:val="nil"/>
                  </w:tcBorders>
                  <w:noWrap w:val="0"/>
                  <w:vAlign w:val="center"/>
                </w:tcPr>
                <w:p>
                  <w:pPr>
                    <w:pStyle w:val="4"/>
                    <w:spacing w:before="0" w:after="0" w:line="240" w:lineRule="auto"/>
                    <w:jc w:val="center"/>
                    <w:outlineLvl w:val="9"/>
                    <w:rPr>
                      <w:rFonts w:hint="default" w:ascii="Times New Roman" w:hAnsi="Times New Roman" w:cs="Times New Roman"/>
                      <w:b w:val="0"/>
                      <w:bCs w:val="0"/>
                      <w:color w:val="auto"/>
                      <w:spacing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vMerge w:val="continue"/>
                  <w:tcBorders>
                    <w:tl2br w:val="nil"/>
                    <w:tr2bl w:val="nil"/>
                  </w:tcBorders>
                  <w:noWrap w:val="0"/>
                  <w:vAlign w:val="center"/>
                </w:tcPr>
                <w:p>
                  <w:pPr>
                    <w:pStyle w:val="4"/>
                    <w:spacing w:before="0" w:after="0" w:line="240" w:lineRule="auto"/>
                    <w:jc w:val="center"/>
                    <w:outlineLvl w:val="9"/>
                    <w:rPr>
                      <w:rFonts w:hint="default" w:ascii="Times New Roman" w:hAnsi="Times New Roman" w:cs="Times New Roman"/>
                      <w:b w:val="0"/>
                      <w:bCs w:val="0"/>
                      <w:color w:val="auto"/>
                      <w:spacing w:val="0"/>
                      <w:sz w:val="21"/>
                      <w:szCs w:val="21"/>
                      <w:lang w:val="en-US" w:eastAsia="zh-CN"/>
                    </w:rPr>
                  </w:pPr>
                </w:p>
              </w:tc>
              <w:tc>
                <w:tcPr>
                  <w:tcW w:w="386" w:type="pct"/>
                  <w:vMerge w:val="continue"/>
                  <w:tcBorders>
                    <w:tl2br w:val="nil"/>
                    <w:tr2bl w:val="nil"/>
                  </w:tcBorders>
                  <w:noWrap w:val="0"/>
                  <w:vAlign w:val="center"/>
                </w:tcPr>
                <w:p>
                  <w:pPr>
                    <w:pStyle w:val="4"/>
                    <w:spacing w:before="0" w:after="0" w:line="240" w:lineRule="auto"/>
                    <w:jc w:val="center"/>
                    <w:outlineLvl w:val="9"/>
                    <w:rPr>
                      <w:rFonts w:hint="default" w:ascii="Times New Roman" w:hAnsi="Times New Roman" w:cs="Times New Roman"/>
                      <w:b w:val="0"/>
                      <w:bCs w:val="0"/>
                      <w:color w:val="auto"/>
                      <w:spacing w:val="0"/>
                      <w:sz w:val="21"/>
                      <w:szCs w:val="21"/>
                      <w:lang w:val="en-US" w:eastAsia="zh-CN"/>
                    </w:rPr>
                  </w:pPr>
                </w:p>
              </w:tc>
              <w:tc>
                <w:tcPr>
                  <w:tcW w:w="472" w:type="pct"/>
                  <w:tcBorders>
                    <w:tl2br w:val="nil"/>
                    <w:tr2bl w:val="nil"/>
                  </w:tcBorders>
                  <w:noWrap w:val="0"/>
                  <w:vAlign w:val="center"/>
                </w:tcPr>
                <w:p>
                  <w:pPr>
                    <w:pStyle w:val="4"/>
                    <w:spacing w:before="0" w:after="0" w:line="240" w:lineRule="auto"/>
                    <w:jc w:val="center"/>
                    <w:outlineLvl w:val="2"/>
                    <w:rPr>
                      <w:rFonts w:hint="default" w:ascii="Times New Roman" w:hAnsi="Times New Roman" w:cs="Times New Roman"/>
                      <w:b w:val="0"/>
                      <w:bCs w:val="0"/>
                      <w:color w:val="auto"/>
                      <w:spacing w:val="0"/>
                      <w:sz w:val="21"/>
                      <w:szCs w:val="21"/>
                      <w:lang w:val="en-US" w:eastAsia="zh-CN"/>
                    </w:rPr>
                  </w:pPr>
                  <w:r>
                    <w:rPr>
                      <w:rFonts w:hint="default" w:ascii="Times New Roman" w:hAnsi="Times New Roman" w:cs="Times New Roman"/>
                      <w:b w:val="0"/>
                      <w:bCs w:val="0"/>
                      <w:color w:val="auto"/>
                      <w:spacing w:val="0"/>
                      <w:sz w:val="21"/>
                      <w:szCs w:val="21"/>
                      <w:lang w:val="en-US" w:eastAsia="zh-CN"/>
                    </w:rPr>
                    <w:t>TP</w:t>
                  </w:r>
                </w:p>
              </w:tc>
              <w:tc>
                <w:tcPr>
                  <w:tcW w:w="488"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4</w:t>
                  </w:r>
                </w:p>
              </w:tc>
              <w:tc>
                <w:tcPr>
                  <w:tcW w:w="490"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0.00</w:t>
                  </w:r>
                  <w:r>
                    <w:rPr>
                      <w:rFonts w:hint="eastAsia" w:ascii="Times New Roman" w:cs="Times New Roman"/>
                      <w:color w:val="auto"/>
                      <w:spacing w:val="0"/>
                      <w:kern w:val="2"/>
                      <w:sz w:val="21"/>
                      <w:szCs w:val="21"/>
                      <w:lang w:val="en-US" w:eastAsia="zh-CN" w:bidi="ar-SA"/>
                    </w:rPr>
                    <w:t>1</w:t>
                  </w:r>
                </w:p>
              </w:tc>
              <w:tc>
                <w:tcPr>
                  <w:tcW w:w="395" w:type="pct"/>
                  <w:vMerge w:val="continue"/>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p>
              </w:tc>
              <w:tc>
                <w:tcPr>
                  <w:tcW w:w="388" w:type="pct"/>
                  <w:vMerge w:val="continue"/>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p>
              </w:tc>
              <w:tc>
                <w:tcPr>
                  <w:tcW w:w="335"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r>
                    <w:rPr>
                      <w:rFonts w:hint="default" w:ascii="Times New Roman" w:hAnsi="Times New Roman" w:cs="Times New Roman"/>
                      <w:color w:val="auto"/>
                      <w:spacing w:val="0"/>
                      <w:szCs w:val="21"/>
                      <w:lang w:val="en-US" w:eastAsia="zh-CN"/>
                    </w:rPr>
                    <w:t>/</w:t>
                  </w:r>
                </w:p>
              </w:tc>
              <w:tc>
                <w:tcPr>
                  <w:tcW w:w="320" w:type="pct"/>
                  <w:vMerge w:val="continue"/>
                  <w:tcBorders>
                    <w:tl2br w:val="nil"/>
                    <w:tr2bl w:val="nil"/>
                  </w:tcBorders>
                  <w:noWrap w:val="0"/>
                  <w:vAlign w:val="center"/>
                </w:tcPr>
                <w:p>
                  <w:pPr>
                    <w:pStyle w:val="25"/>
                    <w:tabs>
                      <w:tab w:val="left" w:pos="940"/>
                    </w:tabs>
                    <w:spacing w:beforeLines="0" w:afterLines="0" w:line="240" w:lineRule="auto"/>
                    <w:rPr>
                      <w:rFonts w:hint="default" w:ascii="Times New Roman" w:hAnsi="Times New Roman" w:cs="Times New Roman"/>
                      <w:color w:val="auto"/>
                      <w:spacing w:val="0"/>
                      <w:szCs w:val="21"/>
                      <w:lang w:val="en-US" w:eastAsia="zh-CN"/>
                    </w:rPr>
                  </w:pPr>
                </w:p>
              </w:tc>
              <w:tc>
                <w:tcPr>
                  <w:tcW w:w="351"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szCs w:val="21"/>
                      <w:lang w:val="en-US" w:eastAsia="zh-CN"/>
                    </w:rPr>
                  </w:pPr>
                  <w:r>
                    <w:rPr>
                      <w:rFonts w:hint="default" w:ascii="Times New Roman" w:hAnsi="Times New Roman" w:eastAsia="宋体" w:cs="Times New Roman"/>
                      <w:color w:val="auto"/>
                      <w:spacing w:val="0"/>
                      <w:szCs w:val="21"/>
                      <w:lang w:val="en-US" w:eastAsia="zh-CN"/>
                    </w:rPr>
                    <w:t>4</w:t>
                  </w:r>
                </w:p>
              </w:tc>
              <w:tc>
                <w:tcPr>
                  <w:tcW w:w="451" w:type="pct"/>
                  <w:tcBorders>
                    <w:tl2br w:val="nil"/>
                    <w:tr2bl w:val="nil"/>
                  </w:tcBorders>
                  <w:noWrap w:val="0"/>
                  <w:vAlign w:val="center"/>
                </w:tcPr>
                <w:p>
                  <w:pPr>
                    <w:pStyle w:val="25"/>
                    <w:tabs>
                      <w:tab w:val="left" w:pos="940"/>
                    </w:tabs>
                    <w:spacing w:beforeLines="0" w:afterLines="0" w:line="240" w:lineRule="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0.00</w:t>
                  </w:r>
                  <w:r>
                    <w:rPr>
                      <w:rFonts w:hint="eastAsia" w:ascii="Times New Roman" w:cs="Times New Roman"/>
                      <w:color w:val="auto"/>
                      <w:spacing w:val="0"/>
                      <w:kern w:val="2"/>
                      <w:sz w:val="21"/>
                      <w:szCs w:val="21"/>
                      <w:lang w:val="en-US" w:eastAsia="zh-CN" w:bidi="ar-SA"/>
                    </w:rPr>
                    <w:t>1</w:t>
                  </w:r>
                </w:p>
              </w:tc>
              <w:tc>
                <w:tcPr>
                  <w:tcW w:w="407" w:type="pct"/>
                  <w:vMerge w:val="continue"/>
                  <w:tcBorders>
                    <w:tl2br w:val="nil"/>
                    <w:tr2bl w:val="nil"/>
                  </w:tcBorders>
                  <w:noWrap w:val="0"/>
                  <w:vAlign w:val="center"/>
                </w:tcPr>
                <w:p>
                  <w:pPr>
                    <w:pStyle w:val="4"/>
                    <w:spacing w:before="0" w:after="0" w:line="240" w:lineRule="auto"/>
                    <w:jc w:val="center"/>
                    <w:outlineLvl w:val="9"/>
                    <w:rPr>
                      <w:rFonts w:hint="default" w:ascii="Times New Roman" w:hAnsi="Times New Roman" w:cs="Times New Roman"/>
                      <w:b w:val="0"/>
                      <w:bCs w:val="0"/>
                      <w:color w:val="auto"/>
                      <w:spacing w:val="0"/>
                      <w:sz w:val="21"/>
                      <w:szCs w:val="21"/>
                      <w:lang w:val="en-US" w:eastAsia="zh-CN"/>
                    </w:rPr>
                  </w:pP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pacing w:val="0"/>
                <w:sz w:val="24"/>
                <w:szCs w:val="24"/>
                <w:lang w:val="en-US" w:eastAsia="zh-CN"/>
              </w:rPr>
            </w:pPr>
            <w:r>
              <w:rPr>
                <w:rFonts w:hint="eastAsia" w:cs="Times New Roman"/>
                <w:b/>
                <w:bCs/>
                <w:spacing w:val="0"/>
                <w:sz w:val="24"/>
                <w:szCs w:val="24"/>
                <w:lang w:val="en-US" w:eastAsia="zh-CN"/>
              </w:rPr>
              <w:t>（2）废水类别、污染物及污染治理设施信息</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482"/>
              <w:textAlignment w:val="auto"/>
              <w:rPr>
                <w:rFonts w:hint="eastAsia" w:cs="Times New Roman"/>
                <w:b w:val="0"/>
                <w:bCs w:val="0"/>
                <w:spacing w:val="0"/>
                <w:sz w:val="24"/>
                <w:szCs w:val="24"/>
                <w:lang w:val="en-US" w:eastAsia="zh-CN"/>
              </w:rPr>
            </w:pPr>
            <w:r>
              <w:rPr>
                <w:rFonts w:hint="eastAsia" w:cs="Times New Roman"/>
                <w:b w:val="0"/>
                <w:bCs w:val="0"/>
                <w:spacing w:val="0"/>
                <w:sz w:val="24"/>
                <w:szCs w:val="24"/>
                <w:lang w:val="en-US" w:eastAsia="zh-CN"/>
              </w:rPr>
              <w:t>废水类别、污染物及污染治理设施信息表见下表。</w:t>
            </w:r>
          </w:p>
          <w:p>
            <w:pPr>
              <w:adjustRightInd w:val="0"/>
              <w:snapToGrid w:val="0"/>
              <w:spacing w:line="500" w:lineRule="exact"/>
              <w:jc w:val="center"/>
              <w:rPr>
                <w:rFonts w:hint="default" w:ascii="Times New Roman" w:hAnsi="Times New Roman" w:cs="Times New Roman"/>
                <w:b/>
                <w:bCs/>
                <w:color w:val="auto"/>
                <w:spacing w:val="0"/>
                <w:sz w:val="24"/>
                <w:szCs w:val="24"/>
              </w:rPr>
            </w:pPr>
            <w:r>
              <w:rPr>
                <w:rFonts w:hint="default" w:ascii="Times New Roman" w:hAnsi="Times New Roman" w:cs="Times New Roman"/>
                <w:b/>
                <w:bCs/>
                <w:color w:val="auto"/>
                <w:spacing w:val="0"/>
                <w:sz w:val="24"/>
                <w:szCs w:val="24"/>
              </w:rPr>
              <w:t>表4-1</w:t>
            </w:r>
            <w:r>
              <w:rPr>
                <w:rFonts w:hint="eastAsia" w:cs="Times New Roman"/>
                <w:b/>
                <w:bCs/>
                <w:color w:val="auto"/>
                <w:spacing w:val="0"/>
                <w:sz w:val="24"/>
                <w:szCs w:val="24"/>
                <w:lang w:val="en-US" w:eastAsia="zh-CN"/>
              </w:rPr>
              <w:t>3</w:t>
            </w:r>
            <w:r>
              <w:rPr>
                <w:rFonts w:hint="default" w:ascii="Times New Roman" w:hAnsi="Times New Roman" w:cs="Times New Roman"/>
                <w:b/>
                <w:bCs/>
                <w:color w:val="auto"/>
                <w:spacing w:val="0"/>
                <w:sz w:val="24"/>
                <w:szCs w:val="24"/>
              </w:rPr>
              <w:t xml:space="preserve">  废水类别、污染物及污染治理设施信息表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30"/>
              <w:gridCol w:w="869"/>
              <w:gridCol w:w="813"/>
              <w:gridCol w:w="752"/>
              <w:gridCol w:w="708"/>
              <w:gridCol w:w="814"/>
              <w:gridCol w:w="724"/>
              <w:gridCol w:w="766"/>
              <w:gridCol w:w="697"/>
              <w:gridCol w:w="652"/>
              <w:gridCol w:w="12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30"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序号</w:t>
                  </w:r>
                </w:p>
              </w:tc>
              <w:tc>
                <w:tcPr>
                  <w:tcW w:w="869"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废水类别</w:t>
                  </w:r>
                </w:p>
              </w:tc>
              <w:tc>
                <w:tcPr>
                  <w:tcW w:w="813"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污染物种类</w:t>
                  </w:r>
                </w:p>
              </w:tc>
              <w:tc>
                <w:tcPr>
                  <w:tcW w:w="752"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排放</w:t>
                  </w:r>
                </w:p>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去向</w:t>
                  </w:r>
                </w:p>
              </w:tc>
              <w:tc>
                <w:tcPr>
                  <w:tcW w:w="708"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排放</w:t>
                  </w:r>
                </w:p>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规律</w:t>
                  </w:r>
                </w:p>
              </w:tc>
              <w:tc>
                <w:tcPr>
                  <w:tcW w:w="2304" w:type="dxa"/>
                  <w:gridSpan w:val="3"/>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污染治理设施</w:t>
                  </w:r>
                </w:p>
              </w:tc>
              <w:tc>
                <w:tcPr>
                  <w:tcW w:w="697"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排放口编号</w:t>
                  </w:r>
                </w:p>
              </w:tc>
              <w:tc>
                <w:tcPr>
                  <w:tcW w:w="652"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排放口设置是否符合要求</w:t>
                  </w:r>
                </w:p>
              </w:tc>
              <w:tc>
                <w:tcPr>
                  <w:tcW w:w="1279" w:type="dxa"/>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排放口类型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30"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rPr>
                  </w:pPr>
                </w:p>
              </w:tc>
              <w:tc>
                <w:tcPr>
                  <w:tcW w:w="869"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rPr>
                  </w:pPr>
                </w:p>
              </w:tc>
              <w:tc>
                <w:tcPr>
                  <w:tcW w:w="813"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rPr>
                  </w:pPr>
                </w:p>
              </w:tc>
              <w:tc>
                <w:tcPr>
                  <w:tcW w:w="752"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rPr>
                  </w:pPr>
                </w:p>
              </w:tc>
              <w:tc>
                <w:tcPr>
                  <w:tcW w:w="708"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rPr>
                  </w:pPr>
                </w:p>
              </w:tc>
              <w:tc>
                <w:tcPr>
                  <w:tcW w:w="814"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污染治理设施编号</w:t>
                  </w:r>
                </w:p>
              </w:tc>
              <w:tc>
                <w:tcPr>
                  <w:tcW w:w="724"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污染治理设施名称</w:t>
                  </w:r>
                </w:p>
              </w:tc>
              <w:tc>
                <w:tcPr>
                  <w:tcW w:w="766" w:type="dxa"/>
                  <w:tcBorders>
                    <w:tl2br w:val="nil"/>
                    <w:tr2bl w:val="nil"/>
                  </w:tcBorders>
                  <w:noWrap w:val="0"/>
                  <w:vAlign w:val="center"/>
                </w:tcPr>
                <w:p>
                  <w:pPr>
                    <w:adjustRightInd w:val="0"/>
                    <w:snapToGrid w:val="0"/>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污染治理设施工艺</w:t>
                  </w:r>
                </w:p>
              </w:tc>
              <w:tc>
                <w:tcPr>
                  <w:tcW w:w="697"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rPr>
                  </w:pPr>
                </w:p>
              </w:tc>
              <w:tc>
                <w:tcPr>
                  <w:tcW w:w="652"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rPr>
                  </w:pPr>
                </w:p>
              </w:tc>
              <w:tc>
                <w:tcPr>
                  <w:tcW w:w="1279"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30" w:type="dxa"/>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1</w:t>
                  </w:r>
                </w:p>
              </w:tc>
              <w:tc>
                <w:tcPr>
                  <w:tcW w:w="869" w:type="dxa"/>
                  <w:tcBorders>
                    <w:tl2br w:val="nil"/>
                    <w:tr2bl w:val="nil"/>
                  </w:tcBorders>
                  <w:noWrap w:val="0"/>
                  <w:vAlign w:val="center"/>
                </w:tcPr>
                <w:p>
                  <w:pPr>
                    <w:spacing w:line="240" w:lineRule="atLeast"/>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生活污水</w:t>
                  </w:r>
                </w:p>
              </w:tc>
              <w:tc>
                <w:tcPr>
                  <w:tcW w:w="813" w:type="dxa"/>
                  <w:tcBorders>
                    <w:tl2br w:val="nil"/>
                    <w:tr2bl w:val="nil"/>
                  </w:tcBorders>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COD</w:t>
                  </w:r>
                  <w:r>
                    <w:rPr>
                      <w:rFonts w:hint="default" w:ascii="Times New Roman" w:hAnsi="Times New Roman" w:cs="Times New Roman"/>
                      <w:color w:val="auto"/>
                      <w:spacing w:val="0"/>
                      <w:sz w:val="21"/>
                      <w:szCs w:val="21"/>
                      <w:lang w:eastAsia="zh-CN"/>
                    </w:rPr>
                    <w:t>、</w:t>
                  </w:r>
                  <w:r>
                    <w:rPr>
                      <w:rFonts w:hint="default" w:ascii="Times New Roman" w:hAnsi="Times New Roman" w:cs="Times New Roman"/>
                      <w:color w:val="auto"/>
                      <w:spacing w:val="0"/>
                      <w:sz w:val="21"/>
                      <w:szCs w:val="21"/>
                    </w:rPr>
                    <w:t>SS、NH</w:t>
                  </w:r>
                  <w:r>
                    <w:rPr>
                      <w:rFonts w:hint="default" w:ascii="Times New Roman" w:hAnsi="Times New Roman" w:cs="Times New Roman"/>
                      <w:color w:val="auto"/>
                      <w:spacing w:val="0"/>
                      <w:sz w:val="21"/>
                      <w:szCs w:val="21"/>
                      <w:vertAlign w:val="subscript"/>
                    </w:rPr>
                    <w:t>3</w:t>
                  </w:r>
                  <w:r>
                    <w:rPr>
                      <w:rFonts w:hint="default" w:ascii="Times New Roman" w:hAnsi="Times New Roman" w:cs="Times New Roman"/>
                      <w:color w:val="auto"/>
                      <w:spacing w:val="0"/>
                      <w:sz w:val="21"/>
                      <w:szCs w:val="21"/>
                    </w:rPr>
                    <w:t>-N、TN、TP</w:t>
                  </w:r>
                </w:p>
              </w:tc>
              <w:tc>
                <w:tcPr>
                  <w:tcW w:w="752"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auto"/>
                      <w:spacing w:val="0"/>
                      <w:sz w:val="21"/>
                      <w:szCs w:val="21"/>
                      <w:lang w:eastAsia="zh-CN"/>
                    </w:rPr>
                  </w:pPr>
                  <w:r>
                    <w:rPr>
                      <w:rFonts w:hint="eastAsia" w:ascii="Times New Roman" w:hAnsi="Times New Roman" w:cs="Times New Roman"/>
                      <w:color w:val="auto"/>
                      <w:spacing w:val="0"/>
                      <w:sz w:val="21"/>
                      <w:szCs w:val="21"/>
                      <w:lang w:eastAsia="zh-CN"/>
                    </w:rPr>
                    <w:t>海安市惠泽净水有限公司</w:t>
                  </w:r>
                </w:p>
              </w:tc>
              <w:tc>
                <w:tcPr>
                  <w:tcW w:w="708" w:type="dxa"/>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间断排放，排放期间流量不稳定</w:t>
                  </w:r>
                </w:p>
              </w:tc>
              <w:tc>
                <w:tcPr>
                  <w:tcW w:w="814" w:type="dxa"/>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TW001</w:t>
                  </w:r>
                </w:p>
              </w:tc>
              <w:tc>
                <w:tcPr>
                  <w:tcW w:w="724" w:type="dxa"/>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化粪池</w:t>
                  </w:r>
                </w:p>
              </w:tc>
              <w:tc>
                <w:tcPr>
                  <w:tcW w:w="766" w:type="dxa"/>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w:t>
                  </w:r>
                </w:p>
              </w:tc>
              <w:tc>
                <w:tcPr>
                  <w:tcW w:w="697" w:type="dxa"/>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DW001</w:t>
                  </w:r>
                </w:p>
              </w:tc>
              <w:tc>
                <w:tcPr>
                  <w:tcW w:w="652" w:type="dxa"/>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sym w:font="Wingdings 2" w:char="0052"/>
                  </w:r>
                  <w:r>
                    <w:rPr>
                      <w:rFonts w:hint="default" w:ascii="Times New Roman" w:hAnsi="Times New Roman" w:cs="Times New Roman"/>
                      <w:color w:val="auto"/>
                      <w:spacing w:val="0"/>
                      <w:sz w:val="21"/>
                      <w:szCs w:val="21"/>
                    </w:rPr>
                    <w:t>是</w:t>
                  </w:r>
                </w:p>
                <w:p>
                  <w:pPr>
                    <w:adjustRightInd w:val="0"/>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sym w:font="Wingdings 2" w:char="00A3"/>
                  </w:r>
                  <w:r>
                    <w:rPr>
                      <w:rFonts w:hint="default" w:ascii="Times New Roman" w:hAnsi="Times New Roman" w:cs="Times New Roman"/>
                      <w:color w:val="auto"/>
                      <w:spacing w:val="0"/>
                      <w:sz w:val="21"/>
                      <w:szCs w:val="21"/>
                    </w:rPr>
                    <w:t>否</w:t>
                  </w:r>
                </w:p>
              </w:tc>
              <w:tc>
                <w:tcPr>
                  <w:tcW w:w="1279" w:type="dxa"/>
                  <w:tcBorders>
                    <w:tl2br w:val="nil"/>
                    <w:tr2bl w:val="nil"/>
                  </w:tcBorders>
                  <w:noWrap w:val="0"/>
                  <w:vAlign w:val="center"/>
                </w:tcPr>
                <w:p>
                  <w:pPr>
                    <w:adjustRightInd w:val="0"/>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sym w:font="Wingdings 2" w:char="0052"/>
                  </w:r>
                  <w:r>
                    <w:rPr>
                      <w:rFonts w:hint="default" w:ascii="Times New Roman" w:hAnsi="Times New Roman" w:cs="Times New Roman"/>
                      <w:color w:val="auto"/>
                      <w:spacing w:val="0"/>
                      <w:sz w:val="21"/>
                      <w:szCs w:val="21"/>
                    </w:rPr>
                    <w:t>企业总排放</w:t>
                  </w:r>
                </w:p>
                <w:p>
                  <w:pPr>
                    <w:adjustRightInd w:val="0"/>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sym w:font="Wingdings 2" w:char="00A3"/>
                  </w:r>
                  <w:r>
                    <w:rPr>
                      <w:rFonts w:hint="default" w:ascii="Times New Roman" w:hAnsi="Times New Roman" w:cs="Times New Roman"/>
                      <w:color w:val="auto"/>
                      <w:spacing w:val="0"/>
                      <w:sz w:val="21"/>
                      <w:szCs w:val="21"/>
                    </w:rPr>
                    <w:t>雨水排放</w:t>
                  </w:r>
                </w:p>
                <w:p>
                  <w:pPr>
                    <w:adjustRightInd w:val="0"/>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sym w:font="Wingdings 2" w:char="00A3"/>
                  </w:r>
                  <w:r>
                    <w:rPr>
                      <w:rFonts w:hint="default" w:ascii="Times New Roman" w:hAnsi="Times New Roman" w:cs="Times New Roman"/>
                      <w:color w:val="auto"/>
                      <w:spacing w:val="0"/>
                      <w:sz w:val="21"/>
                      <w:szCs w:val="21"/>
                    </w:rPr>
                    <w:t>清净下水排放</w:t>
                  </w:r>
                </w:p>
                <w:p>
                  <w:pPr>
                    <w:adjustRightInd w:val="0"/>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sym w:font="Wingdings 2" w:char="00A3"/>
                  </w:r>
                  <w:r>
                    <w:rPr>
                      <w:rFonts w:hint="default" w:ascii="Times New Roman" w:hAnsi="Times New Roman" w:cs="Times New Roman"/>
                      <w:color w:val="auto"/>
                      <w:spacing w:val="0"/>
                      <w:sz w:val="21"/>
                      <w:szCs w:val="21"/>
                    </w:rPr>
                    <w:t>温排水排放</w:t>
                  </w:r>
                </w:p>
                <w:p>
                  <w:pPr>
                    <w:adjustRightInd w:val="0"/>
                    <w:snapToGrid w:val="0"/>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sym w:font="Wingdings 2" w:char="00A3"/>
                  </w:r>
                  <w:r>
                    <w:rPr>
                      <w:rFonts w:hint="default" w:ascii="Times New Roman" w:hAnsi="Times New Roman" w:cs="Times New Roman"/>
                      <w:color w:val="auto"/>
                      <w:spacing w:val="0"/>
                      <w:sz w:val="21"/>
                      <w:szCs w:val="21"/>
                    </w:rPr>
                    <w:t>车间或车间处理设施排放</w:t>
                  </w:r>
                </w:p>
              </w:tc>
            </w:tr>
          </w:tbl>
          <w:p>
            <w:pPr>
              <w:adjustRightInd w:val="0"/>
              <w:snapToGrid w:val="0"/>
              <w:spacing w:line="500" w:lineRule="exact"/>
              <w:ind w:firstLine="480" w:firstLineChars="200"/>
              <w:jc w:val="both"/>
              <w:rPr>
                <w:rFonts w:hint="eastAsia"/>
                <w:b w:val="0"/>
                <w:bCs w:val="0"/>
                <w:spacing w:val="0"/>
                <w:sz w:val="24"/>
                <w:szCs w:val="24"/>
                <w:lang w:val="en-US" w:eastAsia="zh-CN"/>
              </w:rPr>
            </w:pPr>
            <w:r>
              <w:rPr>
                <w:rFonts w:hint="eastAsia"/>
                <w:b w:val="0"/>
                <w:bCs w:val="0"/>
                <w:spacing w:val="0"/>
                <w:sz w:val="24"/>
                <w:szCs w:val="24"/>
                <w:lang w:val="en-US" w:eastAsia="zh-CN"/>
              </w:rPr>
              <w:t>废水间接排放口基本情况见下表。</w:t>
            </w:r>
          </w:p>
          <w:p>
            <w:pPr>
              <w:adjustRightInd w:val="0"/>
              <w:snapToGrid w:val="0"/>
              <w:spacing w:line="500" w:lineRule="exact"/>
              <w:jc w:val="center"/>
              <w:rPr>
                <w:rFonts w:hint="default" w:ascii="Times New Roman" w:hAnsi="Times New Roman" w:cs="Times New Roman"/>
                <w:color w:val="auto"/>
                <w:spacing w:val="0"/>
                <w:sz w:val="24"/>
                <w:szCs w:val="24"/>
              </w:rPr>
            </w:pPr>
            <w:r>
              <w:rPr>
                <w:rFonts w:hint="default" w:ascii="Times New Roman" w:hAnsi="Times New Roman" w:cs="Times New Roman"/>
                <w:b/>
                <w:bCs/>
                <w:color w:val="auto"/>
                <w:spacing w:val="0"/>
                <w:sz w:val="24"/>
                <w:szCs w:val="24"/>
                <w:highlight w:val="none"/>
              </w:rPr>
              <w:t>表4-1</w:t>
            </w:r>
            <w:r>
              <w:rPr>
                <w:rFonts w:hint="eastAsia" w:cs="Times New Roman"/>
                <w:b/>
                <w:bCs/>
                <w:color w:val="auto"/>
                <w:spacing w:val="0"/>
                <w:sz w:val="24"/>
                <w:szCs w:val="24"/>
                <w:highlight w:val="none"/>
                <w:lang w:val="en-US" w:eastAsia="zh-CN"/>
              </w:rPr>
              <w:t>4</w:t>
            </w:r>
            <w:r>
              <w:rPr>
                <w:rFonts w:hint="default" w:ascii="Times New Roman" w:hAnsi="Times New Roman" w:cs="Times New Roman"/>
                <w:b/>
                <w:bCs/>
                <w:color w:val="auto"/>
                <w:spacing w:val="0"/>
                <w:sz w:val="24"/>
                <w:szCs w:val="24"/>
                <w:highlight w:val="none"/>
              </w:rPr>
              <w:t xml:space="preserve">  废水排放口基本情况表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2"/>
              <w:gridCol w:w="688"/>
              <w:gridCol w:w="890"/>
              <w:gridCol w:w="1096"/>
              <w:gridCol w:w="958"/>
              <w:gridCol w:w="747"/>
              <w:gridCol w:w="734"/>
              <w:gridCol w:w="720"/>
              <w:gridCol w:w="653"/>
              <w:gridCol w:w="589"/>
              <w:gridCol w:w="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2" w:type="dxa"/>
                  <w:vMerge w:val="restart"/>
                  <w:noWrap w:val="0"/>
                  <w:tcMar>
                    <w:top w:w="0" w:type="dxa"/>
                    <w:left w:w="0" w:type="dxa"/>
                    <w:bottom w:w="0" w:type="dxa"/>
                    <w:right w:w="0" w:type="dxa"/>
                  </w:tcMar>
                  <w:vAlign w:val="center"/>
                </w:tcPr>
                <w:p>
                  <w:pPr>
                    <w:pStyle w:val="16"/>
                    <w:jc w:val="center"/>
                    <w:outlineLvl w:val="9"/>
                    <w:rPr>
                      <w:rFonts w:hint="default" w:ascii="Times New Roman" w:hAnsi="Times New Roman" w:cs="Times New Roman"/>
                      <w:b/>
                      <w:bCs/>
                      <w:color w:val="auto"/>
                      <w:spacing w:val="0"/>
                      <w:sz w:val="21"/>
                      <w:szCs w:val="21"/>
                      <w:lang w:val="en-US" w:eastAsia="zh-CN"/>
                    </w:rPr>
                  </w:pPr>
                  <w:bookmarkStart w:id="11" w:name="_Toc17079"/>
                  <w:bookmarkStart w:id="12" w:name="_Toc332"/>
                  <w:bookmarkStart w:id="13" w:name="_Toc28996"/>
                  <w:r>
                    <w:rPr>
                      <w:rFonts w:hint="default" w:ascii="Times New Roman" w:hAnsi="Times New Roman" w:cs="Times New Roman"/>
                      <w:b/>
                      <w:bCs/>
                      <w:color w:val="auto"/>
                      <w:spacing w:val="0"/>
                      <w:sz w:val="21"/>
                      <w:szCs w:val="21"/>
                      <w:lang w:val="en-US" w:eastAsia="zh-CN"/>
                    </w:rPr>
                    <w:t>排放口编号</w:t>
                  </w:r>
                  <w:bookmarkEnd w:id="11"/>
                  <w:bookmarkEnd w:id="12"/>
                  <w:bookmarkEnd w:id="13"/>
                </w:p>
              </w:tc>
              <w:tc>
                <w:tcPr>
                  <w:tcW w:w="688" w:type="dxa"/>
                  <w:vMerge w:val="restart"/>
                  <w:noWrap w:val="0"/>
                  <w:tcMar>
                    <w:top w:w="0" w:type="dxa"/>
                    <w:left w:w="0" w:type="dxa"/>
                    <w:bottom w:w="0" w:type="dxa"/>
                    <w:right w:w="0" w:type="dxa"/>
                  </w:tcMar>
                  <w:vAlign w:val="center"/>
                </w:tcPr>
                <w:p>
                  <w:pPr>
                    <w:pStyle w:val="16"/>
                    <w:jc w:val="center"/>
                    <w:outlineLvl w:val="9"/>
                    <w:rPr>
                      <w:rFonts w:hint="default" w:ascii="Times New Roman" w:hAnsi="Times New Roman" w:cs="Times New Roman"/>
                      <w:b/>
                      <w:bCs/>
                      <w:color w:val="auto"/>
                      <w:spacing w:val="0"/>
                      <w:sz w:val="21"/>
                      <w:szCs w:val="21"/>
                      <w:lang w:val="en-US" w:eastAsia="zh-CN"/>
                    </w:rPr>
                  </w:pPr>
                  <w:bookmarkStart w:id="14" w:name="_Toc6371"/>
                  <w:bookmarkStart w:id="15" w:name="_Toc27074"/>
                  <w:bookmarkStart w:id="16" w:name="_Toc10064"/>
                  <w:r>
                    <w:rPr>
                      <w:rFonts w:hint="default" w:ascii="Times New Roman" w:hAnsi="Times New Roman" w:cs="Times New Roman"/>
                      <w:b/>
                      <w:bCs/>
                      <w:color w:val="auto"/>
                      <w:spacing w:val="0"/>
                      <w:sz w:val="21"/>
                      <w:szCs w:val="21"/>
                      <w:lang w:val="en-US" w:eastAsia="zh-CN"/>
                    </w:rPr>
                    <w:t>排放口名称</w:t>
                  </w:r>
                  <w:bookmarkEnd w:id="14"/>
                  <w:bookmarkEnd w:id="15"/>
                  <w:bookmarkEnd w:id="16"/>
                </w:p>
              </w:tc>
              <w:tc>
                <w:tcPr>
                  <w:tcW w:w="890" w:type="dxa"/>
                  <w:vMerge w:val="restart"/>
                  <w:noWrap w:val="0"/>
                  <w:tcMar>
                    <w:top w:w="0" w:type="dxa"/>
                    <w:left w:w="0" w:type="dxa"/>
                    <w:bottom w:w="0" w:type="dxa"/>
                    <w:right w:w="0" w:type="dxa"/>
                  </w:tcMar>
                  <w:vAlign w:val="center"/>
                </w:tcPr>
                <w:p>
                  <w:pPr>
                    <w:pStyle w:val="16"/>
                    <w:jc w:val="center"/>
                    <w:outlineLvl w:val="9"/>
                    <w:rPr>
                      <w:rFonts w:hint="default" w:ascii="Times New Roman" w:hAnsi="Times New Roman" w:cs="Times New Roman"/>
                      <w:b/>
                      <w:bCs/>
                      <w:color w:val="auto"/>
                      <w:spacing w:val="0"/>
                      <w:sz w:val="21"/>
                      <w:szCs w:val="21"/>
                      <w:lang w:val="en-US" w:eastAsia="zh-CN"/>
                    </w:rPr>
                  </w:pPr>
                  <w:bookmarkStart w:id="17" w:name="_Toc24461"/>
                  <w:bookmarkStart w:id="18" w:name="_Toc1900"/>
                  <w:bookmarkStart w:id="19" w:name="_Toc2140"/>
                  <w:r>
                    <w:rPr>
                      <w:rFonts w:hint="default" w:ascii="Times New Roman" w:hAnsi="Times New Roman" w:cs="Times New Roman"/>
                      <w:b/>
                      <w:bCs/>
                      <w:color w:val="auto"/>
                      <w:spacing w:val="0"/>
                      <w:sz w:val="21"/>
                      <w:szCs w:val="21"/>
                      <w:lang w:val="en-US" w:eastAsia="zh-CN"/>
                    </w:rPr>
                    <w:t>污染物种类</w:t>
                  </w:r>
                  <w:bookmarkEnd w:id="17"/>
                  <w:bookmarkEnd w:id="18"/>
                  <w:bookmarkEnd w:id="19"/>
                </w:p>
              </w:tc>
              <w:tc>
                <w:tcPr>
                  <w:tcW w:w="2054" w:type="dxa"/>
                  <w:gridSpan w:val="2"/>
                  <w:noWrap w:val="0"/>
                  <w:tcMar>
                    <w:top w:w="0" w:type="dxa"/>
                    <w:left w:w="0" w:type="dxa"/>
                    <w:bottom w:w="0" w:type="dxa"/>
                    <w:right w:w="0" w:type="dxa"/>
                  </w:tcMar>
                  <w:vAlign w:val="center"/>
                </w:tcPr>
                <w:p>
                  <w:pPr>
                    <w:pStyle w:val="16"/>
                    <w:jc w:val="center"/>
                    <w:outlineLvl w:val="9"/>
                    <w:rPr>
                      <w:rFonts w:hint="default" w:ascii="Times New Roman" w:hAnsi="Times New Roman" w:cs="Times New Roman"/>
                      <w:b/>
                      <w:bCs/>
                      <w:color w:val="auto"/>
                      <w:spacing w:val="0"/>
                      <w:sz w:val="21"/>
                      <w:szCs w:val="21"/>
                      <w:lang w:val="en-US" w:eastAsia="zh-CN"/>
                    </w:rPr>
                  </w:pPr>
                  <w:bookmarkStart w:id="20" w:name="_Toc4432"/>
                  <w:bookmarkStart w:id="21" w:name="_Toc488"/>
                  <w:bookmarkStart w:id="22" w:name="_Toc10832"/>
                  <w:r>
                    <w:rPr>
                      <w:rFonts w:hint="default" w:ascii="Times New Roman" w:hAnsi="Times New Roman" w:cs="Times New Roman"/>
                      <w:b/>
                      <w:bCs/>
                      <w:color w:val="auto"/>
                      <w:spacing w:val="0"/>
                      <w:sz w:val="21"/>
                      <w:szCs w:val="21"/>
                      <w:lang w:val="en-US" w:eastAsia="zh-CN"/>
                    </w:rPr>
                    <w:t>地理坐标</w:t>
                  </w:r>
                  <w:bookmarkEnd w:id="20"/>
                  <w:bookmarkEnd w:id="21"/>
                  <w:bookmarkEnd w:id="22"/>
                </w:p>
              </w:tc>
              <w:tc>
                <w:tcPr>
                  <w:tcW w:w="747" w:type="dxa"/>
                  <w:vMerge w:val="restart"/>
                  <w:noWrap w:val="0"/>
                  <w:tcMar>
                    <w:top w:w="0" w:type="dxa"/>
                    <w:left w:w="0" w:type="dxa"/>
                    <w:bottom w:w="0" w:type="dxa"/>
                    <w:right w:w="0" w:type="dxa"/>
                  </w:tcMar>
                  <w:vAlign w:val="center"/>
                </w:tcPr>
                <w:p>
                  <w:pPr>
                    <w:pStyle w:val="16"/>
                    <w:jc w:val="center"/>
                    <w:outlineLvl w:val="9"/>
                    <w:rPr>
                      <w:rFonts w:hint="default" w:ascii="Times New Roman" w:hAnsi="Times New Roman" w:cs="Times New Roman"/>
                      <w:b/>
                      <w:bCs/>
                      <w:color w:val="auto"/>
                      <w:spacing w:val="0"/>
                      <w:sz w:val="21"/>
                      <w:szCs w:val="21"/>
                      <w:lang w:val="en-US" w:eastAsia="zh-CN"/>
                    </w:rPr>
                  </w:pPr>
                  <w:bookmarkStart w:id="23" w:name="_Toc8727"/>
                  <w:bookmarkStart w:id="24" w:name="_Toc7118"/>
                  <w:bookmarkStart w:id="25" w:name="_Toc24666"/>
                  <w:r>
                    <w:rPr>
                      <w:rFonts w:hint="default" w:ascii="Times New Roman" w:hAnsi="Times New Roman" w:cs="Times New Roman"/>
                      <w:b/>
                      <w:bCs/>
                      <w:color w:val="auto"/>
                      <w:spacing w:val="0"/>
                      <w:sz w:val="21"/>
                      <w:szCs w:val="21"/>
                      <w:lang w:val="en-US" w:eastAsia="zh-CN"/>
                    </w:rPr>
                    <w:t>排放口类型</w:t>
                  </w:r>
                  <w:bookmarkEnd w:id="23"/>
                  <w:bookmarkEnd w:id="24"/>
                  <w:bookmarkEnd w:id="25"/>
                </w:p>
              </w:tc>
              <w:tc>
                <w:tcPr>
                  <w:tcW w:w="734" w:type="dxa"/>
                  <w:vMerge w:val="restart"/>
                  <w:noWrap w:val="0"/>
                  <w:tcMar>
                    <w:top w:w="0" w:type="dxa"/>
                    <w:left w:w="0" w:type="dxa"/>
                    <w:bottom w:w="0" w:type="dxa"/>
                    <w:right w:w="0" w:type="dxa"/>
                  </w:tcMar>
                  <w:vAlign w:val="center"/>
                </w:tcPr>
                <w:p>
                  <w:pPr>
                    <w:pStyle w:val="16"/>
                    <w:jc w:val="center"/>
                    <w:outlineLvl w:val="9"/>
                    <w:rPr>
                      <w:rFonts w:hint="default" w:ascii="Times New Roman" w:hAnsi="Times New Roman" w:cs="Times New Roman"/>
                      <w:b/>
                      <w:bCs/>
                      <w:color w:val="auto"/>
                      <w:spacing w:val="0"/>
                      <w:sz w:val="21"/>
                      <w:szCs w:val="21"/>
                      <w:lang w:val="en-US" w:eastAsia="zh-CN"/>
                    </w:rPr>
                  </w:pPr>
                  <w:bookmarkStart w:id="26" w:name="_Toc25766"/>
                  <w:bookmarkStart w:id="27" w:name="_Toc6041"/>
                  <w:bookmarkStart w:id="28" w:name="_Toc27387"/>
                  <w:r>
                    <w:rPr>
                      <w:rFonts w:hint="default" w:ascii="Times New Roman" w:hAnsi="Times New Roman" w:cs="Times New Roman"/>
                      <w:b/>
                      <w:bCs/>
                      <w:color w:val="auto"/>
                      <w:spacing w:val="0"/>
                      <w:sz w:val="21"/>
                      <w:szCs w:val="21"/>
                      <w:lang w:val="en-US" w:eastAsia="zh-CN"/>
                    </w:rPr>
                    <w:t>排放规律</w:t>
                  </w:r>
                  <w:bookmarkEnd w:id="26"/>
                  <w:bookmarkEnd w:id="27"/>
                  <w:bookmarkEnd w:id="28"/>
                </w:p>
              </w:tc>
              <w:tc>
                <w:tcPr>
                  <w:tcW w:w="1373" w:type="dxa"/>
                  <w:gridSpan w:val="2"/>
                  <w:noWrap w:val="0"/>
                  <w:tcMar>
                    <w:top w:w="0" w:type="dxa"/>
                    <w:left w:w="0" w:type="dxa"/>
                    <w:bottom w:w="0" w:type="dxa"/>
                    <w:right w:w="0" w:type="dxa"/>
                  </w:tcMar>
                  <w:vAlign w:val="center"/>
                </w:tcPr>
                <w:p>
                  <w:pPr>
                    <w:jc w:val="center"/>
                    <w:outlineLvl w:val="9"/>
                    <w:rPr>
                      <w:rFonts w:hint="default" w:ascii="Times New Roman" w:hAnsi="Times New Roman" w:eastAsia="宋体" w:cs="Times New Roman"/>
                      <w:b/>
                      <w:bCs/>
                      <w:color w:val="auto"/>
                      <w:spacing w:val="0"/>
                      <w:kern w:val="0"/>
                      <w:sz w:val="21"/>
                      <w:szCs w:val="21"/>
                      <w:lang w:val="en-US" w:eastAsia="zh-CN"/>
                    </w:rPr>
                  </w:pPr>
                  <w:r>
                    <w:rPr>
                      <w:rFonts w:hint="default" w:ascii="Times New Roman" w:hAnsi="Times New Roman" w:eastAsia="宋体" w:cs="Times New Roman"/>
                      <w:b/>
                      <w:bCs/>
                      <w:color w:val="auto"/>
                      <w:spacing w:val="0"/>
                      <w:kern w:val="0"/>
                      <w:sz w:val="21"/>
                      <w:szCs w:val="21"/>
                      <w:lang w:val="en-US" w:eastAsia="zh-CN"/>
                    </w:rPr>
                    <w:t>排放标准</w:t>
                  </w:r>
                </w:p>
              </w:tc>
              <w:tc>
                <w:tcPr>
                  <w:tcW w:w="589" w:type="dxa"/>
                  <w:vMerge w:val="restart"/>
                  <w:noWrap w:val="0"/>
                  <w:tcMar>
                    <w:top w:w="0" w:type="dxa"/>
                    <w:left w:w="0" w:type="dxa"/>
                    <w:bottom w:w="0" w:type="dxa"/>
                    <w:right w:w="0" w:type="dxa"/>
                  </w:tcMar>
                  <w:vAlign w:val="center"/>
                </w:tcPr>
                <w:p>
                  <w:pPr>
                    <w:jc w:val="center"/>
                    <w:outlineLvl w:val="9"/>
                    <w:rPr>
                      <w:rFonts w:hint="default" w:ascii="Times New Roman" w:hAnsi="Times New Roman" w:eastAsia="宋体" w:cs="Times New Roman"/>
                      <w:b/>
                      <w:bCs/>
                      <w:color w:val="auto"/>
                      <w:spacing w:val="0"/>
                      <w:kern w:val="0"/>
                      <w:sz w:val="21"/>
                      <w:szCs w:val="21"/>
                      <w:lang w:val="en-US" w:eastAsia="zh-CN"/>
                    </w:rPr>
                  </w:pPr>
                  <w:r>
                    <w:rPr>
                      <w:rFonts w:hint="default" w:ascii="Times New Roman" w:hAnsi="Times New Roman" w:eastAsia="宋体" w:cs="Times New Roman"/>
                      <w:b/>
                      <w:bCs/>
                      <w:color w:val="auto"/>
                      <w:spacing w:val="0"/>
                      <w:kern w:val="0"/>
                      <w:sz w:val="21"/>
                      <w:szCs w:val="21"/>
                      <w:lang w:val="en-US" w:eastAsia="zh-CN"/>
                    </w:rPr>
                    <w:t>排放方式</w:t>
                  </w:r>
                </w:p>
              </w:tc>
              <w:tc>
                <w:tcPr>
                  <w:tcW w:w="657" w:type="dxa"/>
                  <w:vMerge w:val="restart"/>
                  <w:noWrap w:val="0"/>
                  <w:tcMar>
                    <w:top w:w="0" w:type="dxa"/>
                    <w:left w:w="0" w:type="dxa"/>
                    <w:bottom w:w="0" w:type="dxa"/>
                    <w:right w:w="0" w:type="dxa"/>
                  </w:tcMar>
                  <w:vAlign w:val="center"/>
                </w:tcPr>
                <w:p>
                  <w:pPr>
                    <w:jc w:val="center"/>
                    <w:outlineLvl w:val="9"/>
                    <w:rPr>
                      <w:rFonts w:hint="default" w:ascii="Times New Roman" w:hAnsi="Times New Roman" w:eastAsia="宋体" w:cs="Times New Roman"/>
                      <w:b/>
                      <w:bCs/>
                      <w:color w:val="auto"/>
                      <w:spacing w:val="0"/>
                      <w:kern w:val="0"/>
                      <w:sz w:val="21"/>
                      <w:szCs w:val="21"/>
                      <w:lang w:val="en-US" w:eastAsia="zh-CN"/>
                    </w:rPr>
                  </w:pPr>
                  <w:r>
                    <w:rPr>
                      <w:rFonts w:hint="default" w:ascii="Times New Roman" w:hAnsi="Times New Roman" w:eastAsia="宋体" w:cs="Times New Roman"/>
                      <w:b/>
                      <w:bCs/>
                      <w:color w:val="auto"/>
                      <w:spacing w:val="0"/>
                      <w:kern w:val="0"/>
                      <w:sz w:val="21"/>
                      <w:szCs w:val="21"/>
                      <w:lang w:val="en-US" w:eastAsia="zh-CN"/>
                    </w:rPr>
                    <w:t>排放</w:t>
                  </w:r>
                </w:p>
                <w:p>
                  <w:pPr>
                    <w:jc w:val="center"/>
                    <w:outlineLvl w:val="9"/>
                    <w:rPr>
                      <w:rFonts w:hint="default" w:ascii="Times New Roman" w:hAnsi="Times New Roman" w:eastAsia="宋体" w:cs="Times New Roman"/>
                      <w:b/>
                      <w:bCs/>
                      <w:color w:val="auto"/>
                      <w:spacing w:val="0"/>
                      <w:kern w:val="0"/>
                      <w:sz w:val="21"/>
                      <w:szCs w:val="21"/>
                      <w:lang w:val="en-US" w:eastAsia="zh-CN"/>
                    </w:rPr>
                  </w:pPr>
                  <w:r>
                    <w:rPr>
                      <w:rFonts w:hint="default" w:ascii="Times New Roman" w:hAnsi="Times New Roman" w:eastAsia="宋体" w:cs="Times New Roman"/>
                      <w:b/>
                      <w:bCs/>
                      <w:color w:val="auto"/>
                      <w:spacing w:val="0"/>
                      <w:kern w:val="0"/>
                      <w:sz w:val="21"/>
                      <w:szCs w:val="21"/>
                      <w:lang w:val="en-US" w:eastAsia="zh-CN"/>
                    </w:rPr>
                    <w:t>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2"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688"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890"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1096" w:type="dxa"/>
                  <w:noWrap w:val="0"/>
                  <w:tcMar>
                    <w:top w:w="0" w:type="dxa"/>
                    <w:left w:w="0" w:type="dxa"/>
                    <w:bottom w:w="0" w:type="dxa"/>
                    <w:right w:w="0" w:type="dxa"/>
                  </w:tcMar>
                  <w:vAlign w:val="center"/>
                </w:tcPr>
                <w:p>
                  <w:pPr>
                    <w:pStyle w:val="16"/>
                    <w:jc w:val="center"/>
                    <w:outlineLvl w:val="9"/>
                    <w:rPr>
                      <w:rFonts w:hint="default" w:ascii="Times New Roman" w:hAnsi="Times New Roman" w:cs="Times New Roman"/>
                      <w:b/>
                      <w:bCs/>
                      <w:color w:val="auto"/>
                      <w:spacing w:val="0"/>
                      <w:sz w:val="21"/>
                      <w:szCs w:val="21"/>
                      <w:highlight w:val="none"/>
                      <w:lang w:val="en-US" w:eastAsia="zh-CN"/>
                    </w:rPr>
                  </w:pPr>
                  <w:bookmarkStart w:id="29" w:name="_Toc26111"/>
                  <w:bookmarkStart w:id="30" w:name="_Toc905"/>
                  <w:bookmarkStart w:id="31" w:name="_Toc14899"/>
                  <w:r>
                    <w:rPr>
                      <w:rFonts w:hint="default" w:ascii="Times New Roman" w:hAnsi="Times New Roman" w:cs="Times New Roman"/>
                      <w:b/>
                      <w:bCs/>
                      <w:color w:val="auto"/>
                      <w:spacing w:val="0"/>
                      <w:sz w:val="21"/>
                      <w:szCs w:val="21"/>
                      <w:highlight w:val="none"/>
                      <w:lang w:val="en-US" w:eastAsia="zh-CN"/>
                    </w:rPr>
                    <w:t>经度</w:t>
                  </w:r>
                  <w:bookmarkEnd w:id="29"/>
                  <w:bookmarkEnd w:id="30"/>
                  <w:bookmarkEnd w:id="31"/>
                </w:p>
              </w:tc>
              <w:tc>
                <w:tcPr>
                  <w:tcW w:w="958" w:type="dxa"/>
                  <w:noWrap w:val="0"/>
                  <w:tcMar>
                    <w:top w:w="0" w:type="dxa"/>
                    <w:left w:w="0" w:type="dxa"/>
                    <w:bottom w:w="0" w:type="dxa"/>
                    <w:right w:w="0" w:type="dxa"/>
                  </w:tcMar>
                  <w:vAlign w:val="center"/>
                </w:tcPr>
                <w:p>
                  <w:pPr>
                    <w:pStyle w:val="16"/>
                    <w:jc w:val="center"/>
                    <w:outlineLvl w:val="9"/>
                    <w:rPr>
                      <w:rFonts w:hint="default" w:ascii="Times New Roman" w:hAnsi="Times New Roman" w:cs="Times New Roman"/>
                      <w:b/>
                      <w:bCs/>
                      <w:color w:val="auto"/>
                      <w:spacing w:val="0"/>
                      <w:sz w:val="21"/>
                      <w:szCs w:val="21"/>
                      <w:highlight w:val="none"/>
                      <w:lang w:val="en-US" w:eastAsia="zh-CN"/>
                    </w:rPr>
                  </w:pPr>
                  <w:bookmarkStart w:id="32" w:name="_Toc5245"/>
                  <w:bookmarkStart w:id="33" w:name="_Toc3645"/>
                  <w:bookmarkStart w:id="34" w:name="_Toc15036"/>
                  <w:r>
                    <w:rPr>
                      <w:rFonts w:hint="default" w:ascii="Times New Roman" w:hAnsi="Times New Roman" w:cs="Times New Roman"/>
                      <w:b/>
                      <w:bCs/>
                      <w:color w:val="auto"/>
                      <w:spacing w:val="0"/>
                      <w:sz w:val="21"/>
                      <w:szCs w:val="21"/>
                      <w:highlight w:val="none"/>
                      <w:lang w:val="en-US" w:eastAsia="zh-CN"/>
                    </w:rPr>
                    <w:t>纬度</w:t>
                  </w:r>
                  <w:bookmarkEnd w:id="32"/>
                  <w:bookmarkEnd w:id="33"/>
                  <w:bookmarkEnd w:id="34"/>
                </w:p>
              </w:tc>
              <w:tc>
                <w:tcPr>
                  <w:tcW w:w="747"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b/>
                      <w:bCs/>
                      <w:color w:val="auto"/>
                      <w:spacing w:val="0"/>
                      <w:sz w:val="21"/>
                      <w:szCs w:val="21"/>
                      <w:lang w:val="en-US" w:eastAsia="zh-CN"/>
                    </w:rPr>
                  </w:pPr>
                </w:p>
              </w:tc>
              <w:tc>
                <w:tcPr>
                  <w:tcW w:w="734"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b/>
                      <w:bCs/>
                      <w:color w:val="auto"/>
                      <w:spacing w:val="0"/>
                      <w:sz w:val="21"/>
                      <w:szCs w:val="21"/>
                      <w:lang w:val="en-US" w:eastAsia="zh-CN"/>
                    </w:rPr>
                  </w:pPr>
                </w:p>
              </w:tc>
              <w:tc>
                <w:tcPr>
                  <w:tcW w:w="720" w:type="dxa"/>
                  <w:noWrap w:val="0"/>
                  <w:tcMar>
                    <w:top w:w="0" w:type="dxa"/>
                    <w:left w:w="0" w:type="dxa"/>
                    <w:bottom w:w="0" w:type="dxa"/>
                    <w:right w:w="0" w:type="dxa"/>
                  </w:tcMar>
                  <w:vAlign w:val="center"/>
                </w:tcPr>
                <w:p>
                  <w:pPr>
                    <w:pStyle w:val="16"/>
                    <w:jc w:val="center"/>
                    <w:outlineLvl w:val="9"/>
                    <w:rPr>
                      <w:rFonts w:hint="default" w:ascii="Times New Roman" w:hAnsi="Times New Roman" w:eastAsia="宋体" w:cs="Times New Roman"/>
                      <w:b/>
                      <w:bCs/>
                      <w:color w:val="auto"/>
                      <w:spacing w:val="0"/>
                      <w:sz w:val="21"/>
                      <w:szCs w:val="21"/>
                      <w:lang w:val="en-US" w:eastAsia="zh-CN"/>
                    </w:rPr>
                  </w:pPr>
                  <w:bookmarkStart w:id="35" w:name="_Toc9528"/>
                  <w:bookmarkStart w:id="36" w:name="_Toc1525"/>
                  <w:bookmarkStart w:id="37" w:name="_Toc22186"/>
                  <w:r>
                    <w:rPr>
                      <w:rFonts w:hint="default" w:ascii="Times New Roman" w:hAnsi="Times New Roman" w:eastAsia="宋体" w:cs="Times New Roman"/>
                      <w:b/>
                      <w:bCs/>
                      <w:color w:val="auto"/>
                      <w:spacing w:val="0"/>
                      <w:sz w:val="21"/>
                      <w:szCs w:val="21"/>
                      <w:lang w:val="en-US" w:eastAsia="zh-CN"/>
                    </w:rPr>
                    <w:t>浓度(mg/L)</w:t>
                  </w:r>
                  <w:bookmarkEnd w:id="35"/>
                  <w:bookmarkEnd w:id="36"/>
                  <w:bookmarkEnd w:id="37"/>
                </w:p>
              </w:tc>
              <w:tc>
                <w:tcPr>
                  <w:tcW w:w="653" w:type="dxa"/>
                  <w:noWrap w:val="0"/>
                  <w:tcMar>
                    <w:top w:w="0" w:type="dxa"/>
                    <w:left w:w="0" w:type="dxa"/>
                    <w:bottom w:w="0" w:type="dxa"/>
                    <w:right w:w="0" w:type="dxa"/>
                  </w:tcMar>
                  <w:vAlign w:val="center"/>
                </w:tcPr>
                <w:p>
                  <w:pPr>
                    <w:pStyle w:val="16"/>
                    <w:jc w:val="center"/>
                    <w:outlineLvl w:val="9"/>
                    <w:rPr>
                      <w:rFonts w:hint="default" w:ascii="Times New Roman" w:hAnsi="Times New Roman" w:eastAsia="宋体" w:cs="Times New Roman"/>
                      <w:b/>
                      <w:bCs/>
                      <w:color w:val="auto"/>
                      <w:spacing w:val="0"/>
                      <w:sz w:val="21"/>
                      <w:szCs w:val="21"/>
                      <w:lang w:val="en-US" w:eastAsia="zh-CN"/>
                    </w:rPr>
                  </w:pPr>
                  <w:bookmarkStart w:id="38" w:name="_Toc26630"/>
                  <w:bookmarkStart w:id="39" w:name="_Toc26270"/>
                  <w:bookmarkStart w:id="40" w:name="_Toc13166"/>
                  <w:r>
                    <w:rPr>
                      <w:rFonts w:hint="default" w:ascii="Times New Roman" w:hAnsi="Times New Roman" w:eastAsia="宋体" w:cs="Times New Roman"/>
                      <w:b/>
                      <w:bCs/>
                      <w:color w:val="auto"/>
                      <w:spacing w:val="0"/>
                      <w:sz w:val="21"/>
                      <w:szCs w:val="21"/>
                      <w:lang w:val="en-US" w:eastAsia="zh-CN"/>
                    </w:rPr>
                    <w:t>名称</w:t>
                  </w:r>
                  <w:bookmarkEnd w:id="38"/>
                  <w:bookmarkEnd w:id="39"/>
                  <w:bookmarkEnd w:id="40"/>
                </w:p>
              </w:tc>
              <w:tc>
                <w:tcPr>
                  <w:tcW w:w="589" w:type="dxa"/>
                  <w:vMerge w:val="continue"/>
                  <w:noWrap w:val="0"/>
                  <w:tcMar>
                    <w:top w:w="0" w:type="dxa"/>
                    <w:left w:w="0" w:type="dxa"/>
                    <w:bottom w:w="0" w:type="dxa"/>
                    <w:right w:w="0" w:type="dxa"/>
                  </w:tcMar>
                  <w:vAlign w:val="center"/>
                </w:tcPr>
                <w:p>
                  <w:pPr>
                    <w:pStyle w:val="16"/>
                    <w:jc w:val="center"/>
                    <w:outlineLvl w:val="9"/>
                    <w:rPr>
                      <w:rFonts w:hint="default" w:ascii="Times New Roman" w:hAnsi="Times New Roman" w:eastAsia="宋体" w:cs="Times New Roman"/>
                      <w:b/>
                      <w:bCs/>
                      <w:color w:val="auto"/>
                      <w:spacing w:val="0"/>
                      <w:sz w:val="21"/>
                      <w:szCs w:val="21"/>
                      <w:lang w:val="en-US" w:eastAsia="zh-CN"/>
                    </w:rPr>
                  </w:pPr>
                </w:p>
              </w:tc>
              <w:tc>
                <w:tcPr>
                  <w:tcW w:w="657" w:type="dxa"/>
                  <w:vMerge w:val="continue"/>
                  <w:noWrap w:val="0"/>
                  <w:tcMar>
                    <w:top w:w="0" w:type="dxa"/>
                    <w:left w:w="0" w:type="dxa"/>
                    <w:bottom w:w="0" w:type="dxa"/>
                    <w:right w:w="0" w:type="dxa"/>
                  </w:tcMar>
                  <w:vAlign w:val="center"/>
                </w:tcPr>
                <w:p>
                  <w:pPr>
                    <w:pStyle w:val="16"/>
                    <w:jc w:val="center"/>
                    <w:outlineLvl w:val="9"/>
                    <w:rPr>
                      <w:rFonts w:hint="default" w:ascii="Times New Roman" w:hAnsi="Times New Roman" w:eastAsia="宋体" w:cs="Times New Roman"/>
                      <w:b/>
                      <w:bCs/>
                      <w:color w:val="auto"/>
                      <w:spacing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2" w:type="dxa"/>
                  <w:vMerge w:val="restart"/>
                  <w:noWrap w:val="0"/>
                  <w:tcMar>
                    <w:top w:w="0" w:type="dxa"/>
                    <w:left w:w="0" w:type="dxa"/>
                    <w:bottom w:w="0" w:type="dxa"/>
                    <w:right w:w="0" w:type="dxa"/>
                  </w:tcMar>
                  <w:vAlign w:val="center"/>
                </w:tcPr>
                <w:p>
                  <w:pPr>
                    <w:pStyle w:val="16"/>
                    <w:jc w:val="center"/>
                    <w:outlineLvl w:val="9"/>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pacing w:val="0"/>
                      <w:sz w:val="21"/>
                      <w:szCs w:val="21"/>
                      <w:lang w:val="en-US" w:eastAsia="zh-CN"/>
                    </w:rPr>
                    <w:t>1#</w:t>
                  </w:r>
                </w:p>
              </w:tc>
              <w:tc>
                <w:tcPr>
                  <w:tcW w:w="688" w:type="dxa"/>
                  <w:vMerge w:val="restart"/>
                  <w:noWrap w:val="0"/>
                  <w:tcMar>
                    <w:top w:w="0" w:type="dxa"/>
                    <w:left w:w="0" w:type="dxa"/>
                    <w:bottom w:w="0" w:type="dxa"/>
                    <w:right w:w="0" w:type="dxa"/>
                  </w:tcMar>
                  <w:vAlign w:val="center"/>
                </w:tcPr>
                <w:p>
                  <w:pPr>
                    <w:pStyle w:val="16"/>
                    <w:jc w:val="center"/>
                    <w:outlineLvl w:val="9"/>
                    <w:rPr>
                      <w:rFonts w:hint="default" w:ascii="Times New Roman" w:hAnsi="Times New Roman" w:cs="Times New Roman"/>
                      <w:color w:val="auto"/>
                      <w:spacing w:val="0"/>
                      <w:sz w:val="21"/>
                      <w:szCs w:val="21"/>
                      <w:lang w:val="en-US" w:eastAsia="zh-CN"/>
                    </w:rPr>
                  </w:pPr>
                  <w:bookmarkStart w:id="41" w:name="_Toc21116"/>
                  <w:bookmarkStart w:id="42" w:name="_Toc30736"/>
                  <w:bookmarkStart w:id="43" w:name="_Toc4821"/>
                  <w:r>
                    <w:rPr>
                      <w:rFonts w:hint="default" w:ascii="Times New Roman" w:hAnsi="Times New Roman" w:cs="Times New Roman"/>
                      <w:color w:val="auto"/>
                      <w:spacing w:val="0"/>
                      <w:sz w:val="21"/>
                      <w:szCs w:val="21"/>
                      <w:lang w:val="en-US" w:eastAsia="zh-CN"/>
                    </w:rPr>
                    <w:t>污水排放口</w:t>
                  </w:r>
                  <w:bookmarkEnd w:id="41"/>
                  <w:bookmarkEnd w:id="42"/>
                  <w:bookmarkEnd w:id="43"/>
                </w:p>
              </w:tc>
              <w:tc>
                <w:tcPr>
                  <w:tcW w:w="890" w:type="dxa"/>
                  <w:noWrap w:val="0"/>
                  <w:tcMar>
                    <w:top w:w="0" w:type="dxa"/>
                    <w:left w:w="0" w:type="dxa"/>
                    <w:bottom w:w="0" w:type="dxa"/>
                    <w:right w:w="0" w:type="dxa"/>
                  </w:tcMar>
                  <w:vAlign w:val="center"/>
                </w:tcPr>
                <w:p>
                  <w:pPr>
                    <w:jc w:val="center"/>
                    <w:outlineLvl w:val="9"/>
                    <w:rPr>
                      <w:rFonts w:hint="default" w:ascii="Times New Roman" w:hAnsi="Times New Roman" w:cs="Times New Roman"/>
                      <w:b w:val="0"/>
                      <w:bCs w:val="0"/>
                      <w:color w:val="auto"/>
                      <w:spacing w:val="0"/>
                      <w:sz w:val="21"/>
                      <w:szCs w:val="21"/>
                      <w:lang w:val="en-US" w:eastAsia="zh-CN"/>
                    </w:rPr>
                  </w:pPr>
                  <w:r>
                    <w:rPr>
                      <w:rFonts w:hint="default" w:ascii="Times New Roman" w:hAnsi="Times New Roman" w:cs="Times New Roman"/>
                      <w:b w:val="0"/>
                      <w:bCs w:val="0"/>
                      <w:color w:val="auto"/>
                      <w:spacing w:val="0"/>
                      <w:sz w:val="21"/>
                      <w:szCs w:val="21"/>
                      <w:lang w:val="en-US" w:eastAsia="zh-CN"/>
                    </w:rPr>
                    <w:t>COD</w:t>
                  </w:r>
                </w:p>
              </w:tc>
              <w:tc>
                <w:tcPr>
                  <w:tcW w:w="1096" w:type="dxa"/>
                  <w:vMerge w:val="restart"/>
                  <w:noWrap w:val="0"/>
                  <w:tcMar>
                    <w:top w:w="0" w:type="dxa"/>
                    <w:left w:w="0" w:type="dxa"/>
                    <w:bottom w:w="0" w:type="dxa"/>
                    <w:right w:w="0" w:type="dxa"/>
                  </w:tcMar>
                  <w:vAlign w:val="center"/>
                </w:tcPr>
                <w:p>
                  <w:pPr>
                    <w:jc w:val="center"/>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120.529490</w:t>
                  </w:r>
                </w:p>
              </w:tc>
              <w:tc>
                <w:tcPr>
                  <w:tcW w:w="958" w:type="dxa"/>
                  <w:vMerge w:val="restart"/>
                  <w:noWrap w:val="0"/>
                  <w:tcMar>
                    <w:top w:w="0" w:type="dxa"/>
                    <w:left w:w="0" w:type="dxa"/>
                    <w:bottom w:w="0" w:type="dxa"/>
                    <w:right w:w="0" w:type="dxa"/>
                  </w:tcMar>
                  <w:vAlign w:val="center"/>
                </w:tcPr>
                <w:p>
                  <w:pPr>
                    <w:jc w:val="center"/>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32.598610</w:t>
                  </w:r>
                </w:p>
              </w:tc>
              <w:tc>
                <w:tcPr>
                  <w:tcW w:w="747" w:type="dxa"/>
                  <w:vMerge w:val="restart"/>
                  <w:noWrap w:val="0"/>
                  <w:tcMar>
                    <w:top w:w="0" w:type="dxa"/>
                    <w:left w:w="0" w:type="dxa"/>
                    <w:bottom w:w="0" w:type="dxa"/>
                    <w:right w:w="0" w:type="dxa"/>
                  </w:tcMar>
                  <w:vAlign w:val="center"/>
                </w:tcPr>
                <w:p>
                  <w:pPr>
                    <w:pStyle w:val="16"/>
                    <w:jc w:val="center"/>
                    <w:outlineLvl w:val="9"/>
                    <w:rPr>
                      <w:rFonts w:hint="default" w:ascii="Times New Roman" w:hAnsi="Times New Roman" w:cs="Times New Roman"/>
                      <w:color w:val="auto"/>
                      <w:spacing w:val="0"/>
                      <w:sz w:val="21"/>
                      <w:szCs w:val="21"/>
                      <w:lang w:val="en-US" w:eastAsia="zh-CN"/>
                    </w:rPr>
                  </w:pPr>
                  <w:bookmarkStart w:id="44" w:name="_Toc9363"/>
                  <w:bookmarkStart w:id="45" w:name="_Toc30427"/>
                  <w:bookmarkStart w:id="46" w:name="_Toc4951"/>
                  <w:r>
                    <w:rPr>
                      <w:rFonts w:hint="default" w:ascii="Times New Roman" w:hAnsi="Times New Roman" w:cs="Times New Roman"/>
                      <w:color w:val="auto"/>
                      <w:spacing w:val="0"/>
                      <w:sz w:val="21"/>
                      <w:szCs w:val="21"/>
                      <w:lang w:val="en-US" w:eastAsia="zh-CN"/>
                    </w:rPr>
                    <w:t>一般排放口</w:t>
                  </w:r>
                  <w:bookmarkEnd w:id="44"/>
                  <w:bookmarkEnd w:id="45"/>
                  <w:bookmarkEnd w:id="46"/>
                </w:p>
              </w:tc>
              <w:tc>
                <w:tcPr>
                  <w:tcW w:w="734" w:type="dxa"/>
                  <w:vMerge w:val="restart"/>
                  <w:noWrap w:val="0"/>
                  <w:tcMar>
                    <w:top w:w="0" w:type="dxa"/>
                    <w:left w:w="0" w:type="dxa"/>
                    <w:bottom w:w="0" w:type="dxa"/>
                    <w:right w:w="0" w:type="dxa"/>
                  </w:tcMar>
                  <w:vAlign w:val="center"/>
                </w:tcPr>
                <w:p>
                  <w:pPr>
                    <w:pStyle w:val="16"/>
                    <w:jc w:val="center"/>
                    <w:outlineLvl w:val="9"/>
                    <w:rPr>
                      <w:rFonts w:hint="default" w:ascii="Times New Roman" w:hAnsi="Times New Roman" w:cs="Times New Roman"/>
                      <w:color w:val="auto"/>
                      <w:spacing w:val="0"/>
                      <w:sz w:val="21"/>
                      <w:szCs w:val="21"/>
                      <w:lang w:val="en-US" w:eastAsia="zh-CN"/>
                    </w:rPr>
                  </w:pPr>
                  <w:bookmarkStart w:id="47" w:name="_Toc15199"/>
                  <w:bookmarkStart w:id="48" w:name="_Toc9454"/>
                  <w:bookmarkStart w:id="49" w:name="_Toc4279"/>
                  <w:r>
                    <w:rPr>
                      <w:rFonts w:hint="default" w:ascii="Times New Roman" w:hAnsi="Times New Roman" w:cs="Times New Roman"/>
                      <w:color w:val="auto"/>
                      <w:spacing w:val="0"/>
                      <w:sz w:val="21"/>
                      <w:szCs w:val="21"/>
                      <w:lang w:val="en-US" w:eastAsia="zh-CN"/>
                    </w:rPr>
                    <w:t>间断排放，排放期间流量不稳定</w:t>
                  </w:r>
                  <w:bookmarkEnd w:id="47"/>
                  <w:bookmarkEnd w:id="48"/>
                  <w:bookmarkEnd w:id="49"/>
                </w:p>
              </w:tc>
              <w:tc>
                <w:tcPr>
                  <w:tcW w:w="720" w:type="dxa"/>
                  <w:noWrap w:val="0"/>
                  <w:tcMar>
                    <w:top w:w="0" w:type="dxa"/>
                    <w:left w:w="0" w:type="dxa"/>
                    <w:bottom w:w="0" w:type="dxa"/>
                    <w:right w:w="0" w:type="dxa"/>
                  </w:tcMar>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350</w:t>
                  </w:r>
                </w:p>
              </w:tc>
              <w:tc>
                <w:tcPr>
                  <w:tcW w:w="653" w:type="dxa"/>
                  <w:vMerge w:val="restart"/>
                  <w:noWrap w:val="0"/>
                  <w:tcMar>
                    <w:top w:w="0" w:type="dxa"/>
                    <w:left w:w="0" w:type="dxa"/>
                    <w:bottom w:w="0" w:type="dxa"/>
                    <w:right w:w="0" w:type="dxa"/>
                  </w:tcMar>
                  <w:vAlign w:val="center"/>
                </w:tcPr>
                <w:p>
                  <w:pPr>
                    <w:pStyle w:val="16"/>
                    <w:jc w:val="center"/>
                    <w:outlineLvl w:val="9"/>
                    <w:rPr>
                      <w:rFonts w:hint="default" w:ascii="Times New Roman" w:hAnsi="Times New Roman" w:cs="Times New Roman"/>
                      <w:color w:val="auto"/>
                      <w:spacing w:val="0"/>
                      <w:sz w:val="21"/>
                      <w:szCs w:val="21"/>
                      <w:lang w:val="en-US" w:eastAsia="zh-CN"/>
                    </w:rPr>
                  </w:pPr>
                  <w:bookmarkStart w:id="50" w:name="_Toc16760"/>
                  <w:bookmarkStart w:id="51" w:name="_Toc21317"/>
                  <w:bookmarkStart w:id="52" w:name="_Toc7445"/>
                  <w:r>
                    <w:rPr>
                      <w:rFonts w:hint="eastAsia" w:ascii="Times New Roman" w:hAnsi="Times New Roman" w:cs="Times New Roman"/>
                      <w:color w:val="auto"/>
                      <w:spacing w:val="0"/>
                      <w:sz w:val="21"/>
                      <w:szCs w:val="21"/>
                      <w:lang w:val="en-US" w:eastAsia="zh-CN"/>
                    </w:rPr>
                    <w:t>海安市惠泽净水有限公司</w:t>
                  </w:r>
                  <w:r>
                    <w:rPr>
                      <w:rFonts w:hint="default" w:ascii="Times New Roman" w:hAnsi="Times New Roman" w:cs="Times New Roman"/>
                      <w:color w:val="auto"/>
                      <w:spacing w:val="0"/>
                      <w:sz w:val="21"/>
                      <w:szCs w:val="21"/>
                      <w:lang w:val="en-US" w:eastAsia="zh-CN"/>
                    </w:rPr>
                    <w:t>接管标准</w:t>
                  </w:r>
                  <w:bookmarkEnd w:id="50"/>
                  <w:bookmarkEnd w:id="51"/>
                  <w:bookmarkEnd w:id="52"/>
                </w:p>
              </w:tc>
              <w:tc>
                <w:tcPr>
                  <w:tcW w:w="589" w:type="dxa"/>
                  <w:vMerge w:val="restart"/>
                  <w:noWrap w:val="0"/>
                  <w:tcMar>
                    <w:top w:w="0" w:type="dxa"/>
                    <w:left w:w="0" w:type="dxa"/>
                    <w:bottom w:w="0" w:type="dxa"/>
                    <w:right w:w="0" w:type="dxa"/>
                  </w:tcMar>
                  <w:vAlign w:val="center"/>
                </w:tcPr>
                <w:p>
                  <w:pPr>
                    <w:pStyle w:val="16"/>
                    <w:jc w:val="center"/>
                    <w:outlineLvl w:val="9"/>
                    <w:rPr>
                      <w:rFonts w:hint="default" w:ascii="Times New Roman" w:hAnsi="Times New Roman" w:cs="Times New Roman"/>
                      <w:color w:val="auto"/>
                      <w:spacing w:val="0"/>
                      <w:sz w:val="21"/>
                      <w:szCs w:val="21"/>
                      <w:lang w:val="en-US" w:eastAsia="zh-CN"/>
                    </w:rPr>
                  </w:pPr>
                  <w:bookmarkStart w:id="53" w:name="_Toc2461"/>
                  <w:bookmarkStart w:id="54" w:name="_Toc15010"/>
                  <w:bookmarkStart w:id="55" w:name="_Toc21526"/>
                  <w:r>
                    <w:rPr>
                      <w:rFonts w:hint="default" w:ascii="Times New Roman" w:hAnsi="Times New Roman" w:cs="Times New Roman"/>
                      <w:color w:val="auto"/>
                      <w:spacing w:val="0"/>
                      <w:sz w:val="21"/>
                      <w:szCs w:val="21"/>
                      <w:lang w:val="en-US" w:eastAsia="zh-CN"/>
                    </w:rPr>
                    <w:t>间接排放</w:t>
                  </w:r>
                  <w:bookmarkEnd w:id="53"/>
                  <w:bookmarkEnd w:id="54"/>
                  <w:bookmarkEnd w:id="55"/>
                </w:p>
              </w:tc>
              <w:tc>
                <w:tcPr>
                  <w:tcW w:w="657" w:type="dxa"/>
                  <w:vMerge w:val="restart"/>
                  <w:noWrap w:val="0"/>
                  <w:tcMar>
                    <w:top w:w="0" w:type="dxa"/>
                    <w:left w:w="0" w:type="dxa"/>
                    <w:bottom w:w="0" w:type="dxa"/>
                    <w:right w:w="0" w:type="dxa"/>
                  </w:tcMar>
                  <w:vAlign w:val="center"/>
                </w:tcPr>
                <w:p>
                  <w:pPr>
                    <w:pStyle w:val="16"/>
                    <w:jc w:val="center"/>
                    <w:outlineLvl w:val="9"/>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pacing w:val="0"/>
                      <w:sz w:val="21"/>
                      <w:szCs w:val="21"/>
                      <w:lang w:val="en-US" w:eastAsia="zh-CN"/>
                    </w:rPr>
                    <w:t>海安市惠泽净水有限公司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2"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688"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890" w:type="dxa"/>
                  <w:noWrap w:val="0"/>
                  <w:tcMar>
                    <w:top w:w="0" w:type="dxa"/>
                    <w:left w:w="0" w:type="dxa"/>
                    <w:bottom w:w="0" w:type="dxa"/>
                    <w:right w:w="0" w:type="dxa"/>
                  </w:tcMar>
                  <w:vAlign w:val="center"/>
                </w:tcPr>
                <w:p>
                  <w:pPr>
                    <w:jc w:val="center"/>
                    <w:outlineLvl w:val="9"/>
                    <w:rPr>
                      <w:rFonts w:hint="default" w:ascii="Times New Roman" w:hAnsi="Times New Roman" w:cs="Times New Roman"/>
                      <w:b w:val="0"/>
                      <w:bCs w:val="0"/>
                      <w:color w:val="auto"/>
                      <w:spacing w:val="0"/>
                      <w:sz w:val="21"/>
                      <w:szCs w:val="21"/>
                      <w:lang w:val="en-US" w:eastAsia="zh-CN"/>
                    </w:rPr>
                  </w:pPr>
                  <w:r>
                    <w:rPr>
                      <w:rFonts w:hint="default" w:ascii="Times New Roman" w:hAnsi="Times New Roman" w:cs="Times New Roman"/>
                      <w:b w:val="0"/>
                      <w:bCs w:val="0"/>
                      <w:color w:val="auto"/>
                      <w:spacing w:val="0"/>
                      <w:sz w:val="21"/>
                      <w:szCs w:val="21"/>
                      <w:lang w:val="en-US" w:eastAsia="zh-CN"/>
                    </w:rPr>
                    <w:t>SS</w:t>
                  </w:r>
                </w:p>
              </w:tc>
              <w:tc>
                <w:tcPr>
                  <w:tcW w:w="1096"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958"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747"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734"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720" w:type="dxa"/>
                  <w:noWrap w:val="0"/>
                  <w:tcMar>
                    <w:top w:w="0" w:type="dxa"/>
                    <w:left w:w="0" w:type="dxa"/>
                    <w:bottom w:w="0" w:type="dxa"/>
                    <w:right w:w="0" w:type="dxa"/>
                  </w:tcMar>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220</w:t>
                  </w:r>
                </w:p>
              </w:tc>
              <w:tc>
                <w:tcPr>
                  <w:tcW w:w="653"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589"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657"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2"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688"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890" w:type="dxa"/>
                  <w:noWrap w:val="0"/>
                  <w:tcMar>
                    <w:top w:w="0" w:type="dxa"/>
                    <w:left w:w="0" w:type="dxa"/>
                    <w:bottom w:w="0" w:type="dxa"/>
                    <w:right w:w="0" w:type="dxa"/>
                  </w:tcMar>
                  <w:vAlign w:val="center"/>
                </w:tcPr>
                <w:p>
                  <w:pPr>
                    <w:jc w:val="center"/>
                    <w:outlineLvl w:val="9"/>
                    <w:rPr>
                      <w:rFonts w:hint="default" w:ascii="Times New Roman" w:hAnsi="Times New Roman" w:cs="Times New Roman"/>
                      <w:b w:val="0"/>
                      <w:bCs w:val="0"/>
                      <w:color w:val="auto"/>
                      <w:spacing w:val="0"/>
                      <w:sz w:val="21"/>
                      <w:szCs w:val="21"/>
                      <w:lang w:val="en-US" w:eastAsia="zh-CN"/>
                    </w:rPr>
                  </w:pPr>
                  <w:r>
                    <w:rPr>
                      <w:rFonts w:hint="default" w:ascii="Times New Roman" w:hAnsi="Times New Roman" w:cs="Times New Roman"/>
                      <w:b w:val="0"/>
                      <w:bCs w:val="0"/>
                      <w:color w:val="auto"/>
                      <w:spacing w:val="0"/>
                      <w:sz w:val="21"/>
                      <w:szCs w:val="21"/>
                      <w:lang w:val="en-US" w:eastAsia="zh-CN"/>
                    </w:rPr>
                    <w:t>NH</w:t>
                  </w:r>
                  <w:r>
                    <w:rPr>
                      <w:rFonts w:hint="default" w:ascii="Times New Roman" w:hAnsi="Times New Roman" w:cs="Times New Roman"/>
                      <w:b w:val="0"/>
                      <w:bCs w:val="0"/>
                      <w:color w:val="auto"/>
                      <w:spacing w:val="0"/>
                      <w:sz w:val="21"/>
                      <w:szCs w:val="21"/>
                      <w:vertAlign w:val="subscript"/>
                      <w:lang w:val="en-US" w:eastAsia="zh-CN"/>
                    </w:rPr>
                    <w:t>3</w:t>
                  </w:r>
                  <w:r>
                    <w:rPr>
                      <w:rFonts w:hint="default" w:ascii="Times New Roman" w:hAnsi="Times New Roman" w:cs="Times New Roman"/>
                      <w:b w:val="0"/>
                      <w:bCs w:val="0"/>
                      <w:color w:val="auto"/>
                      <w:spacing w:val="0"/>
                      <w:sz w:val="21"/>
                      <w:szCs w:val="21"/>
                      <w:lang w:val="en-US" w:eastAsia="zh-CN"/>
                    </w:rPr>
                    <w:t>-N</w:t>
                  </w:r>
                </w:p>
              </w:tc>
              <w:tc>
                <w:tcPr>
                  <w:tcW w:w="1096"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958"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747"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734"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720" w:type="dxa"/>
                  <w:noWrap w:val="0"/>
                  <w:tcMar>
                    <w:top w:w="0" w:type="dxa"/>
                    <w:left w:w="0" w:type="dxa"/>
                    <w:bottom w:w="0" w:type="dxa"/>
                    <w:right w:w="0" w:type="dxa"/>
                  </w:tcMar>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45</w:t>
                  </w:r>
                </w:p>
              </w:tc>
              <w:tc>
                <w:tcPr>
                  <w:tcW w:w="653"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589"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657"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2"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688"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890" w:type="dxa"/>
                  <w:noWrap w:val="0"/>
                  <w:tcMar>
                    <w:top w:w="0" w:type="dxa"/>
                    <w:left w:w="0" w:type="dxa"/>
                    <w:bottom w:w="0" w:type="dxa"/>
                    <w:right w:w="0" w:type="dxa"/>
                  </w:tcMar>
                  <w:vAlign w:val="center"/>
                </w:tcPr>
                <w:p>
                  <w:pPr>
                    <w:jc w:val="center"/>
                    <w:outlineLvl w:val="9"/>
                    <w:rPr>
                      <w:rFonts w:hint="default" w:ascii="Times New Roman" w:hAnsi="Times New Roman" w:cs="Times New Roman"/>
                      <w:b w:val="0"/>
                      <w:bCs w:val="0"/>
                      <w:color w:val="auto"/>
                      <w:spacing w:val="0"/>
                      <w:sz w:val="21"/>
                      <w:szCs w:val="21"/>
                      <w:lang w:val="en-US" w:eastAsia="zh-CN"/>
                    </w:rPr>
                  </w:pPr>
                  <w:r>
                    <w:rPr>
                      <w:rFonts w:hint="default" w:ascii="Times New Roman" w:hAnsi="Times New Roman" w:cs="Times New Roman"/>
                      <w:b w:val="0"/>
                      <w:bCs w:val="0"/>
                      <w:color w:val="auto"/>
                      <w:spacing w:val="0"/>
                      <w:sz w:val="21"/>
                      <w:szCs w:val="21"/>
                      <w:lang w:val="en-US" w:eastAsia="zh-CN"/>
                    </w:rPr>
                    <w:t>TP</w:t>
                  </w:r>
                </w:p>
              </w:tc>
              <w:tc>
                <w:tcPr>
                  <w:tcW w:w="1096"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958"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747"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734"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720" w:type="dxa"/>
                  <w:noWrap w:val="0"/>
                  <w:tcMar>
                    <w:top w:w="0" w:type="dxa"/>
                    <w:left w:w="0" w:type="dxa"/>
                    <w:bottom w:w="0" w:type="dxa"/>
                    <w:right w:w="0" w:type="dxa"/>
                  </w:tcMar>
                  <w:vAlign w:val="center"/>
                </w:tcPr>
                <w:p>
                  <w:pPr>
                    <w:adjustRightInd w:val="0"/>
                    <w:snapToGrid w:val="0"/>
                    <w:jc w:val="center"/>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5</w:t>
                  </w:r>
                </w:p>
              </w:tc>
              <w:tc>
                <w:tcPr>
                  <w:tcW w:w="653"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589"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657"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2"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688"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890" w:type="dxa"/>
                  <w:noWrap w:val="0"/>
                  <w:tcMar>
                    <w:top w:w="0" w:type="dxa"/>
                    <w:left w:w="0" w:type="dxa"/>
                    <w:bottom w:w="0" w:type="dxa"/>
                    <w:right w:w="0" w:type="dxa"/>
                  </w:tcMar>
                  <w:vAlign w:val="center"/>
                </w:tcPr>
                <w:p>
                  <w:pPr>
                    <w:jc w:val="center"/>
                    <w:outlineLvl w:val="9"/>
                    <w:rPr>
                      <w:rFonts w:hint="default" w:ascii="Times New Roman" w:hAnsi="Times New Roman" w:cs="Times New Roman"/>
                      <w:b w:val="0"/>
                      <w:bCs w:val="0"/>
                      <w:color w:val="auto"/>
                      <w:spacing w:val="0"/>
                      <w:sz w:val="21"/>
                      <w:szCs w:val="21"/>
                      <w:lang w:val="en-US" w:eastAsia="zh-CN"/>
                    </w:rPr>
                  </w:pPr>
                  <w:r>
                    <w:rPr>
                      <w:rFonts w:hint="default" w:ascii="Times New Roman" w:hAnsi="Times New Roman" w:cs="Times New Roman"/>
                      <w:b w:val="0"/>
                      <w:bCs w:val="0"/>
                      <w:color w:val="auto"/>
                      <w:spacing w:val="0"/>
                      <w:sz w:val="21"/>
                      <w:szCs w:val="21"/>
                      <w:lang w:val="en-US" w:eastAsia="zh-CN"/>
                    </w:rPr>
                    <w:t>TN</w:t>
                  </w:r>
                </w:p>
              </w:tc>
              <w:tc>
                <w:tcPr>
                  <w:tcW w:w="1096"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958"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747"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734"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720" w:type="dxa"/>
                  <w:noWrap w:val="0"/>
                  <w:tcMar>
                    <w:top w:w="0" w:type="dxa"/>
                    <w:left w:w="0" w:type="dxa"/>
                    <w:bottom w:w="0" w:type="dxa"/>
                    <w:right w:w="0" w:type="dxa"/>
                  </w:tcMar>
                  <w:vAlign w:val="center"/>
                </w:tcPr>
                <w:p>
                  <w:pPr>
                    <w:adjustRightInd w:val="0"/>
                    <w:snapToGrid w:val="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55</w:t>
                  </w:r>
                </w:p>
              </w:tc>
              <w:tc>
                <w:tcPr>
                  <w:tcW w:w="653"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589"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c>
                <w:tcPr>
                  <w:tcW w:w="657" w:type="dxa"/>
                  <w:vMerge w:val="continue"/>
                  <w:noWrap w:val="0"/>
                  <w:tcMar>
                    <w:top w:w="0" w:type="dxa"/>
                    <w:left w:w="0" w:type="dxa"/>
                    <w:bottom w:w="0" w:type="dxa"/>
                    <w:right w:w="0" w:type="dxa"/>
                  </w:tcMar>
                  <w:vAlign w:val="center"/>
                </w:tcPr>
                <w:p>
                  <w:pPr>
                    <w:pStyle w:val="16"/>
                    <w:jc w:val="center"/>
                    <w:rPr>
                      <w:rFonts w:hint="default" w:ascii="Times New Roman" w:hAnsi="Times New Roman" w:cs="Times New Roman"/>
                      <w:color w:val="auto"/>
                      <w:spacing w:val="0"/>
                      <w:sz w:val="21"/>
                      <w:szCs w:val="21"/>
                      <w:lang w:val="en-US" w:eastAsia="zh-CN"/>
                    </w:rPr>
                  </w:pP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pacing w:val="0"/>
                <w:sz w:val="24"/>
                <w:szCs w:val="24"/>
                <w:lang w:val="en-US" w:eastAsia="zh-CN"/>
              </w:rPr>
            </w:pPr>
            <w:r>
              <w:rPr>
                <w:rFonts w:hint="eastAsia" w:cs="Times New Roman"/>
                <w:b/>
                <w:bCs/>
                <w:spacing w:val="0"/>
                <w:sz w:val="24"/>
                <w:szCs w:val="24"/>
                <w:lang w:val="en-US" w:eastAsia="zh-CN"/>
              </w:rPr>
              <w:t>（3）水污染源监测计划</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color w:val="auto"/>
                <w:spacing w:val="0"/>
                <w:kern w:val="0"/>
                <w:sz w:val="24"/>
                <w:szCs w:val="24"/>
              </w:rPr>
            </w:pPr>
            <w:r>
              <w:rPr>
                <w:rFonts w:hint="default" w:ascii="Times New Roman" w:hAnsi="Times New Roman" w:cs="Times New Roman"/>
                <w:color w:val="auto"/>
                <w:spacing w:val="0"/>
                <w:kern w:val="0"/>
                <w:sz w:val="24"/>
                <w:szCs w:val="24"/>
              </w:rPr>
              <w:t>根据</w:t>
            </w:r>
            <w:r>
              <w:rPr>
                <w:rFonts w:hint="eastAsia" w:ascii="Times New Roman" w:hAnsi="Times New Roman" w:eastAsia="宋体" w:cs="Times New Roman"/>
                <w:b w:val="0"/>
                <w:bCs w:val="0"/>
                <w:color w:val="auto"/>
                <w:spacing w:val="0"/>
                <w:kern w:val="2"/>
                <w:sz w:val="24"/>
                <w:szCs w:val="24"/>
                <w:lang w:val="en-US" w:eastAsia="zh-CN" w:bidi="ar-SA"/>
              </w:rPr>
              <w:t>《排污单位自行监测技术指南 总则》（HJ819-2017）、</w:t>
            </w:r>
            <w:r>
              <w:rPr>
                <w:rFonts w:hint="eastAsia" w:cs="Times New Roman"/>
                <w:color w:val="auto"/>
                <w:spacing w:val="0"/>
                <w:sz w:val="24"/>
                <w:szCs w:val="24"/>
                <w:lang w:val="en-US" w:eastAsia="zh-CN"/>
              </w:rPr>
              <w:t>《</w:t>
            </w:r>
            <w:r>
              <w:rPr>
                <w:rFonts w:hint="eastAsia" w:ascii="Times New Roman" w:hAnsi="Times New Roman" w:eastAsia="宋体" w:cs="Times New Roman"/>
                <w:color w:val="auto"/>
                <w:spacing w:val="0"/>
                <w:sz w:val="24"/>
                <w:szCs w:val="24"/>
                <w:lang w:val="en-US" w:eastAsia="zh-CN"/>
              </w:rPr>
              <w:t>排污单位自行监测技术指南 橡胶和塑料制品</w:t>
            </w:r>
            <w:r>
              <w:rPr>
                <w:rFonts w:hint="eastAsia" w:cs="Times New Roman"/>
                <w:color w:val="auto"/>
                <w:spacing w:val="0"/>
                <w:sz w:val="24"/>
                <w:szCs w:val="24"/>
                <w:lang w:val="en-US" w:eastAsia="zh-CN"/>
              </w:rPr>
              <w:t>》（</w:t>
            </w:r>
            <w:r>
              <w:rPr>
                <w:rFonts w:hint="eastAsia" w:ascii="Times New Roman" w:hAnsi="Times New Roman" w:eastAsia="宋体" w:cs="Times New Roman"/>
                <w:color w:val="auto"/>
                <w:spacing w:val="0"/>
                <w:sz w:val="24"/>
                <w:szCs w:val="24"/>
                <w:lang w:val="en-US" w:eastAsia="zh-CN"/>
              </w:rPr>
              <w:t>HJ 1207-2021</w:t>
            </w:r>
            <w:r>
              <w:rPr>
                <w:rFonts w:hint="eastAsia" w:cs="Times New Roman"/>
                <w:color w:val="auto"/>
                <w:spacing w:val="0"/>
                <w:sz w:val="24"/>
                <w:szCs w:val="24"/>
                <w:lang w:val="en-US" w:eastAsia="zh-CN"/>
              </w:rPr>
              <w:t>）《排污单位自行监测技术指南 造纸业》（HJ 821-2017）</w:t>
            </w:r>
            <w:r>
              <w:rPr>
                <w:rFonts w:hint="eastAsia" w:ascii="Times New Roman" w:hAnsi="Times New Roman" w:eastAsia="宋体" w:cs="Times New Roman"/>
                <w:color w:val="auto"/>
                <w:spacing w:val="0"/>
                <w:sz w:val="24"/>
                <w:szCs w:val="24"/>
                <w:lang w:val="en-US" w:eastAsia="zh-CN"/>
              </w:rPr>
              <w:t>和《排污单位自行监测技术指南</w:t>
            </w:r>
            <w:r>
              <w:rPr>
                <w:rFonts w:hint="eastAsia" w:cs="Times New Roman"/>
                <w:color w:val="auto"/>
                <w:spacing w:val="0"/>
                <w:sz w:val="24"/>
                <w:szCs w:val="24"/>
                <w:lang w:val="en-US" w:eastAsia="zh-CN"/>
              </w:rPr>
              <w:t xml:space="preserve"> </w:t>
            </w:r>
            <w:r>
              <w:rPr>
                <w:rFonts w:hint="eastAsia" w:ascii="Times New Roman" w:hAnsi="Times New Roman" w:eastAsia="宋体" w:cs="Times New Roman"/>
                <w:color w:val="auto"/>
                <w:spacing w:val="0"/>
                <w:sz w:val="24"/>
                <w:szCs w:val="24"/>
                <w:lang w:val="en-US" w:eastAsia="zh-CN"/>
              </w:rPr>
              <w:t>印刷工业》（HJ 1246-2022）</w:t>
            </w:r>
            <w:r>
              <w:rPr>
                <w:rFonts w:hint="default" w:ascii="Times New Roman" w:hAnsi="Times New Roman" w:cs="Times New Roman"/>
                <w:color w:val="auto"/>
                <w:spacing w:val="0"/>
                <w:kern w:val="0"/>
              </w:rPr>
              <w:t>，</w:t>
            </w:r>
            <w:r>
              <w:rPr>
                <w:rFonts w:hint="default" w:ascii="Times New Roman" w:hAnsi="Times New Roman" w:cs="Times New Roman"/>
                <w:color w:val="auto"/>
                <w:spacing w:val="0"/>
                <w:kern w:val="0"/>
                <w:sz w:val="24"/>
                <w:szCs w:val="24"/>
              </w:rPr>
              <w:t>生活污水间接排放口不需监测，雨水排放口最低监测频次为日，雨水排放口监测频次为一日一次。水污染源监测计划见下表。</w:t>
            </w:r>
          </w:p>
          <w:p>
            <w:pPr>
              <w:tabs>
                <w:tab w:val="left" w:pos="600"/>
              </w:tabs>
              <w:spacing w:line="500" w:lineRule="exact"/>
              <w:jc w:val="center"/>
              <w:rPr>
                <w:rFonts w:hint="default" w:ascii="Times New Roman" w:hAnsi="Times New Roman" w:cs="Times New Roman"/>
                <w:b/>
                <w:color w:val="auto"/>
                <w:spacing w:val="0"/>
                <w:sz w:val="24"/>
                <w:szCs w:val="24"/>
                <w:highlight w:val="yellow"/>
                <w:lang w:val="zh-CN"/>
              </w:rPr>
            </w:pPr>
            <w:r>
              <w:rPr>
                <w:rFonts w:hint="default" w:ascii="Times New Roman" w:hAnsi="Times New Roman" w:cs="Times New Roman"/>
                <w:b/>
                <w:color w:val="auto"/>
                <w:spacing w:val="0"/>
                <w:sz w:val="24"/>
                <w:szCs w:val="24"/>
                <w:lang w:val="zh-CN"/>
              </w:rPr>
              <w:t>表</w:t>
            </w:r>
            <w:r>
              <w:rPr>
                <w:rFonts w:hint="default" w:ascii="Times New Roman" w:hAnsi="Times New Roman" w:cs="Times New Roman"/>
                <w:b/>
                <w:color w:val="auto"/>
                <w:spacing w:val="0"/>
                <w:sz w:val="24"/>
                <w:szCs w:val="24"/>
              </w:rPr>
              <w:t>4-</w:t>
            </w:r>
            <w:r>
              <w:rPr>
                <w:rFonts w:hint="default" w:ascii="Times New Roman" w:hAnsi="Times New Roman" w:cs="Times New Roman"/>
                <w:b/>
                <w:color w:val="auto"/>
                <w:spacing w:val="0"/>
                <w:sz w:val="24"/>
                <w:szCs w:val="24"/>
                <w:lang w:val="en-US" w:eastAsia="zh-CN"/>
              </w:rPr>
              <w:t>1</w:t>
            </w:r>
            <w:r>
              <w:rPr>
                <w:rFonts w:hint="eastAsia" w:cs="Times New Roman"/>
                <w:b/>
                <w:color w:val="auto"/>
                <w:spacing w:val="0"/>
                <w:sz w:val="24"/>
                <w:szCs w:val="24"/>
                <w:lang w:val="en-US" w:eastAsia="zh-CN"/>
              </w:rPr>
              <w:t>5</w:t>
            </w:r>
            <w:r>
              <w:rPr>
                <w:rFonts w:hint="default" w:ascii="Times New Roman" w:hAnsi="Times New Roman" w:cs="Times New Roman"/>
                <w:b/>
                <w:color w:val="auto"/>
                <w:spacing w:val="0"/>
                <w:sz w:val="24"/>
                <w:szCs w:val="24"/>
              </w:rPr>
              <w:t xml:space="preserve"> </w:t>
            </w:r>
            <w:r>
              <w:rPr>
                <w:rFonts w:hint="default" w:ascii="Times New Roman" w:hAnsi="Times New Roman" w:cs="Times New Roman"/>
                <w:b/>
                <w:color w:val="auto"/>
                <w:spacing w:val="0"/>
                <w:sz w:val="24"/>
                <w:szCs w:val="24"/>
                <w:lang w:val="zh-CN"/>
              </w:rPr>
              <w:t xml:space="preserve"> </w:t>
            </w:r>
            <w:r>
              <w:rPr>
                <w:rFonts w:hint="default" w:ascii="Times New Roman" w:hAnsi="Times New Roman" w:cs="Times New Roman"/>
                <w:b/>
                <w:color w:val="auto"/>
                <w:spacing w:val="0"/>
                <w:sz w:val="24"/>
                <w:szCs w:val="24"/>
              </w:rPr>
              <w:t>水污染源</w:t>
            </w:r>
            <w:r>
              <w:rPr>
                <w:rFonts w:hint="default" w:ascii="Times New Roman" w:hAnsi="Times New Roman" w:cs="Times New Roman"/>
                <w:b/>
                <w:color w:val="auto"/>
                <w:spacing w:val="0"/>
                <w:sz w:val="24"/>
                <w:szCs w:val="24"/>
                <w:lang w:val="zh-CN"/>
              </w:rPr>
              <w:t>环境监测计划</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76"/>
              <w:gridCol w:w="1382"/>
              <w:gridCol w:w="1440"/>
              <w:gridCol w:w="3255"/>
              <w:gridCol w:w="1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876" w:type="dxa"/>
                  <w:tcBorders>
                    <w:tl2br w:val="nil"/>
                    <w:tr2bl w:val="nil"/>
                  </w:tcBorders>
                  <w:noWrap w:val="0"/>
                  <w:vAlign w:val="center"/>
                </w:tcPr>
                <w:p>
                  <w:pPr>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类别</w:t>
                  </w:r>
                </w:p>
              </w:tc>
              <w:tc>
                <w:tcPr>
                  <w:tcW w:w="1382" w:type="dxa"/>
                  <w:tcBorders>
                    <w:tl2br w:val="nil"/>
                    <w:tr2bl w:val="nil"/>
                  </w:tcBorders>
                  <w:noWrap w:val="0"/>
                  <w:vAlign w:val="center"/>
                </w:tcPr>
                <w:p>
                  <w:pPr>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监测位置</w:t>
                  </w:r>
                </w:p>
              </w:tc>
              <w:tc>
                <w:tcPr>
                  <w:tcW w:w="1440" w:type="dxa"/>
                  <w:tcBorders>
                    <w:tl2br w:val="nil"/>
                    <w:tr2bl w:val="nil"/>
                  </w:tcBorders>
                  <w:noWrap w:val="0"/>
                  <w:vAlign w:val="center"/>
                </w:tcPr>
                <w:p>
                  <w:pPr>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监测项目</w:t>
                  </w:r>
                </w:p>
              </w:tc>
              <w:tc>
                <w:tcPr>
                  <w:tcW w:w="3255" w:type="dxa"/>
                  <w:tcBorders>
                    <w:tl2br w:val="nil"/>
                    <w:tr2bl w:val="nil"/>
                  </w:tcBorders>
                  <w:noWrap w:val="0"/>
                  <w:vAlign w:val="center"/>
                </w:tcPr>
                <w:p>
                  <w:pPr>
                    <w:jc w:val="center"/>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监测频次</w:t>
                  </w:r>
                </w:p>
              </w:tc>
              <w:tc>
                <w:tcPr>
                  <w:tcW w:w="1551" w:type="dxa"/>
                  <w:tcBorders>
                    <w:tl2br w:val="nil"/>
                    <w:tr2bl w:val="nil"/>
                  </w:tcBorders>
                  <w:noWrap w:val="0"/>
                  <w:vAlign w:val="center"/>
                </w:tcPr>
                <w:p>
                  <w:pPr>
                    <w:jc w:val="center"/>
                    <w:rPr>
                      <w:rFonts w:hint="default" w:ascii="Times New Roman" w:hAnsi="Times New Roman" w:cs="Times New Roman"/>
                      <w:b/>
                      <w:bCs/>
                      <w:color w:val="auto"/>
                      <w:spacing w:val="0"/>
                      <w:sz w:val="21"/>
                      <w:szCs w:val="21"/>
                    </w:rPr>
                  </w:pPr>
                  <w:r>
                    <w:rPr>
                      <w:rFonts w:hint="default" w:ascii="Times New Roman" w:hAnsi="Times New Roman" w:cs="Times New Roman"/>
                      <w:b/>
                      <w:color w:val="auto"/>
                      <w:spacing w:val="0"/>
                      <w:sz w:val="21"/>
                      <w:szCs w:val="21"/>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6" w:type="dxa"/>
                  <w:tcBorders>
                    <w:tl2br w:val="nil"/>
                    <w:tr2bl w:val="nil"/>
                  </w:tcBorders>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雨水</w:t>
                  </w:r>
                </w:p>
              </w:tc>
              <w:tc>
                <w:tcPr>
                  <w:tcW w:w="1382" w:type="dxa"/>
                  <w:tcBorders>
                    <w:tl2br w:val="nil"/>
                    <w:tr2bl w:val="nil"/>
                  </w:tcBorders>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雨水排放口</w:t>
                  </w:r>
                </w:p>
              </w:tc>
              <w:tc>
                <w:tcPr>
                  <w:tcW w:w="1440" w:type="dxa"/>
                  <w:tcBorders>
                    <w:tl2br w:val="nil"/>
                    <w:tr2bl w:val="nil"/>
                  </w:tcBorders>
                  <w:noWrap w:val="0"/>
                  <w:vAlign w:val="center"/>
                </w:tcPr>
                <w:p>
                  <w:pPr>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cs="Times New Roman"/>
                      <w:color w:val="auto"/>
                      <w:spacing w:val="0"/>
                      <w:sz w:val="21"/>
                      <w:szCs w:val="21"/>
                    </w:rPr>
                    <w:t>COD</w:t>
                  </w:r>
                  <w:r>
                    <w:rPr>
                      <w:rFonts w:hint="eastAsia" w:ascii="Times New Roman" w:hAnsi="Times New Roman" w:cs="Times New Roman"/>
                      <w:color w:val="auto"/>
                      <w:spacing w:val="0"/>
                      <w:sz w:val="21"/>
                      <w:szCs w:val="21"/>
                      <w:lang w:eastAsia="zh-CN"/>
                    </w:rPr>
                    <w:t>、</w:t>
                  </w:r>
                  <w:r>
                    <w:rPr>
                      <w:rFonts w:hint="eastAsia" w:ascii="Times New Roman" w:hAnsi="Times New Roman" w:cs="Times New Roman"/>
                      <w:color w:val="auto"/>
                      <w:spacing w:val="0"/>
                      <w:sz w:val="21"/>
                      <w:szCs w:val="21"/>
                      <w:lang w:val="en-US" w:eastAsia="zh-CN"/>
                    </w:rPr>
                    <w:t>SS</w:t>
                  </w:r>
                </w:p>
              </w:tc>
              <w:tc>
                <w:tcPr>
                  <w:tcW w:w="3255" w:type="dxa"/>
                  <w:tcBorders>
                    <w:tl2br w:val="nil"/>
                    <w:tr2bl w:val="nil"/>
                  </w:tcBorders>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一日一次</w:t>
                  </w:r>
                  <w:r>
                    <w:rPr>
                      <w:rFonts w:hint="eastAsia" w:ascii="宋体" w:hAnsi="宋体" w:eastAsia="宋体" w:cs="宋体"/>
                      <w:color w:val="auto"/>
                      <w:spacing w:val="0"/>
                      <w:sz w:val="21"/>
                      <w:szCs w:val="21"/>
                    </w:rPr>
                    <w:t>(</w:t>
                  </w:r>
                  <w:r>
                    <w:rPr>
                      <w:rFonts w:hint="default" w:ascii="Times New Roman" w:hAnsi="Times New Roman" w:cs="Times New Roman"/>
                      <w:color w:val="auto"/>
                      <w:spacing w:val="0"/>
                      <w:sz w:val="21"/>
                      <w:szCs w:val="21"/>
                    </w:rPr>
                    <w:t>雨水排放口有流动水排放时开展监测，排放期间按日监测。若监测一年无异常情况，每季度第一次有流水排放时开展按日监测。</w:t>
                  </w:r>
                  <w:r>
                    <w:rPr>
                      <w:rFonts w:hint="eastAsia" w:ascii="宋体" w:hAnsi="宋体" w:eastAsia="宋体" w:cs="宋体"/>
                      <w:color w:val="auto"/>
                      <w:spacing w:val="0"/>
                      <w:sz w:val="21"/>
                      <w:szCs w:val="21"/>
                    </w:rPr>
                    <w:t>)</w:t>
                  </w:r>
                </w:p>
              </w:tc>
              <w:tc>
                <w:tcPr>
                  <w:tcW w:w="1551" w:type="dxa"/>
                  <w:tcBorders>
                    <w:tl2br w:val="nil"/>
                    <w:tr2bl w:val="nil"/>
                  </w:tcBorders>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w:t>
                  </w: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pacing w:val="0"/>
                <w:sz w:val="24"/>
                <w:szCs w:val="24"/>
                <w:lang w:val="en-US" w:eastAsia="zh-CN"/>
              </w:rPr>
            </w:pPr>
            <w:r>
              <w:rPr>
                <w:rFonts w:hint="eastAsia" w:cs="Times New Roman"/>
                <w:b/>
                <w:bCs/>
                <w:spacing w:val="0"/>
                <w:sz w:val="24"/>
                <w:szCs w:val="24"/>
                <w:lang w:val="en-US" w:eastAsia="zh-CN"/>
              </w:rPr>
              <w:t>（4）废水污染治理设施可行性分析</w:t>
            </w:r>
          </w:p>
          <w:p>
            <w:pPr>
              <w:keepNext/>
              <w:keepLines/>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rPr>
                <w:rFonts w:hint="default" w:ascii="Times New Roman" w:hAnsi="Times New Roman" w:eastAsia="宋体" w:cs="Times New Roman"/>
                <w:color w:val="auto"/>
                <w:spacing w:val="0"/>
                <w:kern w:val="2"/>
                <w:sz w:val="21"/>
                <w:szCs w:val="21"/>
              </w:rPr>
            </w:pPr>
            <w:r>
              <w:rPr>
                <w:rFonts w:hint="default" w:ascii="Times New Roman" w:hAnsi="Times New Roman" w:cs="Times New Roman"/>
                <w:color w:val="auto"/>
                <w:spacing w:val="0"/>
                <w:sz w:val="24"/>
                <w:szCs w:val="24"/>
              </w:rPr>
              <w:t>本项目生活污水经化粪池预处理后接管至</w:t>
            </w:r>
            <w:r>
              <w:rPr>
                <w:rFonts w:hint="eastAsia" w:ascii="Times New Roman" w:hAnsi="Times New Roman" w:cs="Times New Roman"/>
                <w:color w:val="auto"/>
                <w:spacing w:val="0"/>
                <w:sz w:val="24"/>
                <w:szCs w:val="24"/>
                <w:lang w:eastAsia="zh-CN"/>
              </w:rPr>
              <w:t>海安市惠泽净水有限公司</w:t>
            </w:r>
            <w:r>
              <w:rPr>
                <w:rFonts w:hint="default" w:ascii="Times New Roman" w:hAnsi="Times New Roman" w:cs="Times New Roman"/>
                <w:color w:val="auto"/>
                <w:spacing w:val="0"/>
                <w:sz w:val="24"/>
                <w:szCs w:val="24"/>
              </w:rPr>
              <w:t>集中处理</w:t>
            </w:r>
            <w:r>
              <w:rPr>
                <w:rFonts w:hint="eastAsia" w:cs="Times New Roman"/>
                <w:color w:val="auto"/>
                <w:spacing w:val="0"/>
                <w:sz w:val="24"/>
                <w:szCs w:val="24"/>
                <w:lang w:eastAsia="zh-CN"/>
              </w:rPr>
              <w:t>，</w:t>
            </w:r>
            <w:r>
              <w:rPr>
                <w:rFonts w:hint="eastAsia" w:cs="Times New Roman"/>
                <w:color w:val="auto"/>
                <w:spacing w:val="0"/>
                <w:sz w:val="24"/>
                <w:szCs w:val="24"/>
                <w:lang w:val="en-US" w:eastAsia="zh-CN"/>
              </w:rPr>
              <w:t>尾水</w:t>
            </w:r>
            <w:r>
              <w:rPr>
                <w:rFonts w:hint="default" w:ascii="Times New Roman" w:hAnsi="Times New Roman" w:cs="Times New Roman"/>
                <w:color w:val="auto"/>
                <w:spacing w:val="0"/>
                <w:sz w:val="24"/>
                <w:szCs w:val="24"/>
              </w:rPr>
              <w:t>排入洋蛮河</w:t>
            </w:r>
            <w:r>
              <w:rPr>
                <w:rFonts w:hint="default" w:ascii="Times New Roman" w:hAnsi="Times New Roman" w:eastAsia="宋体" w:cs="Times New Roman"/>
                <w:color w:val="auto"/>
                <w:spacing w:val="0"/>
                <w:kern w:val="2"/>
                <w:sz w:val="24"/>
                <w:szCs w:val="24"/>
                <w:lang w:val="en-US" w:eastAsia="zh-CN" w:bidi="ar"/>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pacing w:val="0"/>
                <w:sz w:val="24"/>
                <w:szCs w:val="24"/>
                <w:lang w:val="en-US" w:eastAsia="zh-CN"/>
              </w:rPr>
            </w:pPr>
            <w:r>
              <w:rPr>
                <w:rFonts w:hint="eastAsia" w:cs="Times New Roman"/>
                <w:b/>
                <w:bCs/>
                <w:spacing w:val="0"/>
                <w:sz w:val="24"/>
                <w:szCs w:val="24"/>
                <w:lang w:val="en-US" w:eastAsia="zh-CN"/>
              </w:rPr>
              <w:t>（5）依托污水处理厂可行性分析</w:t>
            </w:r>
          </w:p>
          <w:p>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①</w:t>
            </w:r>
            <w:r>
              <w:rPr>
                <w:rFonts w:hint="eastAsia" w:ascii="Times New Roman" w:hAnsi="Times New Roman" w:cs="Times New Roman"/>
                <w:bCs/>
                <w:color w:val="auto"/>
                <w:spacing w:val="0"/>
                <w:sz w:val="24"/>
                <w:szCs w:val="24"/>
                <w:lang w:val="en-US" w:eastAsia="zh-CN"/>
              </w:rPr>
              <w:t>海安市惠泽净水有限公司</w:t>
            </w:r>
            <w:r>
              <w:rPr>
                <w:rFonts w:hint="default" w:ascii="Times New Roman" w:hAnsi="Times New Roman" w:cs="Times New Roman"/>
                <w:bCs/>
                <w:color w:val="auto"/>
                <w:spacing w:val="0"/>
                <w:sz w:val="24"/>
                <w:szCs w:val="24"/>
                <w:lang w:val="en-US" w:eastAsia="zh-CN"/>
              </w:rPr>
              <w:t>(4.9万m</w:t>
            </w:r>
            <w:r>
              <w:rPr>
                <w:rFonts w:hint="default" w:ascii="Times New Roman" w:hAnsi="Times New Roman" w:cs="Times New Roman"/>
                <w:bCs/>
                <w:color w:val="auto"/>
                <w:spacing w:val="0"/>
                <w:sz w:val="24"/>
                <w:szCs w:val="24"/>
                <w:vertAlign w:val="superscript"/>
                <w:lang w:val="en-US" w:eastAsia="zh-CN"/>
              </w:rPr>
              <w:t>3</w:t>
            </w:r>
            <w:r>
              <w:rPr>
                <w:rFonts w:hint="default" w:ascii="Times New Roman" w:hAnsi="Times New Roman" w:cs="Times New Roman"/>
                <w:bCs/>
                <w:color w:val="auto"/>
                <w:spacing w:val="0"/>
                <w:sz w:val="24"/>
                <w:szCs w:val="24"/>
                <w:lang w:val="en-US" w:eastAsia="zh-CN"/>
              </w:rPr>
              <w:t>/d污水处理及配套管网工程)项目建设地点在海安市开发区221省道东延南侧，沈海高速西侧；一期处理能力为2.5万m</w:t>
            </w:r>
            <w:r>
              <w:rPr>
                <w:rFonts w:hint="default" w:ascii="Times New Roman" w:hAnsi="Times New Roman" w:cs="Times New Roman"/>
                <w:bCs/>
                <w:color w:val="auto"/>
                <w:spacing w:val="0"/>
                <w:sz w:val="24"/>
                <w:szCs w:val="24"/>
                <w:vertAlign w:val="superscript"/>
                <w:lang w:val="en-US" w:eastAsia="zh-CN"/>
              </w:rPr>
              <w:t>3</w:t>
            </w:r>
            <w:r>
              <w:rPr>
                <w:rFonts w:hint="default" w:ascii="Times New Roman" w:hAnsi="Times New Roman" w:cs="Times New Roman"/>
                <w:bCs/>
                <w:color w:val="auto"/>
                <w:spacing w:val="0"/>
                <w:sz w:val="24"/>
                <w:szCs w:val="24"/>
                <w:lang w:val="en-US" w:eastAsia="zh-CN"/>
              </w:rPr>
              <w:t>/d，建设时间为2013年12月一2014年12月；二期处理能力为2.4万m</w:t>
            </w:r>
            <w:r>
              <w:rPr>
                <w:rFonts w:hint="default" w:ascii="Times New Roman" w:hAnsi="Times New Roman" w:cs="Times New Roman"/>
                <w:bCs/>
                <w:color w:val="auto"/>
                <w:spacing w:val="0"/>
                <w:sz w:val="24"/>
                <w:szCs w:val="24"/>
                <w:vertAlign w:val="superscript"/>
                <w:lang w:val="en-US" w:eastAsia="zh-CN"/>
              </w:rPr>
              <w:t>3</w:t>
            </w:r>
            <w:r>
              <w:rPr>
                <w:rFonts w:hint="default" w:ascii="Times New Roman" w:hAnsi="Times New Roman" w:cs="Times New Roman"/>
                <w:bCs/>
                <w:color w:val="auto"/>
                <w:spacing w:val="0"/>
                <w:sz w:val="24"/>
                <w:szCs w:val="24"/>
                <w:lang w:val="en-US" w:eastAsia="zh-CN"/>
              </w:rPr>
              <w:t>/d，建设时间为2015年1月-2016 年6月。一期收集范围为串场河以西部分，二期收集范围为串场河以东部分。</w:t>
            </w:r>
          </w:p>
          <w:p>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cs="Times New Roman"/>
                <w:color w:val="auto"/>
                <w:spacing w:val="0"/>
                <w:sz w:val="24"/>
                <w:szCs w:val="24"/>
                <w:lang w:val="en-US" w:eastAsia="zh-CN"/>
              </w:rPr>
            </w:pPr>
            <w:r>
              <w:rPr>
                <w:rFonts w:hint="eastAsia" w:ascii="Times New Roman" w:hAnsi="Times New Roman" w:cs="Times New Roman"/>
                <w:bCs/>
                <w:color w:val="auto"/>
                <w:spacing w:val="0"/>
                <w:sz w:val="24"/>
                <w:szCs w:val="24"/>
                <w:lang w:val="en-US" w:eastAsia="zh-CN"/>
              </w:rPr>
              <w:t>海安市惠泽净水有限公司</w:t>
            </w:r>
            <w:r>
              <w:rPr>
                <w:rFonts w:hint="default" w:ascii="Times New Roman" w:hAnsi="Times New Roman" w:cs="Times New Roman"/>
                <w:bCs/>
                <w:color w:val="auto"/>
                <w:spacing w:val="0"/>
                <w:sz w:val="24"/>
                <w:szCs w:val="24"/>
                <w:lang w:val="en-US" w:eastAsia="zh-CN"/>
              </w:rPr>
              <w:t>处理工艺流程如下：</w:t>
            </w:r>
          </w:p>
          <w:p>
            <w:pPr>
              <w:adjustRightInd w:val="0"/>
              <w:snapToGrid w:val="0"/>
              <w:spacing w:before="120" w:beforeLines="50" w:line="300" w:lineRule="auto"/>
              <w:jc w:val="center"/>
              <w:rPr>
                <w:rFonts w:hint="default" w:ascii="Times New Roman" w:hAnsi="Times New Roman" w:cs="Times New Roman"/>
                <w:color w:val="auto"/>
                <w:spacing w:val="0"/>
              </w:rPr>
            </w:pPr>
            <w:r>
              <w:rPr>
                <w:rFonts w:hint="default" w:ascii="Times New Roman" w:hAnsi="Times New Roman" w:cs="Times New Roman"/>
                <w:color w:val="auto"/>
                <w:spacing w:val="0"/>
              </w:rPr>
              <w:object>
                <v:shape id="_x0000_i1033" o:spt="75" type="#_x0000_t75" style="height:184pt;width:406.95pt;" o:ole="t" filled="f" o:preferrelative="t" stroked="f" coordsize="21600,21600">
                  <v:path/>
                  <v:fill on="f" focussize="0,0"/>
                  <v:stroke on="f"/>
                  <v:imagedata r:id="rId25" o:title=""/>
                  <o:lock v:ext="edit" aspectratio="t"/>
                  <w10:wrap type="none"/>
                  <w10:anchorlock/>
                </v:shape>
                <o:OLEObject Type="Embed" ProgID="Visio.Drawing.11" ShapeID="_x0000_i1033" DrawAspect="Content" ObjectID="_1468075733" r:id="rId24">
                  <o:LockedField>false</o:LockedField>
                </o:OLEObject>
              </w:object>
            </w:r>
          </w:p>
          <w:p>
            <w:pPr>
              <w:pStyle w:val="8"/>
              <w:snapToGrid w:val="0"/>
              <w:spacing w:line="500" w:lineRule="exact"/>
              <w:ind w:firstLine="482" w:firstLineChars="200"/>
              <w:jc w:val="center"/>
              <w:rPr>
                <w:rFonts w:hint="default" w:ascii="Times New Roman" w:hAnsi="Times New Roman" w:cs="Times New Roman"/>
                <w:b/>
                <w:color w:val="auto"/>
                <w:spacing w:val="0"/>
                <w:sz w:val="24"/>
                <w:szCs w:val="24"/>
                <w:lang w:val="en-US" w:eastAsia="zh-CN"/>
              </w:rPr>
            </w:pPr>
            <w:r>
              <w:rPr>
                <w:rFonts w:hint="default" w:ascii="Times New Roman" w:hAnsi="Times New Roman" w:cs="Times New Roman"/>
                <w:b/>
                <w:bCs/>
                <w:color w:val="auto"/>
                <w:spacing w:val="0"/>
                <w:sz w:val="24"/>
                <w:szCs w:val="24"/>
                <w:lang w:val="en-US" w:eastAsia="zh-CN"/>
              </w:rPr>
              <w:t>图4-</w:t>
            </w:r>
            <w:r>
              <w:rPr>
                <w:rFonts w:hint="eastAsia" w:ascii="Times New Roman" w:hAnsi="Times New Roman" w:cs="Times New Roman"/>
                <w:b/>
                <w:bCs/>
                <w:color w:val="auto"/>
                <w:spacing w:val="0"/>
                <w:sz w:val="24"/>
                <w:szCs w:val="24"/>
                <w:lang w:val="en-US" w:eastAsia="zh-CN"/>
              </w:rPr>
              <w:t>2</w:t>
            </w:r>
            <w:r>
              <w:rPr>
                <w:rFonts w:hint="default" w:ascii="Times New Roman" w:hAnsi="Times New Roman" w:cs="Times New Roman"/>
                <w:b/>
                <w:bCs/>
                <w:color w:val="auto"/>
                <w:spacing w:val="0"/>
                <w:sz w:val="24"/>
                <w:szCs w:val="24"/>
                <w:lang w:val="en-US" w:eastAsia="zh-CN"/>
              </w:rPr>
              <w:t xml:space="preserve">  </w:t>
            </w:r>
            <w:r>
              <w:rPr>
                <w:rFonts w:hint="eastAsia" w:ascii="Times New Roman" w:hAnsi="Times New Roman" w:cs="Times New Roman"/>
                <w:b/>
                <w:color w:val="auto"/>
                <w:spacing w:val="0"/>
                <w:sz w:val="24"/>
                <w:szCs w:val="24"/>
                <w:lang w:val="en-US" w:eastAsia="zh-CN"/>
              </w:rPr>
              <w:t>海安市惠泽净水有限公司</w:t>
            </w:r>
            <w:r>
              <w:rPr>
                <w:rFonts w:hint="default" w:ascii="Times New Roman" w:hAnsi="Times New Roman" w:cs="Times New Roman"/>
                <w:b/>
                <w:color w:val="auto"/>
                <w:spacing w:val="0"/>
                <w:sz w:val="24"/>
                <w:szCs w:val="24"/>
                <w:lang w:val="en-US" w:eastAsia="zh-CN"/>
              </w:rPr>
              <w:t>工艺流程图</w:t>
            </w:r>
          </w:p>
          <w:p>
            <w:pPr>
              <w:pStyle w:val="6"/>
              <w:keepNext w:val="0"/>
              <w:keepLines w:val="0"/>
              <w:pageBreakBefore w:val="0"/>
              <w:widowControl w:val="0"/>
              <w:kinsoku/>
              <w:wordWrap/>
              <w:overflowPunct/>
              <w:topLinePunct w:val="0"/>
              <w:autoSpaceDE/>
              <w:autoSpaceDN/>
              <w:bidi w:val="0"/>
              <w:spacing w:line="500" w:lineRule="exact"/>
              <w:ind w:firstLine="480"/>
              <w:jc w:val="both"/>
              <w:textAlignment w:val="auto"/>
              <w:rPr>
                <w:rFonts w:hint="default" w:ascii="Times New Roman" w:hAnsi="Times New Roman" w:cs="Times New Roman"/>
                <w:color w:val="auto"/>
                <w:spacing w:val="0"/>
                <w:sz w:val="24"/>
                <w:lang w:val="en-US" w:eastAsia="zh-CN"/>
              </w:rPr>
            </w:pPr>
            <w:r>
              <w:rPr>
                <w:rFonts w:hint="default" w:ascii="Times New Roman" w:hAnsi="Times New Roman" w:cs="Times New Roman"/>
                <w:color w:val="auto"/>
                <w:spacing w:val="0"/>
                <w:sz w:val="24"/>
                <w:lang w:val="en-US" w:eastAsia="zh-CN"/>
              </w:rPr>
              <w:t>②接管水量可行性分析</w:t>
            </w:r>
          </w:p>
          <w:p>
            <w:pPr>
              <w:pStyle w:val="6"/>
              <w:keepNext w:val="0"/>
              <w:keepLines w:val="0"/>
              <w:pageBreakBefore w:val="0"/>
              <w:widowControl w:val="0"/>
              <w:kinsoku/>
              <w:wordWrap/>
              <w:overflowPunct/>
              <w:topLinePunct w:val="0"/>
              <w:autoSpaceDE/>
              <w:autoSpaceDN/>
              <w:bidi w:val="0"/>
              <w:spacing w:line="500" w:lineRule="exact"/>
              <w:ind w:firstLine="480"/>
              <w:jc w:val="both"/>
              <w:textAlignment w:val="auto"/>
              <w:rPr>
                <w:rFonts w:hint="default" w:ascii="Times New Roman" w:hAnsi="Times New Roman" w:cs="Times New Roman"/>
                <w:color w:val="auto"/>
                <w:spacing w:val="0"/>
                <w:sz w:val="24"/>
                <w:lang w:val="en-US" w:eastAsia="zh-CN"/>
              </w:rPr>
            </w:pPr>
            <w:r>
              <w:rPr>
                <w:rFonts w:hint="default" w:ascii="Times New Roman" w:hAnsi="Times New Roman" w:cs="Times New Roman"/>
                <w:color w:val="auto"/>
                <w:spacing w:val="0"/>
                <w:sz w:val="24"/>
                <w:lang w:val="en-US" w:eastAsia="zh-CN"/>
              </w:rPr>
              <w:t>本项目所在地位于</w:t>
            </w:r>
            <w:r>
              <w:rPr>
                <w:rFonts w:hint="eastAsia" w:ascii="Times New Roman" w:hAnsi="Times New Roman" w:cs="Times New Roman"/>
                <w:color w:val="auto"/>
                <w:spacing w:val="0"/>
                <w:sz w:val="24"/>
                <w:lang w:val="en-US" w:eastAsia="zh-CN"/>
              </w:rPr>
              <w:t>海安市惠泽净水有限公司</w:t>
            </w:r>
            <w:r>
              <w:rPr>
                <w:rFonts w:hint="default" w:ascii="Times New Roman" w:hAnsi="Times New Roman" w:cs="Times New Roman"/>
                <w:color w:val="auto"/>
                <w:spacing w:val="0"/>
                <w:sz w:val="24"/>
                <w:lang w:val="en-US" w:eastAsia="zh-CN"/>
              </w:rPr>
              <w:t>一期污水收集管网范围内，可以实现污水接管。</w:t>
            </w:r>
            <w:r>
              <w:rPr>
                <w:rFonts w:hint="eastAsia" w:ascii="Times New Roman" w:hAnsi="Times New Roman" w:cs="Times New Roman"/>
                <w:color w:val="auto"/>
                <w:spacing w:val="0"/>
                <w:sz w:val="24"/>
                <w:lang w:val="en-US" w:eastAsia="zh-CN"/>
              </w:rPr>
              <w:t>海安市惠泽净水有限公司</w:t>
            </w:r>
            <w:r>
              <w:rPr>
                <w:rFonts w:hint="default" w:ascii="Times New Roman" w:hAnsi="Times New Roman" w:cs="Times New Roman"/>
                <w:color w:val="auto"/>
                <w:spacing w:val="0"/>
                <w:sz w:val="24"/>
                <w:lang w:val="en-US" w:eastAsia="zh-CN"/>
              </w:rPr>
              <w:t>一期工程设计处理水量为2.5万t/d，目前余量1.4万t/d，本项目运</w:t>
            </w:r>
            <w:r>
              <w:rPr>
                <w:rFonts w:hint="default" w:ascii="Times New Roman" w:hAnsi="Times New Roman" w:cs="Times New Roman"/>
                <w:color w:val="auto"/>
                <w:spacing w:val="0"/>
                <w:sz w:val="24"/>
                <w:highlight w:val="none"/>
                <w:lang w:val="en-US" w:eastAsia="zh-CN"/>
              </w:rPr>
              <w:t>营期产生污水</w:t>
            </w:r>
            <w:r>
              <w:rPr>
                <w:rFonts w:hint="eastAsia" w:cs="Times New Roman"/>
                <w:color w:val="auto"/>
                <w:spacing w:val="0"/>
                <w:sz w:val="24"/>
                <w:highlight w:val="none"/>
                <w:lang w:val="en-US" w:eastAsia="zh-CN"/>
              </w:rPr>
              <w:t>1</w:t>
            </w:r>
            <w:r>
              <w:rPr>
                <w:rFonts w:hint="default" w:ascii="Times New Roman" w:hAnsi="Times New Roman" w:cs="Times New Roman"/>
                <w:color w:val="auto"/>
                <w:spacing w:val="0"/>
                <w:sz w:val="24"/>
                <w:highlight w:val="none"/>
                <w:lang w:val="en-US" w:eastAsia="zh-CN"/>
              </w:rPr>
              <w:t>t/d，占</w:t>
            </w:r>
            <w:r>
              <w:rPr>
                <w:rFonts w:hint="default" w:ascii="Times New Roman" w:hAnsi="Times New Roman" w:cs="Times New Roman"/>
                <w:color w:val="auto"/>
                <w:spacing w:val="0"/>
                <w:sz w:val="24"/>
                <w:lang w:val="en-US" w:eastAsia="zh-CN"/>
              </w:rPr>
              <w:t>一期工程余量比例较小，在其接管量范围内。因此从接管水量角度分析，本项目污水排入</w:t>
            </w:r>
            <w:r>
              <w:rPr>
                <w:rFonts w:hint="eastAsia" w:ascii="Times New Roman" w:hAnsi="Times New Roman" w:cs="Times New Roman"/>
                <w:color w:val="auto"/>
                <w:spacing w:val="0"/>
                <w:sz w:val="24"/>
                <w:lang w:val="en-US" w:eastAsia="zh-CN"/>
              </w:rPr>
              <w:t>海安市惠泽净水有限公司</w:t>
            </w:r>
            <w:r>
              <w:rPr>
                <w:rFonts w:hint="default" w:ascii="Times New Roman" w:hAnsi="Times New Roman" w:cs="Times New Roman"/>
                <w:color w:val="auto"/>
                <w:spacing w:val="0"/>
                <w:sz w:val="24"/>
                <w:lang w:val="en-US" w:eastAsia="zh-CN"/>
              </w:rPr>
              <w:t>集中处理是可行的，污水接管后本项目对周边水环境影响较小。</w:t>
            </w:r>
          </w:p>
          <w:p>
            <w:pPr>
              <w:pStyle w:val="6"/>
              <w:keepNext w:val="0"/>
              <w:keepLines w:val="0"/>
              <w:pageBreakBefore w:val="0"/>
              <w:widowControl w:val="0"/>
              <w:kinsoku/>
              <w:wordWrap/>
              <w:overflowPunct/>
              <w:topLinePunct w:val="0"/>
              <w:autoSpaceDE/>
              <w:autoSpaceDN/>
              <w:bidi w:val="0"/>
              <w:spacing w:line="500" w:lineRule="exact"/>
              <w:ind w:firstLine="480"/>
              <w:jc w:val="both"/>
              <w:textAlignment w:val="auto"/>
              <w:rPr>
                <w:rFonts w:hint="default" w:ascii="Times New Roman" w:hAnsi="Times New Roman" w:cs="Times New Roman"/>
                <w:color w:val="auto"/>
                <w:spacing w:val="0"/>
                <w:sz w:val="24"/>
                <w:lang w:val="en-US" w:eastAsia="zh-CN"/>
              </w:rPr>
            </w:pPr>
            <w:r>
              <w:rPr>
                <w:rFonts w:hint="default" w:ascii="Times New Roman" w:hAnsi="Times New Roman" w:cs="Times New Roman"/>
                <w:color w:val="auto"/>
                <w:spacing w:val="0"/>
                <w:sz w:val="24"/>
                <w:lang w:val="en-US" w:eastAsia="zh-CN"/>
              </w:rPr>
              <w:t>③管网落实情况分析</w:t>
            </w:r>
          </w:p>
          <w:p>
            <w:pPr>
              <w:pStyle w:val="8"/>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hint="default" w:ascii="Times New Roman" w:hAnsi="Times New Roman" w:cs="Times New Roman"/>
                <w:color w:val="auto"/>
                <w:spacing w:val="0"/>
                <w:sz w:val="24"/>
                <w:szCs w:val="24"/>
                <w:lang w:val="en-US" w:eastAsia="zh-CN"/>
              </w:rPr>
            </w:pPr>
            <w:r>
              <w:rPr>
                <w:rFonts w:hint="eastAsia" w:ascii="Times New Roman" w:hAnsi="Times New Roman" w:cs="Times New Roman"/>
                <w:bCs/>
                <w:color w:val="auto"/>
                <w:spacing w:val="0"/>
                <w:sz w:val="24"/>
                <w:szCs w:val="24"/>
                <w:lang w:val="en-US" w:eastAsia="zh-CN"/>
              </w:rPr>
              <w:t>海安市惠泽净水有限公司</w:t>
            </w:r>
            <w:r>
              <w:rPr>
                <w:rFonts w:hint="default" w:ascii="Times New Roman" w:hAnsi="Times New Roman" w:cs="Times New Roman"/>
                <w:bCs/>
                <w:color w:val="auto"/>
                <w:spacing w:val="0"/>
                <w:sz w:val="24"/>
                <w:szCs w:val="24"/>
                <w:lang w:val="en-US" w:eastAsia="zh-CN"/>
              </w:rPr>
              <w:t>(4.9万m</w:t>
            </w:r>
            <w:r>
              <w:rPr>
                <w:rFonts w:hint="default" w:ascii="Times New Roman" w:hAnsi="Times New Roman" w:cs="Times New Roman"/>
                <w:bCs/>
                <w:color w:val="auto"/>
                <w:spacing w:val="0"/>
                <w:sz w:val="24"/>
                <w:szCs w:val="24"/>
                <w:vertAlign w:val="superscript"/>
                <w:lang w:val="en-US" w:eastAsia="zh-CN"/>
              </w:rPr>
              <w:t>3</w:t>
            </w:r>
            <w:r>
              <w:rPr>
                <w:rFonts w:hint="default" w:ascii="Times New Roman" w:hAnsi="Times New Roman" w:cs="Times New Roman"/>
                <w:bCs/>
                <w:color w:val="auto"/>
                <w:spacing w:val="0"/>
                <w:sz w:val="24"/>
                <w:szCs w:val="24"/>
                <w:lang w:val="en-US" w:eastAsia="zh-CN"/>
              </w:rPr>
              <w:t>/d污水处理及配套管网工程)项目建设地点在海安市开发区221省道东延南侧，沈海高速西侧；一期处理能力为2.5万m</w:t>
            </w:r>
            <w:r>
              <w:rPr>
                <w:rFonts w:hint="default" w:ascii="Times New Roman" w:hAnsi="Times New Roman" w:cs="Times New Roman"/>
                <w:bCs/>
                <w:color w:val="auto"/>
                <w:spacing w:val="0"/>
                <w:sz w:val="24"/>
                <w:szCs w:val="24"/>
                <w:vertAlign w:val="superscript"/>
                <w:lang w:val="en-US" w:eastAsia="zh-CN"/>
              </w:rPr>
              <w:t>3</w:t>
            </w:r>
            <w:r>
              <w:rPr>
                <w:rFonts w:hint="default" w:ascii="Times New Roman" w:hAnsi="Times New Roman" w:cs="Times New Roman"/>
                <w:bCs/>
                <w:color w:val="auto"/>
                <w:spacing w:val="0"/>
                <w:sz w:val="24"/>
                <w:szCs w:val="24"/>
                <w:lang w:val="en-US" w:eastAsia="zh-CN"/>
              </w:rPr>
              <w:t>/d，建设时间为2013年12月-2014年12月。</w:t>
            </w:r>
            <w:r>
              <w:rPr>
                <w:rFonts w:hint="default" w:ascii="Times New Roman" w:hAnsi="Times New Roman" w:cs="Times New Roman"/>
                <w:color w:val="auto"/>
                <w:spacing w:val="0"/>
                <w:sz w:val="24"/>
                <w:szCs w:val="24"/>
                <w:lang w:val="en-US" w:eastAsia="zh-CN"/>
              </w:rPr>
              <w:t>本项目所在区域污水管网于2014年年底已敷设完成，故本项目的废水排入</w:t>
            </w:r>
            <w:r>
              <w:rPr>
                <w:rFonts w:hint="eastAsia" w:ascii="Times New Roman" w:hAnsi="Times New Roman" w:cs="Times New Roman"/>
                <w:color w:val="auto"/>
                <w:spacing w:val="0"/>
                <w:sz w:val="24"/>
                <w:szCs w:val="24"/>
                <w:lang w:val="en-US" w:eastAsia="zh-CN"/>
              </w:rPr>
              <w:t>海安市惠泽净水有限公司</w:t>
            </w:r>
            <w:r>
              <w:rPr>
                <w:rFonts w:hint="default" w:ascii="Times New Roman" w:hAnsi="Times New Roman" w:cs="Times New Roman"/>
                <w:color w:val="auto"/>
                <w:spacing w:val="0"/>
                <w:sz w:val="24"/>
                <w:szCs w:val="24"/>
                <w:lang w:val="en-US" w:eastAsia="zh-CN"/>
              </w:rPr>
              <w:t>是可行的。</w:t>
            </w:r>
          </w:p>
          <w:p>
            <w:pPr>
              <w:pStyle w:val="6"/>
              <w:keepNext w:val="0"/>
              <w:keepLines w:val="0"/>
              <w:pageBreakBefore w:val="0"/>
              <w:widowControl w:val="0"/>
              <w:kinsoku/>
              <w:wordWrap/>
              <w:overflowPunct/>
              <w:topLinePunct w:val="0"/>
              <w:autoSpaceDE/>
              <w:autoSpaceDN/>
              <w:bidi w:val="0"/>
              <w:spacing w:line="500" w:lineRule="exact"/>
              <w:ind w:firstLine="480"/>
              <w:jc w:val="both"/>
              <w:textAlignment w:val="auto"/>
              <w:rPr>
                <w:rFonts w:hint="default" w:ascii="Times New Roman" w:hAnsi="Times New Roman" w:cs="Times New Roman"/>
                <w:color w:val="auto"/>
                <w:spacing w:val="0"/>
                <w:sz w:val="24"/>
                <w:lang w:val="en-US" w:eastAsia="zh-CN"/>
              </w:rPr>
            </w:pPr>
            <w:r>
              <w:rPr>
                <w:rFonts w:hint="default" w:ascii="Times New Roman" w:hAnsi="Times New Roman" w:cs="Times New Roman"/>
                <w:color w:val="auto"/>
                <w:spacing w:val="0"/>
                <w:sz w:val="24"/>
                <w:lang w:val="en-US" w:eastAsia="zh-CN"/>
              </w:rPr>
              <w:t>④处理工艺适用性及运行效果分析</w:t>
            </w:r>
          </w:p>
          <w:p>
            <w:pPr>
              <w:pStyle w:val="6"/>
              <w:keepNext w:val="0"/>
              <w:keepLines w:val="0"/>
              <w:pageBreakBefore w:val="0"/>
              <w:widowControl w:val="0"/>
              <w:kinsoku/>
              <w:wordWrap/>
              <w:overflowPunct/>
              <w:topLinePunct w:val="0"/>
              <w:autoSpaceDE/>
              <w:autoSpaceDN/>
              <w:bidi w:val="0"/>
              <w:spacing w:line="500" w:lineRule="exact"/>
              <w:ind w:firstLine="480"/>
              <w:jc w:val="both"/>
              <w:textAlignment w:val="auto"/>
              <w:rPr>
                <w:rFonts w:hint="default" w:ascii="Times New Roman" w:hAnsi="Times New Roman" w:cs="Times New Roman"/>
                <w:color w:val="auto"/>
                <w:spacing w:val="0"/>
                <w:sz w:val="24"/>
                <w:lang w:val="en-US" w:eastAsia="zh-CN"/>
              </w:rPr>
            </w:pPr>
            <w:r>
              <w:rPr>
                <w:rFonts w:hint="default" w:ascii="Times New Roman" w:hAnsi="Times New Roman" w:cs="Times New Roman"/>
                <w:color w:val="auto"/>
                <w:spacing w:val="0"/>
                <w:sz w:val="24"/>
                <w:lang w:val="en-US" w:eastAsia="zh-CN"/>
              </w:rPr>
              <w:t>本项目</w:t>
            </w:r>
            <w:r>
              <w:rPr>
                <w:rFonts w:hint="eastAsia" w:ascii="Times New Roman" w:hAnsi="Times New Roman" w:cs="Times New Roman"/>
                <w:color w:val="auto"/>
                <w:spacing w:val="0"/>
                <w:sz w:val="24"/>
                <w:lang w:val="en-US" w:eastAsia="zh-CN"/>
              </w:rPr>
              <w:t>外排</w:t>
            </w:r>
            <w:r>
              <w:rPr>
                <w:rFonts w:hint="default" w:ascii="Times New Roman" w:hAnsi="Times New Roman" w:cs="Times New Roman"/>
                <w:color w:val="auto"/>
                <w:spacing w:val="0"/>
                <w:sz w:val="24"/>
                <w:lang w:val="en-US" w:eastAsia="zh-CN"/>
              </w:rPr>
              <w:t>废水主要为生活污水，废水水质较为简单，污水处理厂采用的工艺适合于本项目产生的废水。</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综上所述，从接管达标、处理余量、管网衔接、污水处理厂现状及运行、处理工艺适用性等方面分析，本项目废水排入</w:t>
            </w:r>
            <w:r>
              <w:rPr>
                <w:rFonts w:hint="eastAsia" w:ascii="Times New Roman" w:hAnsi="Times New Roman" w:cs="Times New Roman"/>
                <w:color w:val="auto"/>
                <w:spacing w:val="0"/>
                <w:sz w:val="24"/>
                <w:szCs w:val="24"/>
                <w:lang w:eastAsia="zh-CN"/>
              </w:rPr>
              <w:t>海安市惠泽净水有限公司</w:t>
            </w:r>
            <w:r>
              <w:rPr>
                <w:rFonts w:hint="default" w:ascii="Times New Roman" w:hAnsi="Times New Roman" w:cs="Times New Roman"/>
                <w:color w:val="auto"/>
                <w:spacing w:val="0"/>
                <w:sz w:val="24"/>
                <w:szCs w:val="24"/>
              </w:rPr>
              <w:t>是可行的。</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default" w:cs="Times New Roman"/>
                <w:b/>
                <w:bCs/>
                <w:spacing w:val="0"/>
                <w:sz w:val="24"/>
                <w:szCs w:val="24"/>
                <w:lang w:val="en-US" w:eastAsia="zh-CN"/>
              </w:rPr>
            </w:pPr>
            <w:r>
              <w:rPr>
                <w:rFonts w:hint="eastAsia" w:cs="Times New Roman"/>
                <w:b/>
                <w:bCs/>
                <w:spacing w:val="0"/>
                <w:sz w:val="24"/>
                <w:szCs w:val="24"/>
                <w:lang w:val="en-US" w:eastAsia="zh-CN"/>
              </w:rPr>
              <w:t>（6）地表水环境影响评价结论</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lang w:val="en-US" w:eastAsia="zh-CN"/>
              </w:rPr>
              <w:t>本项目</w:t>
            </w:r>
            <w:r>
              <w:rPr>
                <w:rFonts w:hint="default" w:ascii="Times New Roman" w:hAnsi="Times New Roman" w:cs="Times New Roman"/>
                <w:color w:val="auto"/>
                <w:spacing w:val="0"/>
                <w:sz w:val="24"/>
                <w:szCs w:val="24"/>
              </w:rPr>
              <w:t>位于受纳水体环境质量达标区域，</w:t>
            </w:r>
            <w:r>
              <w:rPr>
                <w:rFonts w:hint="default" w:ascii="Times New Roman" w:hAnsi="Times New Roman" w:cs="Times New Roman"/>
                <w:color w:val="auto"/>
                <w:spacing w:val="0"/>
                <w:sz w:val="24"/>
                <w:szCs w:val="24"/>
                <w:lang w:val="en-US" w:eastAsia="zh-CN"/>
              </w:rPr>
              <w:t>本项目</w:t>
            </w:r>
            <w:r>
              <w:rPr>
                <w:rFonts w:hint="default" w:ascii="Times New Roman" w:hAnsi="Times New Roman" w:cs="Times New Roman"/>
                <w:color w:val="auto"/>
                <w:spacing w:val="0"/>
                <w:sz w:val="24"/>
                <w:szCs w:val="24"/>
              </w:rPr>
              <w:t>营运期废水</w:t>
            </w:r>
            <w:r>
              <w:rPr>
                <w:rFonts w:hint="eastAsia" w:ascii="Times New Roman" w:hAnsi="Times New Roman" w:cs="Times New Roman"/>
                <w:color w:val="auto"/>
                <w:spacing w:val="0"/>
                <w:sz w:val="24"/>
                <w:szCs w:val="24"/>
                <w:lang w:val="en-US" w:eastAsia="zh-CN"/>
              </w:rPr>
              <w:t>主要为员工</w:t>
            </w:r>
            <w:r>
              <w:rPr>
                <w:rFonts w:hint="default" w:ascii="Times New Roman" w:hAnsi="Times New Roman" w:cs="Times New Roman"/>
                <w:color w:val="auto"/>
                <w:spacing w:val="0"/>
                <w:sz w:val="24"/>
                <w:szCs w:val="24"/>
              </w:rPr>
              <w:t>生活污水，经化粪池处理后水质达《污水综合排放标准》（GB8978-1996）表4三级标准、《污水排入城镇下水道水质标准》（GB/T31962-2015）表1中</w:t>
            </w:r>
            <w:r>
              <w:rPr>
                <w:rFonts w:hint="eastAsia" w:cs="Times New Roman"/>
                <w:color w:val="auto"/>
                <w:spacing w:val="0"/>
                <w:sz w:val="24"/>
                <w:szCs w:val="24"/>
                <w:lang w:val="en-US" w:eastAsia="zh-CN"/>
              </w:rPr>
              <w:t>A</w:t>
            </w:r>
            <w:r>
              <w:rPr>
                <w:rFonts w:hint="default" w:ascii="Times New Roman" w:hAnsi="Times New Roman" w:cs="Times New Roman"/>
                <w:color w:val="auto"/>
                <w:spacing w:val="0"/>
                <w:sz w:val="24"/>
                <w:szCs w:val="24"/>
              </w:rPr>
              <w:t>等级标准后，通过市政污水管网接管至</w:t>
            </w:r>
            <w:r>
              <w:rPr>
                <w:rFonts w:hint="eastAsia" w:ascii="Times New Roman" w:hAnsi="Times New Roman" w:cs="Times New Roman"/>
                <w:color w:val="auto"/>
                <w:spacing w:val="0"/>
                <w:sz w:val="24"/>
                <w:szCs w:val="24"/>
                <w:lang w:eastAsia="zh-CN"/>
              </w:rPr>
              <w:t>海安市惠泽净水有限公司</w:t>
            </w:r>
            <w:r>
              <w:rPr>
                <w:rFonts w:hint="default" w:ascii="Times New Roman" w:hAnsi="Times New Roman" w:cs="Times New Roman"/>
                <w:color w:val="auto"/>
                <w:spacing w:val="0"/>
                <w:sz w:val="24"/>
                <w:szCs w:val="24"/>
              </w:rPr>
              <w:t>集中处理，尾水排入洋蛮河，</w:t>
            </w:r>
            <w:r>
              <w:rPr>
                <w:rFonts w:hint="default" w:ascii="Times New Roman" w:hAnsi="Times New Roman" w:cs="Times New Roman"/>
                <w:color w:val="auto"/>
                <w:spacing w:val="0"/>
                <w:sz w:val="24"/>
                <w:szCs w:val="24"/>
                <w:lang w:val="en-US" w:eastAsia="zh-CN"/>
              </w:rPr>
              <w:t>本项目</w:t>
            </w:r>
            <w:r>
              <w:rPr>
                <w:rFonts w:hint="default" w:ascii="Times New Roman" w:hAnsi="Times New Roman" w:cs="Times New Roman"/>
                <w:color w:val="auto"/>
                <w:spacing w:val="0"/>
                <w:sz w:val="24"/>
                <w:szCs w:val="24"/>
              </w:rPr>
              <w:t>废水经预处理后满足</w:t>
            </w:r>
            <w:r>
              <w:rPr>
                <w:rFonts w:hint="eastAsia" w:ascii="Times New Roman" w:hAnsi="Times New Roman" w:cs="Times New Roman"/>
                <w:color w:val="auto"/>
                <w:spacing w:val="0"/>
                <w:sz w:val="24"/>
                <w:szCs w:val="24"/>
                <w:lang w:eastAsia="zh-CN"/>
              </w:rPr>
              <w:t>海安市惠泽净水有限公司</w:t>
            </w:r>
            <w:r>
              <w:rPr>
                <w:rFonts w:hint="default" w:ascii="Times New Roman" w:hAnsi="Times New Roman" w:cs="Times New Roman"/>
                <w:color w:val="auto"/>
                <w:spacing w:val="0"/>
                <w:sz w:val="24"/>
                <w:szCs w:val="24"/>
              </w:rPr>
              <w:t>接管标准的要求，从水质水量、接管标准及建设进度等方面综合考虑，本项目废水接管至</w:t>
            </w:r>
            <w:r>
              <w:rPr>
                <w:rFonts w:hint="eastAsia" w:ascii="Times New Roman" w:hAnsi="Times New Roman" w:cs="Times New Roman"/>
                <w:color w:val="auto"/>
                <w:spacing w:val="0"/>
                <w:sz w:val="24"/>
                <w:szCs w:val="24"/>
                <w:lang w:eastAsia="zh-CN"/>
              </w:rPr>
              <w:t>海安市惠泽净水有限公司</w:t>
            </w:r>
            <w:r>
              <w:rPr>
                <w:rFonts w:hint="default" w:ascii="Times New Roman" w:hAnsi="Times New Roman" w:cs="Times New Roman"/>
                <w:color w:val="auto"/>
                <w:spacing w:val="0"/>
                <w:sz w:val="24"/>
                <w:szCs w:val="24"/>
              </w:rPr>
              <w:t>处理是可行的。因此，本项目对地表水环境的影响可以接受。</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pacing w:val="0"/>
                <w:sz w:val="24"/>
                <w:szCs w:val="24"/>
                <w:lang w:val="en-US" w:eastAsia="zh-CN"/>
              </w:rPr>
            </w:pPr>
            <w:r>
              <w:rPr>
                <w:rFonts w:hint="eastAsia" w:cs="Times New Roman"/>
                <w:b/>
                <w:bCs/>
                <w:spacing w:val="0"/>
                <w:sz w:val="24"/>
                <w:szCs w:val="24"/>
                <w:lang w:val="en-US" w:eastAsia="zh-CN"/>
              </w:rPr>
              <w:t>3、噪声</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pacing w:val="0"/>
                <w:sz w:val="24"/>
                <w:szCs w:val="24"/>
                <w:lang w:val="en-US" w:eastAsia="zh-CN"/>
              </w:rPr>
            </w:pPr>
            <w:r>
              <w:rPr>
                <w:rFonts w:hint="eastAsia" w:cs="Times New Roman"/>
                <w:b/>
                <w:bCs/>
                <w:spacing w:val="0"/>
                <w:sz w:val="24"/>
                <w:szCs w:val="24"/>
                <w:lang w:val="en-US" w:eastAsia="zh-CN"/>
              </w:rPr>
              <w:t>（1）噪声源及降噪情况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b w:val="0"/>
                <w:bCs w:val="0"/>
                <w:spacing w:val="0"/>
                <w:sz w:val="24"/>
                <w:szCs w:val="24"/>
                <w:lang w:val="en-US" w:eastAsia="zh-CN"/>
              </w:rPr>
            </w:pPr>
            <w:r>
              <w:rPr>
                <w:rFonts w:hint="eastAsia" w:cs="Times New Roman"/>
                <w:b w:val="0"/>
                <w:bCs w:val="0"/>
                <w:spacing w:val="0"/>
                <w:sz w:val="24"/>
                <w:szCs w:val="24"/>
                <w:lang w:val="en-US" w:eastAsia="zh-CN"/>
              </w:rPr>
              <w:t>①本项目高噪声设备主要为生产设备、空压机、风机等</w:t>
            </w:r>
            <w:r>
              <w:rPr>
                <w:rFonts w:hint="eastAsia" w:ascii="Times New Roman" w:hAnsi="Times New Roman" w:cs="Times New Roman"/>
                <w:b w:val="0"/>
                <w:bCs w:val="0"/>
                <w:spacing w:val="0"/>
                <w:sz w:val="24"/>
                <w:szCs w:val="24"/>
                <w:lang w:val="en-US" w:eastAsia="zh-CN"/>
              </w:rPr>
              <w:t>。噪声治理措施如下：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b w:val="0"/>
                <w:bCs w:val="0"/>
                <w:spacing w:val="0"/>
                <w:sz w:val="24"/>
                <w:szCs w:val="24"/>
                <w:lang w:val="en-US" w:eastAsia="zh-CN"/>
              </w:rPr>
            </w:pPr>
            <w:r>
              <w:rPr>
                <w:rFonts w:hint="eastAsia" w:ascii="Times New Roman" w:hAnsi="Times New Roman" w:cs="Times New Roman"/>
                <w:b w:val="0"/>
                <w:bCs w:val="0"/>
                <w:spacing w:val="0"/>
                <w:sz w:val="24"/>
                <w:szCs w:val="24"/>
                <w:lang w:val="en-US" w:eastAsia="zh-CN"/>
              </w:rPr>
              <w:t>②厂区采取合理平面布局。</w:t>
            </w:r>
            <w:r>
              <w:rPr>
                <w:rFonts w:hint="eastAsia" w:ascii="Times New Roman" w:cs="宋体"/>
                <w:color w:val="000000"/>
                <w:kern w:val="0"/>
                <w:sz w:val="24"/>
                <w:szCs w:val="24"/>
                <w:lang w:bidi="ar"/>
              </w:rPr>
              <w:t>将高噪声污染设备放罝厂房内，并尽量布局于厂区内部，避免因布局于厂址边缘而对周围环境造成不良影响。</w:t>
            </w:r>
          </w:p>
          <w:p>
            <w:pPr>
              <w:adjustRightInd w:val="0"/>
              <w:snapToGrid w:val="0"/>
              <w:spacing w:line="500" w:lineRule="exact"/>
              <w:ind w:firstLine="480" w:firstLineChars="200"/>
              <w:jc w:val="left"/>
              <w:rPr>
                <w:rFonts w:ascii="Times New Roman" w:hAnsi="Times New Roman"/>
                <w:color w:val="000000"/>
                <w:sz w:val="24"/>
                <w:szCs w:val="24"/>
              </w:rPr>
            </w:pPr>
            <w:r>
              <w:rPr>
                <w:rFonts w:hint="eastAsia" w:ascii="Times New Roman" w:hAnsi="Times New Roman" w:cs="Times New Roman"/>
                <w:b w:val="0"/>
                <w:bCs w:val="0"/>
                <w:spacing w:val="0"/>
                <w:sz w:val="24"/>
                <w:szCs w:val="24"/>
                <w:lang w:val="en-US" w:eastAsia="zh-CN"/>
              </w:rPr>
              <w:t>③</w:t>
            </w:r>
            <w:r>
              <w:rPr>
                <w:rFonts w:hint="eastAsia" w:ascii="Times New Roman" w:cs="宋体"/>
                <w:color w:val="000000"/>
                <w:kern w:val="0"/>
                <w:sz w:val="24"/>
                <w:szCs w:val="24"/>
                <w:lang w:bidi="ar"/>
              </w:rPr>
              <w:t>空压机设置独立的隔声</w:t>
            </w:r>
            <w:r>
              <w:rPr>
                <w:rFonts w:hint="eastAsia" w:ascii="Times New Roman" w:cs="宋体"/>
                <w:color w:val="auto"/>
                <w:kern w:val="0"/>
                <w:sz w:val="24"/>
                <w:szCs w:val="24"/>
                <w:lang w:bidi="ar"/>
              </w:rPr>
              <w:t>罩</w:t>
            </w:r>
            <w:r>
              <w:rPr>
                <w:rFonts w:hint="eastAsia" w:ascii="Times New Roman" w:cs="宋体"/>
                <w:color w:val="auto"/>
                <w:kern w:val="0"/>
                <w:sz w:val="24"/>
                <w:szCs w:val="24"/>
                <w:lang w:eastAsia="zh-CN" w:bidi="ar"/>
              </w:rPr>
              <w:t>、</w:t>
            </w:r>
            <w:r>
              <w:rPr>
                <w:rFonts w:hint="eastAsia" w:ascii="Times New Roman" w:cs="宋体"/>
                <w:color w:val="auto"/>
                <w:kern w:val="0"/>
                <w:sz w:val="24"/>
                <w:szCs w:val="24"/>
                <w:lang w:val="en-US" w:eastAsia="zh-CN" w:bidi="ar"/>
              </w:rPr>
              <w:t>减振垫</w:t>
            </w:r>
            <w:r>
              <w:rPr>
                <w:rFonts w:hint="eastAsia" w:ascii="Times New Roman" w:cs="宋体"/>
                <w:color w:val="auto"/>
                <w:kern w:val="0"/>
                <w:sz w:val="24"/>
                <w:szCs w:val="24"/>
                <w:lang w:bidi="ar"/>
              </w:rPr>
              <w:t>，经隔声、减振垫减振能起到很好的降噪效果。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b w:val="0"/>
                <w:bCs w:val="0"/>
                <w:spacing w:val="0"/>
                <w:sz w:val="24"/>
                <w:szCs w:val="24"/>
                <w:lang w:val="en-US" w:eastAsia="zh-CN"/>
              </w:rPr>
            </w:pPr>
            <w:r>
              <w:rPr>
                <w:rFonts w:hint="eastAsia" w:ascii="Times New Roman" w:hAnsi="Times New Roman" w:cs="Times New Roman"/>
                <w:b w:val="0"/>
                <w:bCs w:val="0"/>
                <w:spacing w:val="0"/>
                <w:sz w:val="24"/>
                <w:szCs w:val="24"/>
                <w:lang w:val="en-US" w:eastAsia="zh-CN"/>
              </w:rPr>
              <w:t>④设备购置选用小功率、低噪声的设备。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b w:val="0"/>
                <w:bCs w:val="0"/>
                <w:spacing w:val="0"/>
                <w:sz w:val="24"/>
                <w:szCs w:val="24"/>
                <w:lang w:val="en-US" w:eastAsia="zh-CN"/>
              </w:rPr>
            </w:pPr>
            <w:r>
              <w:rPr>
                <w:rFonts w:hint="eastAsia" w:ascii="Times New Roman" w:hAnsi="Times New Roman" w:cs="Times New Roman"/>
                <w:b w:val="0"/>
                <w:bCs w:val="0"/>
                <w:spacing w:val="0"/>
                <w:sz w:val="24"/>
                <w:szCs w:val="24"/>
                <w:lang w:val="en-US" w:eastAsia="zh-CN"/>
              </w:rPr>
              <w:t>⑤风机应配置</w:t>
            </w:r>
            <w:r>
              <w:rPr>
                <w:rFonts w:hint="eastAsia" w:ascii="Times New Roman" w:cs="宋体"/>
                <w:color w:val="000000"/>
                <w:kern w:val="0"/>
                <w:sz w:val="24"/>
                <w:szCs w:val="24"/>
                <w:lang w:bidi="ar"/>
              </w:rPr>
              <w:t>消声器</w:t>
            </w:r>
            <w:r>
              <w:rPr>
                <w:rFonts w:hint="eastAsia" w:ascii="Times New Roman" w:cs="宋体"/>
                <w:color w:val="000000"/>
                <w:kern w:val="0"/>
                <w:sz w:val="24"/>
                <w:szCs w:val="24"/>
                <w:lang w:eastAsia="zh-CN" w:bidi="ar"/>
              </w:rPr>
              <w:t>、</w:t>
            </w:r>
            <w:r>
              <w:rPr>
                <w:rFonts w:hint="eastAsia" w:ascii="Times New Roman" w:cs="宋体"/>
                <w:color w:val="000000"/>
                <w:kern w:val="0"/>
                <w:sz w:val="24"/>
                <w:szCs w:val="24"/>
                <w:lang w:val="en-US" w:eastAsia="zh-CN" w:bidi="ar"/>
              </w:rPr>
              <w:t>隔声罩、减振垫，</w:t>
            </w:r>
            <w:r>
              <w:rPr>
                <w:rFonts w:hint="eastAsia" w:ascii="Times New Roman" w:cs="宋体"/>
                <w:color w:val="000000"/>
                <w:kern w:val="0"/>
                <w:sz w:val="24"/>
                <w:szCs w:val="24"/>
                <w:lang w:bidi="ar"/>
              </w:rPr>
              <w:t>排风管道进出口加柔性软接头，以降低风机噪声对周围环境的影响</w:t>
            </w:r>
            <w:r>
              <w:rPr>
                <w:rFonts w:hint="eastAsia" w:ascii="Times New Roman" w:cs="宋体"/>
                <w:color w:val="000000"/>
                <w:kern w:val="0"/>
                <w:lang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b w:val="0"/>
                <w:bCs w:val="0"/>
                <w:spacing w:val="0"/>
                <w:sz w:val="24"/>
                <w:szCs w:val="24"/>
                <w:lang w:val="en-US" w:eastAsia="zh-CN"/>
              </w:rPr>
            </w:pPr>
            <w:r>
              <w:rPr>
                <w:rFonts w:hint="eastAsia" w:ascii="Times New Roman" w:hAnsi="Times New Roman" w:cs="Times New Roman"/>
                <w:b w:val="0"/>
                <w:bCs w:val="0"/>
                <w:spacing w:val="0"/>
                <w:sz w:val="24"/>
                <w:szCs w:val="24"/>
                <w:lang w:val="en-US" w:eastAsia="zh-CN"/>
              </w:rPr>
              <w:t>⑥勤维护保养，使设备在最佳工况下运行，降低噪音。</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cs="Times New Roman"/>
                <w:b/>
                <w:bCs/>
                <w:spacing w:val="0"/>
                <w:kern w:val="0"/>
                <w:sz w:val="24"/>
                <w:szCs w:val="24"/>
                <w:highlight w:val="none"/>
              </w:rPr>
            </w:pPr>
            <w:r>
              <w:rPr>
                <w:rFonts w:hint="default" w:ascii="Times New Roman" w:hAnsi="Times New Roman" w:cs="Times New Roman"/>
                <w:b/>
                <w:spacing w:val="0"/>
                <w:sz w:val="24"/>
                <w:szCs w:val="24"/>
                <w:highlight w:val="none"/>
              </w:rPr>
              <w:t>表4-</w:t>
            </w:r>
            <w:r>
              <w:rPr>
                <w:rFonts w:hint="eastAsia" w:ascii="Times New Roman" w:hAnsi="Times New Roman" w:cs="Times New Roman"/>
                <w:b/>
                <w:spacing w:val="0"/>
                <w:sz w:val="24"/>
                <w:szCs w:val="24"/>
                <w:highlight w:val="none"/>
                <w:lang w:val="en-US" w:eastAsia="zh-CN"/>
              </w:rPr>
              <w:t>1</w:t>
            </w:r>
            <w:r>
              <w:rPr>
                <w:rFonts w:hint="eastAsia" w:cs="Times New Roman"/>
                <w:b/>
                <w:spacing w:val="0"/>
                <w:sz w:val="24"/>
                <w:szCs w:val="24"/>
                <w:highlight w:val="none"/>
                <w:lang w:val="en-US" w:eastAsia="zh-CN"/>
              </w:rPr>
              <w:t xml:space="preserve">6  </w:t>
            </w:r>
            <w:r>
              <w:rPr>
                <w:rFonts w:hint="eastAsia" w:ascii="Times New Roman" w:hAnsi="Times New Roman" w:cs="Times New Roman"/>
                <w:b/>
                <w:spacing w:val="0"/>
                <w:sz w:val="24"/>
                <w:szCs w:val="24"/>
                <w:highlight w:val="none"/>
                <w:lang w:val="en-US" w:eastAsia="zh-CN"/>
              </w:rPr>
              <w:t>本项目</w:t>
            </w:r>
            <w:r>
              <w:rPr>
                <w:rFonts w:hint="default" w:ascii="Times New Roman" w:hAnsi="Times New Roman" w:cs="Times New Roman"/>
                <w:b/>
                <w:spacing w:val="0"/>
                <w:sz w:val="24"/>
                <w:szCs w:val="24"/>
                <w:highlight w:val="none"/>
              </w:rPr>
              <w:t>主要噪声设备一览表</w:t>
            </w:r>
          </w:p>
          <w:tbl>
            <w:tblPr>
              <w:tblStyle w:val="18"/>
              <w:tblW w:w="850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83"/>
              <w:gridCol w:w="1510"/>
              <w:gridCol w:w="887"/>
              <w:gridCol w:w="804"/>
              <w:gridCol w:w="764"/>
              <w:gridCol w:w="1580"/>
              <w:gridCol w:w="825"/>
              <w:gridCol w:w="825"/>
              <w:gridCol w:w="82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8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000000"/>
                      <w:spacing w:val="0"/>
                      <w:sz w:val="21"/>
                      <w:szCs w:val="21"/>
                    </w:rPr>
                  </w:pPr>
                  <w:r>
                    <w:rPr>
                      <w:rFonts w:hint="default" w:ascii="Times New Roman" w:hAnsi="Times New Roman" w:eastAsia="宋体" w:cs="Times New Roman"/>
                      <w:b/>
                      <w:color w:val="000000"/>
                      <w:spacing w:val="0"/>
                      <w:sz w:val="21"/>
                      <w:szCs w:val="21"/>
                    </w:rPr>
                    <w:t>序号</w:t>
                  </w:r>
                </w:p>
              </w:tc>
              <w:tc>
                <w:tcPr>
                  <w:tcW w:w="15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000000"/>
                      <w:spacing w:val="0"/>
                      <w:sz w:val="21"/>
                      <w:szCs w:val="21"/>
                    </w:rPr>
                  </w:pPr>
                  <w:r>
                    <w:rPr>
                      <w:rFonts w:hint="default" w:ascii="Times New Roman" w:hAnsi="Times New Roman" w:eastAsia="宋体" w:cs="Times New Roman"/>
                      <w:b/>
                      <w:color w:val="000000"/>
                      <w:spacing w:val="0"/>
                      <w:sz w:val="21"/>
                      <w:szCs w:val="21"/>
                    </w:rPr>
                    <w:t>噪声源</w:t>
                  </w:r>
                </w:p>
              </w:tc>
              <w:tc>
                <w:tcPr>
                  <w:tcW w:w="88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000000"/>
                      <w:spacing w:val="0"/>
                      <w:sz w:val="21"/>
                      <w:szCs w:val="21"/>
                    </w:rPr>
                  </w:pPr>
                  <w:r>
                    <w:rPr>
                      <w:rFonts w:hint="default" w:ascii="Times New Roman" w:hAnsi="Times New Roman" w:eastAsia="宋体" w:cs="Times New Roman"/>
                      <w:b/>
                      <w:bCs/>
                      <w:color w:val="000000"/>
                      <w:spacing w:val="0"/>
                      <w:sz w:val="21"/>
                      <w:szCs w:val="21"/>
                      <w:lang w:val="en-US" w:eastAsia="zh-CN"/>
                    </w:rPr>
                    <w:t>声源类型(频发、偶发)</w:t>
                  </w:r>
                </w:p>
              </w:tc>
              <w:tc>
                <w:tcPr>
                  <w:tcW w:w="80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000000"/>
                      <w:spacing w:val="0"/>
                      <w:sz w:val="21"/>
                      <w:szCs w:val="21"/>
                    </w:rPr>
                  </w:pPr>
                  <w:r>
                    <w:rPr>
                      <w:rFonts w:hint="default" w:ascii="Times New Roman" w:hAnsi="Times New Roman" w:eastAsia="宋体" w:cs="Times New Roman"/>
                      <w:b/>
                      <w:color w:val="000000"/>
                      <w:spacing w:val="0"/>
                      <w:sz w:val="21"/>
                      <w:szCs w:val="21"/>
                    </w:rPr>
                    <w:t>数量</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000000"/>
                      <w:spacing w:val="0"/>
                      <w:sz w:val="21"/>
                      <w:szCs w:val="21"/>
                    </w:rPr>
                  </w:pPr>
                  <w:r>
                    <w:rPr>
                      <w:rFonts w:hint="default" w:ascii="Times New Roman" w:hAnsi="Times New Roman" w:eastAsia="宋体" w:cs="Times New Roman"/>
                      <w:b/>
                      <w:color w:val="000000"/>
                      <w:spacing w:val="0"/>
                      <w:sz w:val="21"/>
                      <w:szCs w:val="21"/>
                    </w:rPr>
                    <w:t>台/套</w:t>
                  </w:r>
                </w:p>
              </w:tc>
              <w:tc>
                <w:tcPr>
                  <w:tcW w:w="7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000000"/>
                      <w:spacing w:val="0"/>
                      <w:sz w:val="21"/>
                      <w:szCs w:val="21"/>
                    </w:rPr>
                  </w:pPr>
                  <w:r>
                    <w:rPr>
                      <w:rFonts w:hint="default" w:ascii="Times New Roman" w:hAnsi="Times New Roman" w:eastAsia="宋体" w:cs="Times New Roman"/>
                      <w:b/>
                      <w:color w:val="000000"/>
                      <w:spacing w:val="0"/>
                      <w:sz w:val="21"/>
                      <w:szCs w:val="21"/>
                    </w:rPr>
                    <w:t>源强dB(A)</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000000"/>
                      <w:spacing w:val="0"/>
                      <w:sz w:val="21"/>
                      <w:szCs w:val="21"/>
                    </w:rPr>
                  </w:pPr>
                  <w:r>
                    <w:rPr>
                      <w:rFonts w:hint="default" w:ascii="Times New Roman" w:hAnsi="Times New Roman" w:eastAsia="宋体" w:cs="Times New Roman"/>
                      <w:b/>
                      <w:color w:val="000000"/>
                      <w:spacing w:val="0"/>
                      <w:sz w:val="21"/>
                      <w:szCs w:val="21"/>
                    </w:rPr>
                    <w:t>拟采取</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000000"/>
                      <w:spacing w:val="0"/>
                      <w:sz w:val="21"/>
                      <w:szCs w:val="21"/>
                    </w:rPr>
                  </w:pPr>
                  <w:r>
                    <w:rPr>
                      <w:rFonts w:hint="default" w:ascii="Times New Roman" w:hAnsi="Times New Roman" w:eastAsia="宋体" w:cs="Times New Roman"/>
                      <w:b/>
                      <w:color w:val="000000"/>
                      <w:spacing w:val="0"/>
                      <w:sz w:val="21"/>
                      <w:szCs w:val="21"/>
                    </w:rPr>
                    <w:t>措施</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000000"/>
                      <w:spacing w:val="0"/>
                      <w:sz w:val="21"/>
                      <w:szCs w:val="21"/>
                    </w:rPr>
                  </w:pPr>
                  <w:r>
                    <w:rPr>
                      <w:rFonts w:hint="default" w:ascii="Times New Roman" w:hAnsi="Times New Roman" w:eastAsia="宋体" w:cs="Times New Roman"/>
                      <w:b/>
                      <w:color w:val="000000"/>
                      <w:spacing w:val="0"/>
                      <w:sz w:val="21"/>
                      <w:szCs w:val="21"/>
                    </w:rPr>
                    <w:t>降噪量</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000000"/>
                      <w:spacing w:val="0"/>
                      <w:sz w:val="21"/>
                      <w:szCs w:val="21"/>
                    </w:rPr>
                  </w:pPr>
                  <w:r>
                    <w:rPr>
                      <w:rFonts w:hint="default" w:ascii="Times New Roman" w:hAnsi="Times New Roman" w:eastAsia="宋体" w:cs="Times New Roman"/>
                      <w:b/>
                      <w:color w:val="000000"/>
                      <w:spacing w:val="0"/>
                      <w:sz w:val="21"/>
                      <w:szCs w:val="21"/>
                    </w:rPr>
                    <w:t>dB(A)</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000000"/>
                      <w:spacing w:val="0"/>
                      <w:sz w:val="21"/>
                      <w:szCs w:val="21"/>
                    </w:rPr>
                  </w:pPr>
                  <w:r>
                    <w:rPr>
                      <w:rFonts w:hint="eastAsia" w:eastAsia="宋体"/>
                      <w:b/>
                      <w:bCs/>
                      <w:spacing w:val="0"/>
                      <w:sz w:val="21"/>
                      <w:szCs w:val="21"/>
                    </w:rPr>
                    <w:t>噪声排放值</w:t>
                  </w:r>
                  <w:r>
                    <w:rPr>
                      <w:rFonts w:eastAsia="宋体"/>
                      <w:b/>
                      <w:bCs/>
                      <w:spacing w:val="0"/>
                      <w:sz w:val="21"/>
                      <w:szCs w:val="21"/>
                    </w:rPr>
                    <w:t>dB(A)</w:t>
                  </w:r>
                </w:p>
              </w:tc>
              <w:tc>
                <w:tcPr>
                  <w:tcW w:w="82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eastAsia="宋体"/>
                      <w:b/>
                      <w:bCs/>
                      <w:spacing w:val="0"/>
                      <w:sz w:val="21"/>
                      <w:szCs w:val="21"/>
                      <w:lang w:val="en-US" w:eastAsia="zh-CN"/>
                    </w:rPr>
                  </w:pPr>
                  <w:r>
                    <w:rPr>
                      <w:rFonts w:hint="eastAsia" w:eastAsia="宋体"/>
                      <w:b/>
                      <w:bCs/>
                      <w:spacing w:val="0"/>
                      <w:sz w:val="21"/>
                      <w:szCs w:val="21"/>
                      <w:lang w:val="en-US" w:eastAsia="zh-CN"/>
                    </w:rPr>
                    <w:t>持续时间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83"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color w:val="000000"/>
                      <w:spacing w:val="0"/>
                      <w:kern w:val="2"/>
                      <w:sz w:val="21"/>
                      <w:szCs w:val="21"/>
                      <w:lang w:val="en-US" w:eastAsia="zh-CN" w:bidi="ar-SA"/>
                    </w:rPr>
                  </w:pPr>
                  <w:r>
                    <w:rPr>
                      <w:rFonts w:hint="default" w:ascii="Times New Roman" w:hAnsi="Times New Roman" w:eastAsia="宋体" w:cs="Times New Roman"/>
                      <w:color w:val="000000"/>
                      <w:spacing w:val="0"/>
                      <w:kern w:val="2"/>
                      <w:sz w:val="21"/>
                      <w:szCs w:val="21"/>
                      <w:lang w:val="en-US" w:eastAsia="zh-CN" w:bidi="ar-SA"/>
                    </w:rPr>
                    <w:t>1</w:t>
                  </w:r>
                </w:p>
              </w:tc>
              <w:tc>
                <w:tcPr>
                  <w:tcW w:w="15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color w:val="000000"/>
                      <w:spacing w:val="0"/>
                      <w:kern w:val="2"/>
                      <w:sz w:val="21"/>
                      <w:szCs w:val="21"/>
                      <w:highlight w:val="none"/>
                      <w:lang w:val="en-US" w:eastAsia="zh-CN" w:bidi="ar-SA"/>
                    </w:rPr>
                  </w:pPr>
                  <w:r>
                    <w:rPr>
                      <w:rFonts w:hint="eastAsia" w:ascii="Times New Roman" w:hAnsi="Times New Roman" w:eastAsia="宋体" w:cs="Times New Roman"/>
                      <w:i w:val="0"/>
                      <w:iCs w:val="0"/>
                      <w:color w:val="000000"/>
                      <w:spacing w:val="0"/>
                      <w:kern w:val="0"/>
                      <w:sz w:val="21"/>
                      <w:szCs w:val="21"/>
                      <w:u w:val="none"/>
                      <w:lang w:val="en-US" w:eastAsia="zh-CN" w:bidi="ar"/>
                    </w:rPr>
                    <w:t>分纸压线</w:t>
                  </w:r>
                  <w:r>
                    <w:rPr>
                      <w:rFonts w:hint="default" w:ascii="Times New Roman" w:hAnsi="Times New Roman" w:eastAsia="宋体" w:cs="Times New Roman"/>
                      <w:i w:val="0"/>
                      <w:iCs w:val="0"/>
                      <w:color w:val="000000"/>
                      <w:spacing w:val="0"/>
                      <w:kern w:val="0"/>
                      <w:sz w:val="21"/>
                      <w:szCs w:val="21"/>
                      <w:u w:val="none"/>
                      <w:lang w:val="en-US" w:eastAsia="zh-CN" w:bidi="ar"/>
                    </w:rPr>
                    <w:t>机</w:t>
                  </w:r>
                </w:p>
              </w:tc>
              <w:tc>
                <w:tcPr>
                  <w:tcW w:w="88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pacing w:val="0"/>
                      <w:kern w:val="2"/>
                      <w:sz w:val="21"/>
                      <w:szCs w:val="21"/>
                      <w:lang w:val="en-US" w:eastAsia="zh-CN" w:bidi="ar-SA"/>
                    </w:rPr>
                  </w:pPr>
                  <w:r>
                    <w:rPr>
                      <w:rFonts w:hint="default" w:ascii="Times New Roman" w:hAnsi="Times New Roman" w:eastAsia="宋体" w:cs="Times New Roman"/>
                      <w:color w:val="000000"/>
                      <w:spacing w:val="0"/>
                      <w:sz w:val="21"/>
                      <w:szCs w:val="21"/>
                      <w:lang w:val="en-US" w:eastAsia="zh-CN"/>
                    </w:rPr>
                    <w:t>频发</w:t>
                  </w:r>
                </w:p>
              </w:tc>
              <w:tc>
                <w:tcPr>
                  <w:tcW w:w="80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1</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75</w:t>
                  </w:r>
                </w:p>
              </w:tc>
              <w:tc>
                <w:tcPr>
                  <w:tcW w:w="1580" w:type="dxa"/>
                  <w:noWrap w:val="0"/>
                  <w:vAlign w:val="center"/>
                </w:tcPr>
                <w:p>
                  <w:pPr>
                    <w:keepNext w:val="0"/>
                    <w:keepLines w:val="0"/>
                    <w:pageBreakBefore w:val="0"/>
                    <w:widowControl/>
                    <w:suppressLineNumbers w:val="0"/>
                    <w:kinsoku/>
                    <w:wordWrap/>
                    <w:overflowPunct/>
                    <w:topLinePunct w:val="0"/>
                    <w:autoSpaceDE/>
                    <w:autoSpaceDN/>
                    <w:bidi w:val="0"/>
                    <w:ind w:left="0" w:leftChars="0" w:right="0" w:rightChars="0" w:firstLine="0" w:firstLineChars="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color w:val="000000"/>
                      <w:spacing w:val="0"/>
                      <w:sz w:val="21"/>
                      <w:szCs w:val="21"/>
                      <w:lang w:val="en-US" w:eastAsia="zh-CN"/>
                    </w:rPr>
                    <w:t>/</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75</w:t>
                  </w:r>
                </w:p>
              </w:tc>
              <w:tc>
                <w:tcPr>
                  <w:tcW w:w="826" w:type="dxa"/>
                  <w:vMerge w:val="restart"/>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8h</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83"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2</w:t>
                  </w:r>
                </w:p>
              </w:tc>
              <w:tc>
                <w:tcPr>
                  <w:tcW w:w="15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color w:val="000000"/>
                      <w:spacing w:val="0"/>
                      <w:kern w:val="2"/>
                      <w:sz w:val="21"/>
                      <w:szCs w:val="21"/>
                      <w:highlight w:val="none"/>
                      <w:lang w:val="en-US" w:eastAsia="zh-CN" w:bidi="ar-SA"/>
                    </w:rPr>
                  </w:pPr>
                  <w:r>
                    <w:rPr>
                      <w:rFonts w:hint="default" w:ascii="Times New Roman" w:hAnsi="Times New Roman" w:eastAsia="宋体" w:cs="Times New Roman"/>
                      <w:i w:val="0"/>
                      <w:iCs w:val="0"/>
                      <w:color w:val="000000"/>
                      <w:spacing w:val="0"/>
                      <w:kern w:val="0"/>
                      <w:sz w:val="21"/>
                      <w:szCs w:val="21"/>
                      <w:u w:val="none"/>
                      <w:lang w:val="en-US" w:eastAsia="zh-CN" w:bidi="ar"/>
                    </w:rPr>
                    <w:t>空压机</w:t>
                  </w:r>
                </w:p>
              </w:tc>
              <w:tc>
                <w:tcPr>
                  <w:tcW w:w="88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pacing w:val="0"/>
                      <w:kern w:val="2"/>
                      <w:sz w:val="21"/>
                      <w:szCs w:val="21"/>
                      <w:lang w:val="en-US" w:eastAsia="zh-CN" w:bidi="ar-SA"/>
                    </w:rPr>
                  </w:pPr>
                  <w:r>
                    <w:rPr>
                      <w:rFonts w:hint="default" w:ascii="Times New Roman" w:hAnsi="Times New Roman" w:eastAsia="宋体" w:cs="Times New Roman"/>
                      <w:color w:val="000000"/>
                      <w:spacing w:val="0"/>
                      <w:sz w:val="21"/>
                      <w:szCs w:val="21"/>
                      <w:lang w:val="en-US" w:eastAsia="zh-CN"/>
                    </w:rPr>
                    <w:t>频发</w:t>
                  </w:r>
                </w:p>
              </w:tc>
              <w:tc>
                <w:tcPr>
                  <w:tcW w:w="80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1</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90</w:t>
                  </w:r>
                </w:p>
              </w:tc>
              <w:tc>
                <w:tcPr>
                  <w:tcW w:w="1580" w:type="dxa"/>
                  <w:noWrap w:val="0"/>
                  <w:vAlign w:val="center"/>
                </w:tcPr>
                <w:p>
                  <w:pPr>
                    <w:jc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default" w:ascii="Times New Roman" w:hAnsi="Times New Roman" w:eastAsia="宋体" w:cs="Times New Roman"/>
                      <w:color w:val="000000"/>
                      <w:spacing w:val="0"/>
                      <w:kern w:val="0"/>
                      <w:sz w:val="21"/>
                      <w:szCs w:val="21"/>
                      <w:lang w:bidi="ar"/>
                    </w:rPr>
                    <w:t>隔声罩</w:t>
                  </w:r>
                  <w:r>
                    <w:rPr>
                      <w:rFonts w:hint="default" w:ascii="Times New Roman" w:hAnsi="Times New Roman" w:eastAsia="宋体" w:cs="Times New Roman"/>
                      <w:color w:val="000000"/>
                      <w:spacing w:val="0"/>
                      <w:kern w:val="0"/>
                      <w:sz w:val="21"/>
                      <w:szCs w:val="21"/>
                      <w:lang w:val="en-US" w:eastAsia="zh-CN" w:bidi="ar"/>
                    </w:rPr>
                    <w:t>、减振垫</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1</w:t>
                  </w:r>
                  <w:r>
                    <w:rPr>
                      <w:rFonts w:hint="eastAsia" w:cs="Times New Roman"/>
                      <w:i w:val="0"/>
                      <w:iCs w:val="0"/>
                      <w:color w:val="000000"/>
                      <w:spacing w:val="0"/>
                      <w:kern w:val="0"/>
                      <w:sz w:val="21"/>
                      <w:szCs w:val="21"/>
                      <w:u w:val="none"/>
                      <w:lang w:val="en-US" w:eastAsia="zh-CN" w:bidi="ar"/>
                    </w:rPr>
                    <w:t>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75</w:t>
                  </w:r>
                </w:p>
              </w:tc>
              <w:tc>
                <w:tcPr>
                  <w:tcW w:w="826" w:type="dxa"/>
                  <w:vMerge w:val="continue"/>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83"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color w:val="000000"/>
                      <w:spacing w:val="0"/>
                      <w:kern w:val="2"/>
                      <w:sz w:val="21"/>
                      <w:szCs w:val="21"/>
                      <w:lang w:val="en-US" w:eastAsia="zh-CN" w:bidi="ar-SA"/>
                    </w:rPr>
                  </w:pPr>
                  <w:r>
                    <w:rPr>
                      <w:rFonts w:hint="eastAsia" w:cs="Times New Roman"/>
                      <w:color w:val="000000"/>
                      <w:spacing w:val="0"/>
                      <w:kern w:val="2"/>
                      <w:sz w:val="21"/>
                      <w:szCs w:val="21"/>
                      <w:lang w:val="en-US" w:eastAsia="zh-CN" w:bidi="ar-SA"/>
                    </w:rPr>
                    <w:t>3</w:t>
                  </w:r>
                </w:p>
              </w:tc>
              <w:tc>
                <w:tcPr>
                  <w:tcW w:w="15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color w:val="000000"/>
                      <w:spacing w:val="0"/>
                      <w:kern w:val="2"/>
                      <w:sz w:val="21"/>
                      <w:szCs w:val="21"/>
                      <w:highlight w:val="none"/>
                      <w:lang w:val="en-US" w:eastAsia="zh-CN" w:bidi="ar-SA"/>
                    </w:rPr>
                  </w:pPr>
                  <w:r>
                    <w:rPr>
                      <w:rFonts w:hint="eastAsia" w:ascii="Times New Roman" w:hAnsi="Times New Roman" w:eastAsia="宋体" w:cs="Times New Roman"/>
                      <w:i w:val="0"/>
                      <w:iCs w:val="0"/>
                      <w:color w:val="000000"/>
                      <w:spacing w:val="0"/>
                      <w:kern w:val="0"/>
                      <w:sz w:val="21"/>
                      <w:szCs w:val="21"/>
                      <w:u w:val="none"/>
                      <w:lang w:val="en-US" w:eastAsia="zh-CN" w:bidi="ar"/>
                    </w:rPr>
                    <w:t>印刷</w:t>
                  </w:r>
                  <w:r>
                    <w:rPr>
                      <w:rFonts w:hint="eastAsia" w:cs="Times New Roman"/>
                      <w:i w:val="0"/>
                      <w:iCs w:val="0"/>
                      <w:color w:val="000000"/>
                      <w:spacing w:val="0"/>
                      <w:kern w:val="0"/>
                      <w:sz w:val="21"/>
                      <w:szCs w:val="21"/>
                      <w:u w:val="none"/>
                      <w:lang w:val="en-US" w:eastAsia="zh-CN" w:bidi="ar"/>
                    </w:rPr>
                    <w:t>开槽</w:t>
                  </w:r>
                  <w:r>
                    <w:rPr>
                      <w:rFonts w:hint="default" w:ascii="Times New Roman" w:hAnsi="Times New Roman" w:eastAsia="宋体" w:cs="Times New Roman"/>
                      <w:i w:val="0"/>
                      <w:iCs w:val="0"/>
                      <w:color w:val="000000"/>
                      <w:spacing w:val="0"/>
                      <w:kern w:val="0"/>
                      <w:sz w:val="21"/>
                      <w:szCs w:val="21"/>
                      <w:u w:val="none"/>
                      <w:lang w:val="en-US" w:eastAsia="zh-CN" w:bidi="ar"/>
                    </w:rPr>
                    <w:t>机</w:t>
                  </w:r>
                </w:p>
              </w:tc>
              <w:tc>
                <w:tcPr>
                  <w:tcW w:w="88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pacing w:val="0"/>
                      <w:kern w:val="2"/>
                      <w:sz w:val="21"/>
                      <w:szCs w:val="21"/>
                      <w:lang w:val="en-US" w:eastAsia="zh-CN" w:bidi="ar-SA"/>
                    </w:rPr>
                  </w:pPr>
                  <w:r>
                    <w:rPr>
                      <w:rFonts w:hint="default" w:ascii="Times New Roman" w:hAnsi="Times New Roman" w:eastAsia="宋体" w:cs="Times New Roman"/>
                      <w:color w:val="000000"/>
                      <w:spacing w:val="0"/>
                      <w:sz w:val="21"/>
                      <w:szCs w:val="21"/>
                      <w:lang w:val="en-US" w:eastAsia="zh-CN"/>
                    </w:rPr>
                    <w:t>频发</w:t>
                  </w:r>
                </w:p>
              </w:tc>
              <w:tc>
                <w:tcPr>
                  <w:tcW w:w="80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1</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8</w:t>
                  </w:r>
                  <w:r>
                    <w:rPr>
                      <w:rFonts w:hint="default" w:ascii="Times New Roman" w:hAnsi="Times New Roman" w:eastAsia="宋体" w:cs="Times New Roman"/>
                      <w:i w:val="0"/>
                      <w:iCs w:val="0"/>
                      <w:color w:val="000000"/>
                      <w:spacing w:val="0"/>
                      <w:kern w:val="0"/>
                      <w:sz w:val="21"/>
                      <w:szCs w:val="21"/>
                      <w:u w:val="none"/>
                      <w:lang w:val="en-US" w:eastAsia="zh-CN" w:bidi="ar"/>
                    </w:rPr>
                    <w:t>0</w:t>
                  </w:r>
                </w:p>
              </w:tc>
              <w:tc>
                <w:tcPr>
                  <w:tcW w:w="158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default" w:ascii="Times New Roman" w:hAnsi="Times New Roman" w:eastAsia="宋体" w:cs="Times New Roman"/>
                      <w:color w:val="000000"/>
                      <w:spacing w:val="0"/>
                      <w:kern w:val="0"/>
                      <w:sz w:val="21"/>
                      <w:szCs w:val="21"/>
                      <w:lang w:val="en-US" w:eastAsia="zh-CN" w:bidi="ar"/>
                    </w:rPr>
                    <w:t>减振垫</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75</w:t>
                  </w:r>
                </w:p>
              </w:tc>
              <w:tc>
                <w:tcPr>
                  <w:tcW w:w="826"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3h</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83"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color w:val="000000"/>
                      <w:spacing w:val="0"/>
                      <w:kern w:val="2"/>
                      <w:sz w:val="21"/>
                      <w:szCs w:val="21"/>
                      <w:lang w:val="en-US" w:eastAsia="zh-CN" w:bidi="ar-SA"/>
                    </w:rPr>
                  </w:pPr>
                  <w:r>
                    <w:rPr>
                      <w:rFonts w:hint="eastAsia" w:cs="Times New Roman"/>
                      <w:color w:val="000000"/>
                      <w:spacing w:val="0"/>
                      <w:kern w:val="2"/>
                      <w:sz w:val="21"/>
                      <w:szCs w:val="21"/>
                      <w:lang w:val="en-US" w:eastAsia="zh-CN" w:bidi="ar-SA"/>
                    </w:rPr>
                    <w:t>4</w:t>
                  </w:r>
                </w:p>
              </w:tc>
              <w:tc>
                <w:tcPr>
                  <w:tcW w:w="15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打钉</w:t>
                  </w:r>
                  <w:r>
                    <w:rPr>
                      <w:rFonts w:hint="default" w:ascii="Times New Roman" w:hAnsi="Times New Roman" w:eastAsia="宋体" w:cs="Times New Roman"/>
                      <w:i w:val="0"/>
                      <w:iCs w:val="0"/>
                      <w:color w:val="000000"/>
                      <w:spacing w:val="0"/>
                      <w:kern w:val="0"/>
                      <w:sz w:val="21"/>
                      <w:szCs w:val="21"/>
                      <w:u w:val="none"/>
                      <w:lang w:val="en-US" w:eastAsia="zh-CN" w:bidi="ar"/>
                    </w:rPr>
                    <w:t>机</w:t>
                  </w:r>
                </w:p>
              </w:tc>
              <w:tc>
                <w:tcPr>
                  <w:tcW w:w="88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pacing w:val="0"/>
                      <w:sz w:val="21"/>
                      <w:szCs w:val="21"/>
                      <w:lang w:val="en-US" w:eastAsia="zh-CN"/>
                    </w:rPr>
                  </w:pPr>
                  <w:r>
                    <w:rPr>
                      <w:rFonts w:hint="default" w:ascii="Times New Roman" w:hAnsi="Times New Roman" w:eastAsia="宋体" w:cs="Times New Roman"/>
                      <w:color w:val="000000"/>
                      <w:spacing w:val="0"/>
                      <w:sz w:val="21"/>
                      <w:szCs w:val="21"/>
                      <w:lang w:val="en-US" w:eastAsia="zh-CN"/>
                    </w:rPr>
                    <w:t>频发</w:t>
                  </w:r>
                </w:p>
              </w:tc>
              <w:tc>
                <w:tcPr>
                  <w:tcW w:w="80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4</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6</w:t>
                  </w:r>
                  <w:r>
                    <w:rPr>
                      <w:rFonts w:hint="default" w:ascii="Times New Roman" w:hAnsi="Times New Roman" w:eastAsia="宋体" w:cs="Times New Roman"/>
                      <w:i w:val="0"/>
                      <w:iCs w:val="0"/>
                      <w:color w:val="000000"/>
                      <w:spacing w:val="0"/>
                      <w:kern w:val="0"/>
                      <w:sz w:val="21"/>
                      <w:szCs w:val="21"/>
                      <w:u w:val="none"/>
                      <w:lang w:val="en-US" w:eastAsia="zh-CN" w:bidi="ar"/>
                    </w:rPr>
                    <w:t>5</w:t>
                  </w:r>
                </w:p>
              </w:tc>
              <w:tc>
                <w:tcPr>
                  <w:tcW w:w="158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default" w:ascii="Times New Roman" w:hAnsi="Times New Roman" w:eastAsia="宋体" w:cs="Times New Roman"/>
                      <w:color w:val="000000"/>
                      <w:spacing w:val="0"/>
                      <w:kern w:val="0"/>
                      <w:sz w:val="21"/>
                      <w:szCs w:val="21"/>
                      <w:lang w:val="en-US" w:eastAsia="zh-CN" w:bidi="ar"/>
                    </w:rPr>
                    <w:t>减振垫</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60</w:t>
                  </w:r>
                </w:p>
              </w:tc>
              <w:tc>
                <w:tcPr>
                  <w:tcW w:w="826"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8h</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83"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color w:val="000000"/>
                      <w:spacing w:val="0"/>
                      <w:kern w:val="2"/>
                      <w:sz w:val="21"/>
                      <w:szCs w:val="21"/>
                      <w:lang w:val="en-US" w:eastAsia="zh-CN" w:bidi="ar-SA"/>
                    </w:rPr>
                  </w:pPr>
                  <w:r>
                    <w:rPr>
                      <w:rFonts w:hint="eastAsia" w:cs="Times New Roman"/>
                      <w:color w:val="000000"/>
                      <w:spacing w:val="0"/>
                      <w:kern w:val="2"/>
                      <w:sz w:val="21"/>
                      <w:szCs w:val="21"/>
                      <w:lang w:val="en-US" w:eastAsia="zh-CN" w:bidi="ar-SA"/>
                    </w:rPr>
                    <w:t>5</w:t>
                  </w:r>
                </w:p>
              </w:tc>
              <w:tc>
                <w:tcPr>
                  <w:tcW w:w="15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糊箱机</w:t>
                  </w:r>
                </w:p>
              </w:tc>
              <w:tc>
                <w:tcPr>
                  <w:tcW w:w="88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频发</w:t>
                  </w:r>
                </w:p>
              </w:tc>
              <w:tc>
                <w:tcPr>
                  <w:tcW w:w="80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1</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7</w:t>
                  </w:r>
                  <w:r>
                    <w:rPr>
                      <w:rFonts w:hint="eastAsia" w:ascii="Times New Roman" w:hAnsi="Times New Roman" w:eastAsia="宋体" w:cs="Times New Roman"/>
                      <w:i w:val="0"/>
                      <w:iCs w:val="0"/>
                      <w:color w:val="000000"/>
                      <w:spacing w:val="0"/>
                      <w:kern w:val="0"/>
                      <w:sz w:val="21"/>
                      <w:szCs w:val="21"/>
                      <w:u w:val="none"/>
                      <w:lang w:val="en-US" w:eastAsia="zh-CN" w:bidi="ar"/>
                    </w:rPr>
                    <w:t>5</w:t>
                  </w:r>
                </w:p>
              </w:tc>
              <w:tc>
                <w:tcPr>
                  <w:tcW w:w="158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default" w:ascii="Times New Roman" w:hAnsi="Times New Roman" w:eastAsia="宋体" w:cs="Times New Roman"/>
                      <w:color w:val="000000"/>
                      <w:spacing w:val="0"/>
                      <w:kern w:val="0"/>
                      <w:sz w:val="21"/>
                      <w:szCs w:val="21"/>
                      <w:lang w:val="en-US" w:eastAsia="zh-CN" w:bidi="ar"/>
                    </w:rPr>
                    <w:t>减振垫</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70</w:t>
                  </w:r>
                </w:p>
              </w:tc>
              <w:tc>
                <w:tcPr>
                  <w:tcW w:w="826"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3h</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83"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color w:val="000000"/>
                      <w:spacing w:val="0"/>
                      <w:kern w:val="2"/>
                      <w:sz w:val="21"/>
                      <w:szCs w:val="21"/>
                      <w:lang w:val="en-US" w:eastAsia="zh-CN" w:bidi="ar-SA"/>
                    </w:rPr>
                  </w:pPr>
                  <w:r>
                    <w:rPr>
                      <w:rFonts w:hint="eastAsia" w:cs="Times New Roman"/>
                      <w:color w:val="000000"/>
                      <w:spacing w:val="0"/>
                      <w:kern w:val="2"/>
                      <w:sz w:val="21"/>
                      <w:szCs w:val="21"/>
                      <w:lang w:val="en-US" w:eastAsia="zh-CN" w:bidi="ar-SA"/>
                    </w:rPr>
                    <w:t>6</w:t>
                  </w:r>
                </w:p>
              </w:tc>
              <w:tc>
                <w:tcPr>
                  <w:tcW w:w="15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平面下料机</w:t>
                  </w:r>
                </w:p>
              </w:tc>
              <w:tc>
                <w:tcPr>
                  <w:tcW w:w="88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频发</w:t>
                  </w:r>
                </w:p>
              </w:tc>
              <w:tc>
                <w:tcPr>
                  <w:tcW w:w="80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1</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8</w:t>
                  </w:r>
                  <w:r>
                    <w:rPr>
                      <w:rFonts w:hint="eastAsia" w:ascii="Times New Roman" w:hAnsi="Times New Roman" w:eastAsia="宋体" w:cs="Times New Roman"/>
                      <w:i w:val="0"/>
                      <w:iCs w:val="0"/>
                      <w:color w:val="000000"/>
                      <w:spacing w:val="0"/>
                      <w:kern w:val="0"/>
                      <w:sz w:val="21"/>
                      <w:szCs w:val="21"/>
                      <w:u w:val="none"/>
                      <w:lang w:val="en-US" w:eastAsia="zh-CN" w:bidi="ar"/>
                    </w:rPr>
                    <w:t>0</w:t>
                  </w:r>
                </w:p>
              </w:tc>
              <w:tc>
                <w:tcPr>
                  <w:tcW w:w="158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default" w:ascii="Times New Roman" w:hAnsi="Times New Roman" w:eastAsia="宋体" w:cs="Times New Roman"/>
                      <w:color w:val="000000"/>
                      <w:spacing w:val="0"/>
                      <w:kern w:val="0"/>
                      <w:sz w:val="21"/>
                      <w:szCs w:val="21"/>
                      <w:lang w:val="en-US" w:eastAsia="zh-CN" w:bidi="ar"/>
                    </w:rPr>
                    <w:t>减振垫</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75</w:t>
                  </w:r>
                </w:p>
              </w:tc>
              <w:tc>
                <w:tcPr>
                  <w:tcW w:w="826" w:type="dxa"/>
                  <w:vMerge w:val="restart"/>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8h</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83"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color w:val="000000"/>
                      <w:spacing w:val="0"/>
                      <w:kern w:val="2"/>
                      <w:sz w:val="21"/>
                      <w:szCs w:val="21"/>
                      <w:lang w:val="en-US" w:eastAsia="zh-CN" w:bidi="ar-SA"/>
                    </w:rPr>
                  </w:pPr>
                  <w:r>
                    <w:rPr>
                      <w:rFonts w:hint="eastAsia" w:cs="Times New Roman"/>
                      <w:color w:val="000000"/>
                      <w:spacing w:val="0"/>
                      <w:kern w:val="2"/>
                      <w:sz w:val="21"/>
                      <w:szCs w:val="21"/>
                      <w:lang w:val="en-US" w:eastAsia="zh-CN" w:bidi="ar-SA"/>
                    </w:rPr>
                    <w:t>7</w:t>
                  </w:r>
                </w:p>
              </w:tc>
              <w:tc>
                <w:tcPr>
                  <w:tcW w:w="15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普通锯床</w:t>
                  </w:r>
                </w:p>
              </w:tc>
              <w:tc>
                <w:tcPr>
                  <w:tcW w:w="88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pacing w:val="0"/>
                      <w:sz w:val="21"/>
                      <w:szCs w:val="21"/>
                      <w:lang w:val="en-US" w:eastAsia="zh-CN"/>
                    </w:rPr>
                  </w:pPr>
                  <w:r>
                    <w:rPr>
                      <w:rFonts w:hint="eastAsia" w:cs="Times New Roman"/>
                      <w:color w:val="000000"/>
                      <w:spacing w:val="0"/>
                      <w:sz w:val="21"/>
                      <w:szCs w:val="21"/>
                      <w:lang w:val="en-US" w:eastAsia="zh-CN"/>
                    </w:rPr>
                    <w:t>频发</w:t>
                  </w:r>
                </w:p>
              </w:tc>
              <w:tc>
                <w:tcPr>
                  <w:tcW w:w="80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1</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85</w:t>
                  </w:r>
                </w:p>
              </w:tc>
              <w:tc>
                <w:tcPr>
                  <w:tcW w:w="158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color w:val="000000"/>
                      <w:spacing w:val="0"/>
                      <w:kern w:val="0"/>
                      <w:sz w:val="21"/>
                      <w:szCs w:val="21"/>
                      <w:lang w:val="en-US" w:eastAsia="zh-CN" w:bidi="ar"/>
                    </w:rPr>
                  </w:pPr>
                  <w:r>
                    <w:rPr>
                      <w:rFonts w:hint="default" w:ascii="Times New Roman" w:hAnsi="Times New Roman" w:eastAsia="宋体" w:cs="Times New Roman"/>
                      <w:color w:val="000000"/>
                      <w:spacing w:val="0"/>
                      <w:kern w:val="0"/>
                      <w:sz w:val="21"/>
                      <w:szCs w:val="21"/>
                      <w:lang w:val="en-US" w:eastAsia="zh-CN" w:bidi="ar"/>
                    </w:rPr>
                    <w:t>减振垫</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80</w:t>
                  </w:r>
                </w:p>
              </w:tc>
              <w:tc>
                <w:tcPr>
                  <w:tcW w:w="826" w:type="dxa"/>
                  <w:vMerge w:val="continue"/>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83"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color w:val="000000"/>
                      <w:spacing w:val="0"/>
                      <w:kern w:val="2"/>
                      <w:sz w:val="21"/>
                      <w:szCs w:val="21"/>
                      <w:lang w:val="en-US" w:eastAsia="zh-CN" w:bidi="ar-SA"/>
                    </w:rPr>
                  </w:pPr>
                  <w:r>
                    <w:rPr>
                      <w:rFonts w:hint="eastAsia" w:cs="Times New Roman"/>
                      <w:color w:val="000000"/>
                      <w:spacing w:val="0"/>
                      <w:kern w:val="2"/>
                      <w:sz w:val="21"/>
                      <w:szCs w:val="21"/>
                      <w:lang w:val="en-US" w:eastAsia="zh-CN" w:bidi="ar-SA"/>
                    </w:rPr>
                    <w:t>8</w:t>
                  </w:r>
                </w:p>
              </w:tc>
              <w:tc>
                <w:tcPr>
                  <w:tcW w:w="15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压刨床</w:t>
                  </w:r>
                </w:p>
              </w:tc>
              <w:tc>
                <w:tcPr>
                  <w:tcW w:w="88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cs="Times New Roman"/>
                      <w:color w:val="000000"/>
                      <w:spacing w:val="0"/>
                      <w:sz w:val="21"/>
                      <w:szCs w:val="21"/>
                      <w:lang w:val="en-US" w:eastAsia="zh-CN"/>
                    </w:rPr>
                  </w:pPr>
                  <w:r>
                    <w:rPr>
                      <w:rFonts w:hint="eastAsia" w:cs="Times New Roman"/>
                      <w:color w:val="000000"/>
                      <w:spacing w:val="0"/>
                      <w:sz w:val="21"/>
                      <w:szCs w:val="21"/>
                      <w:lang w:val="en-US" w:eastAsia="zh-CN"/>
                    </w:rPr>
                    <w:t>频发</w:t>
                  </w:r>
                </w:p>
              </w:tc>
              <w:tc>
                <w:tcPr>
                  <w:tcW w:w="80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1</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65</w:t>
                  </w:r>
                </w:p>
              </w:tc>
              <w:tc>
                <w:tcPr>
                  <w:tcW w:w="158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eastAsia" w:ascii="Times New Roman" w:hAnsi="Times New Roman" w:eastAsia="宋体" w:cs="Times New Roman"/>
                      <w:color w:val="000000"/>
                      <w:spacing w:val="0"/>
                      <w:kern w:val="0"/>
                      <w:sz w:val="21"/>
                      <w:szCs w:val="21"/>
                      <w:lang w:val="en-US" w:eastAsia="zh-CN" w:bidi="ar"/>
                    </w:rPr>
                  </w:pPr>
                  <w:r>
                    <w:rPr>
                      <w:rFonts w:hint="default" w:ascii="Times New Roman" w:hAnsi="Times New Roman" w:eastAsia="宋体" w:cs="Times New Roman"/>
                      <w:color w:val="000000"/>
                      <w:spacing w:val="0"/>
                      <w:kern w:val="0"/>
                      <w:sz w:val="21"/>
                      <w:szCs w:val="21"/>
                      <w:lang w:val="en-US" w:eastAsia="zh-CN" w:bidi="ar"/>
                    </w:rPr>
                    <w:t>减振垫</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60</w:t>
                  </w:r>
                </w:p>
              </w:tc>
              <w:tc>
                <w:tcPr>
                  <w:tcW w:w="826" w:type="dxa"/>
                  <w:vMerge w:val="continue"/>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83"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color w:val="000000"/>
                      <w:spacing w:val="0"/>
                      <w:kern w:val="2"/>
                      <w:sz w:val="21"/>
                      <w:szCs w:val="21"/>
                      <w:lang w:val="en-US" w:eastAsia="zh-CN" w:bidi="ar-SA"/>
                    </w:rPr>
                  </w:pPr>
                  <w:r>
                    <w:rPr>
                      <w:rFonts w:hint="eastAsia" w:cs="Times New Roman"/>
                      <w:color w:val="000000"/>
                      <w:spacing w:val="0"/>
                      <w:kern w:val="2"/>
                      <w:sz w:val="21"/>
                      <w:szCs w:val="21"/>
                      <w:lang w:val="en-US" w:eastAsia="zh-CN" w:bidi="ar-SA"/>
                    </w:rPr>
                    <w:t>9</w:t>
                  </w:r>
                </w:p>
              </w:tc>
              <w:tc>
                <w:tcPr>
                  <w:tcW w:w="15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半自动捆绑机</w:t>
                  </w:r>
                </w:p>
              </w:tc>
              <w:tc>
                <w:tcPr>
                  <w:tcW w:w="88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cs="Times New Roman"/>
                      <w:color w:val="000000"/>
                      <w:spacing w:val="0"/>
                      <w:sz w:val="21"/>
                      <w:szCs w:val="21"/>
                      <w:lang w:val="en-US" w:eastAsia="zh-CN"/>
                    </w:rPr>
                  </w:pPr>
                  <w:r>
                    <w:rPr>
                      <w:rFonts w:hint="eastAsia" w:cs="Times New Roman"/>
                      <w:color w:val="000000"/>
                      <w:spacing w:val="0"/>
                      <w:sz w:val="21"/>
                      <w:szCs w:val="21"/>
                      <w:lang w:val="en-US" w:eastAsia="zh-CN"/>
                    </w:rPr>
                    <w:t>频发</w:t>
                  </w:r>
                </w:p>
              </w:tc>
              <w:tc>
                <w:tcPr>
                  <w:tcW w:w="80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2</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55</w:t>
                  </w:r>
                </w:p>
              </w:tc>
              <w:tc>
                <w:tcPr>
                  <w:tcW w:w="158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eastAsia" w:ascii="Times New Roman" w:hAnsi="Times New Roman" w:eastAsia="宋体" w:cs="Times New Roman"/>
                      <w:color w:val="000000"/>
                      <w:spacing w:val="0"/>
                      <w:kern w:val="0"/>
                      <w:sz w:val="21"/>
                      <w:szCs w:val="21"/>
                      <w:lang w:val="en-US" w:eastAsia="zh-CN" w:bidi="ar"/>
                    </w:rPr>
                  </w:pPr>
                  <w:r>
                    <w:rPr>
                      <w:rFonts w:hint="default" w:ascii="Times New Roman" w:hAnsi="Times New Roman" w:eastAsia="宋体" w:cs="Times New Roman"/>
                      <w:color w:val="000000"/>
                      <w:spacing w:val="0"/>
                      <w:kern w:val="0"/>
                      <w:sz w:val="21"/>
                      <w:szCs w:val="21"/>
                      <w:lang w:val="en-US" w:eastAsia="zh-CN" w:bidi="ar"/>
                    </w:rPr>
                    <w:t>减振垫</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50</w:t>
                  </w:r>
                </w:p>
              </w:tc>
              <w:tc>
                <w:tcPr>
                  <w:tcW w:w="826" w:type="dxa"/>
                  <w:vMerge w:val="continue"/>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83"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color w:val="000000"/>
                      <w:spacing w:val="0"/>
                      <w:kern w:val="2"/>
                      <w:sz w:val="21"/>
                      <w:szCs w:val="21"/>
                      <w:lang w:val="en-US" w:eastAsia="zh-CN" w:bidi="ar-SA"/>
                    </w:rPr>
                  </w:pPr>
                  <w:r>
                    <w:rPr>
                      <w:rFonts w:hint="eastAsia" w:cs="Times New Roman"/>
                      <w:color w:val="000000"/>
                      <w:spacing w:val="0"/>
                      <w:kern w:val="2"/>
                      <w:sz w:val="21"/>
                      <w:szCs w:val="21"/>
                      <w:lang w:val="en-US" w:eastAsia="zh-CN" w:bidi="ar-SA"/>
                    </w:rPr>
                    <w:t>10</w:t>
                  </w:r>
                </w:p>
              </w:tc>
              <w:tc>
                <w:tcPr>
                  <w:tcW w:w="15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泡棉直切机</w:t>
                  </w:r>
                </w:p>
              </w:tc>
              <w:tc>
                <w:tcPr>
                  <w:tcW w:w="88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cs="Times New Roman"/>
                      <w:color w:val="000000"/>
                      <w:spacing w:val="0"/>
                      <w:sz w:val="21"/>
                      <w:szCs w:val="21"/>
                      <w:lang w:val="en-US" w:eastAsia="zh-CN"/>
                    </w:rPr>
                  </w:pPr>
                  <w:r>
                    <w:rPr>
                      <w:rFonts w:hint="eastAsia" w:cs="Times New Roman"/>
                      <w:color w:val="000000"/>
                      <w:spacing w:val="0"/>
                      <w:sz w:val="21"/>
                      <w:szCs w:val="21"/>
                      <w:lang w:val="en-US" w:eastAsia="zh-CN"/>
                    </w:rPr>
                    <w:t>频发</w:t>
                  </w:r>
                </w:p>
              </w:tc>
              <w:tc>
                <w:tcPr>
                  <w:tcW w:w="80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2</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60</w:t>
                  </w:r>
                </w:p>
              </w:tc>
              <w:tc>
                <w:tcPr>
                  <w:tcW w:w="158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eastAsia" w:ascii="Times New Roman" w:hAnsi="Times New Roman" w:eastAsia="宋体" w:cs="Times New Roman"/>
                      <w:color w:val="000000"/>
                      <w:spacing w:val="0"/>
                      <w:kern w:val="0"/>
                      <w:sz w:val="21"/>
                      <w:szCs w:val="21"/>
                      <w:lang w:val="en-US" w:eastAsia="zh-CN" w:bidi="ar"/>
                    </w:rPr>
                  </w:pPr>
                  <w:r>
                    <w:rPr>
                      <w:rFonts w:hint="default" w:ascii="Times New Roman" w:hAnsi="Times New Roman" w:eastAsia="宋体" w:cs="Times New Roman"/>
                      <w:color w:val="000000"/>
                      <w:spacing w:val="0"/>
                      <w:kern w:val="0"/>
                      <w:sz w:val="21"/>
                      <w:szCs w:val="21"/>
                      <w:lang w:val="en-US" w:eastAsia="zh-CN" w:bidi="ar"/>
                    </w:rPr>
                    <w:t>减振垫</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55</w:t>
                  </w:r>
                </w:p>
              </w:tc>
              <w:tc>
                <w:tcPr>
                  <w:tcW w:w="826" w:type="dxa"/>
                  <w:vMerge w:val="continue"/>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83"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color w:val="000000"/>
                      <w:spacing w:val="0"/>
                      <w:kern w:val="2"/>
                      <w:sz w:val="21"/>
                      <w:szCs w:val="21"/>
                      <w:lang w:val="en-US" w:eastAsia="zh-CN" w:bidi="ar-SA"/>
                    </w:rPr>
                  </w:pPr>
                  <w:r>
                    <w:rPr>
                      <w:rFonts w:hint="eastAsia" w:cs="Times New Roman"/>
                      <w:color w:val="000000"/>
                      <w:spacing w:val="0"/>
                      <w:kern w:val="2"/>
                      <w:sz w:val="21"/>
                      <w:szCs w:val="21"/>
                      <w:lang w:val="en-US" w:eastAsia="zh-CN" w:bidi="ar-SA"/>
                    </w:rPr>
                    <w:t>11</w:t>
                  </w:r>
                </w:p>
              </w:tc>
              <w:tc>
                <w:tcPr>
                  <w:tcW w:w="15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中空板裁切机</w:t>
                  </w:r>
                </w:p>
              </w:tc>
              <w:tc>
                <w:tcPr>
                  <w:tcW w:w="88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cs="Times New Roman"/>
                      <w:color w:val="000000"/>
                      <w:spacing w:val="0"/>
                      <w:sz w:val="21"/>
                      <w:szCs w:val="21"/>
                      <w:lang w:val="en-US" w:eastAsia="zh-CN"/>
                    </w:rPr>
                  </w:pPr>
                  <w:r>
                    <w:rPr>
                      <w:rFonts w:hint="eastAsia" w:cs="Times New Roman"/>
                      <w:color w:val="000000"/>
                      <w:spacing w:val="0"/>
                      <w:sz w:val="21"/>
                      <w:szCs w:val="21"/>
                      <w:lang w:val="en-US" w:eastAsia="zh-CN"/>
                    </w:rPr>
                    <w:t>频发</w:t>
                  </w:r>
                </w:p>
              </w:tc>
              <w:tc>
                <w:tcPr>
                  <w:tcW w:w="80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1</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60</w:t>
                  </w:r>
                </w:p>
              </w:tc>
              <w:tc>
                <w:tcPr>
                  <w:tcW w:w="158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eastAsia" w:ascii="Times New Roman" w:hAnsi="Times New Roman" w:eastAsia="宋体" w:cs="Times New Roman"/>
                      <w:color w:val="000000"/>
                      <w:spacing w:val="0"/>
                      <w:kern w:val="0"/>
                      <w:sz w:val="21"/>
                      <w:szCs w:val="21"/>
                      <w:lang w:val="en-US" w:eastAsia="zh-CN" w:bidi="ar"/>
                    </w:rPr>
                  </w:pPr>
                  <w:r>
                    <w:rPr>
                      <w:rFonts w:hint="default" w:ascii="Times New Roman" w:hAnsi="Times New Roman" w:eastAsia="宋体" w:cs="Times New Roman"/>
                      <w:color w:val="000000"/>
                      <w:spacing w:val="0"/>
                      <w:kern w:val="0"/>
                      <w:sz w:val="21"/>
                      <w:szCs w:val="21"/>
                      <w:lang w:val="en-US" w:eastAsia="zh-CN" w:bidi="ar"/>
                    </w:rPr>
                    <w:t>减振垫</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55</w:t>
                  </w:r>
                </w:p>
              </w:tc>
              <w:tc>
                <w:tcPr>
                  <w:tcW w:w="826" w:type="dxa"/>
                  <w:vMerge w:val="continue"/>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83"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color w:val="000000"/>
                      <w:spacing w:val="0"/>
                      <w:kern w:val="2"/>
                      <w:sz w:val="21"/>
                      <w:szCs w:val="21"/>
                      <w:lang w:val="en-US" w:eastAsia="zh-CN" w:bidi="ar-SA"/>
                    </w:rPr>
                  </w:pPr>
                  <w:r>
                    <w:rPr>
                      <w:rFonts w:hint="eastAsia" w:cs="Times New Roman"/>
                      <w:color w:val="000000"/>
                      <w:spacing w:val="0"/>
                      <w:kern w:val="2"/>
                      <w:sz w:val="21"/>
                      <w:szCs w:val="21"/>
                      <w:lang w:val="en-US" w:eastAsia="zh-CN" w:bidi="ar-SA"/>
                    </w:rPr>
                    <w:t>12</w:t>
                  </w:r>
                </w:p>
              </w:tc>
              <w:tc>
                <w:tcPr>
                  <w:tcW w:w="15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热熔机</w:t>
                  </w:r>
                </w:p>
              </w:tc>
              <w:tc>
                <w:tcPr>
                  <w:tcW w:w="88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cs="Times New Roman"/>
                      <w:color w:val="000000"/>
                      <w:spacing w:val="0"/>
                      <w:sz w:val="21"/>
                      <w:szCs w:val="21"/>
                      <w:lang w:val="en-US" w:eastAsia="zh-CN"/>
                    </w:rPr>
                  </w:pPr>
                  <w:r>
                    <w:rPr>
                      <w:rFonts w:hint="eastAsia" w:cs="Times New Roman"/>
                      <w:color w:val="000000"/>
                      <w:spacing w:val="0"/>
                      <w:sz w:val="21"/>
                      <w:szCs w:val="21"/>
                      <w:lang w:val="en-US" w:eastAsia="zh-CN"/>
                    </w:rPr>
                    <w:t>频发</w:t>
                  </w:r>
                </w:p>
              </w:tc>
              <w:tc>
                <w:tcPr>
                  <w:tcW w:w="80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1</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65</w:t>
                  </w:r>
                </w:p>
              </w:tc>
              <w:tc>
                <w:tcPr>
                  <w:tcW w:w="158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eastAsia" w:ascii="Times New Roman" w:hAnsi="Times New Roman" w:eastAsia="宋体" w:cs="Times New Roman"/>
                      <w:color w:val="000000"/>
                      <w:spacing w:val="0"/>
                      <w:kern w:val="0"/>
                      <w:sz w:val="21"/>
                      <w:szCs w:val="21"/>
                      <w:lang w:val="en-US" w:eastAsia="zh-CN" w:bidi="ar"/>
                    </w:rPr>
                  </w:pPr>
                  <w:r>
                    <w:rPr>
                      <w:rFonts w:hint="default" w:ascii="Times New Roman" w:hAnsi="Times New Roman" w:eastAsia="宋体" w:cs="Times New Roman"/>
                      <w:color w:val="000000"/>
                      <w:spacing w:val="0"/>
                      <w:kern w:val="0"/>
                      <w:sz w:val="21"/>
                      <w:szCs w:val="21"/>
                      <w:lang w:val="en-US" w:eastAsia="zh-CN" w:bidi="ar"/>
                    </w:rPr>
                    <w:t>减振垫</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60</w:t>
                  </w:r>
                </w:p>
              </w:tc>
              <w:tc>
                <w:tcPr>
                  <w:tcW w:w="826"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3h</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83"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color w:val="000000"/>
                      <w:spacing w:val="0"/>
                      <w:kern w:val="2"/>
                      <w:sz w:val="21"/>
                      <w:szCs w:val="21"/>
                      <w:lang w:val="en-US" w:eastAsia="zh-CN" w:bidi="ar-SA"/>
                    </w:rPr>
                  </w:pPr>
                  <w:r>
                    <w:rPr>
                      <w:rFonts w:hint="eastAsia" w:cs="Times New Roman"/>
                      <w:color w:val="000000"/>
                      <w:spacing w:val="0"/>
                      <w:kern w:val="2"/>
                      <w:sz w:val="21"/>
                      <w:szCs w:val="21"/>
                      <w:lang w:val="en-US" w:eastAsia="zh-CN" w:bidi="ar-SA"/>
                    </w:rPr>
                    <w:t>13</w:t>
                  </w:r>
                </w:p>
              </w:tc>
              <w:tc>
                <w:tcPr>
                  <w:tcW w:w="15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风机</w:t>
                  </w:r>
                </w:p>
              </w:tc>
              <w:tc>
                <w:tcPr>
                  <w:tcW w:w="88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pacing w:val="0"/>
                      <w:sz w:val="21"/>
                      <w:szCs w:val="21"/>
                      <w:lang w:val="en-US" w:eastAsia="zh-CN"/>
                    </w:rPr>
                  </w:pPr>
                  <w:r>
                    <w:rPr>
                      <w:rFonts w:hint="eastAsia" w:cs="Times New Roman"/>
                      <w:color w:val="000000"/>
                      <w:spacing w:val="0"/>
                      <w:sz w:val="21"/>
                      <w:szCs w:val="21"/>
                      <w:lang w:val="en-US" w:eastAsia="zh-CN"/>
                    </w:rPr>
                    <w:t>频发</w:t>
                  </w:r>
                </w:p>
              </w:tc>
              <w:tc>
                <w:tcPr>
                  <w:tcW w:w="80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1</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95</w:t>
                  </w:r>
                </w:p>
              </w:tc>
              <w:tc>
                <w:tcPr>
                  <w:tcW w:w="1580" w:type="dxa"/>
                  <w:vMerge w:val="restart"/>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隔声罩、消声器、柔性软接头、减振垫</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20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75</w:t>
                  </w:r>
                </w:p>
              </w:tc>
              <w:tc>
                <w:tcPr>
                  <w:tcW w:w="826"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3h</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83"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color w:val="000000"/>
                      <w:spacing w:val="0"/>
                      <w:kern w:val="2"/>
                      <w:sz w:val="21"/>
                      <w:szCs w:val="21"/>
                      <w:lang w:val="en-US" w:eastAsia="zh-CN" w:bidi="ar-SA"/>
                    </w:rPr>
                  </w:pPr>
                  <w:r>
                    <w:rPr>
                      <w:rFonts w:hint="eastAsia" w:cs="Times New Roman"/>
                      <w:color w:val="000000"/>
                      <w:spacing w:val="0"/>
                      <w:kern w:val="2"/>
                      <w:sz w:val="21"/>
                      <w:szCs w:val="21"/>
                      <w:lang w:val="en-US" w:eastAsia="zh-CN" w:bidi="ar-SA"/>
                    </w:rPr>
                    <w:t>14</w:t>
                  </w:r>
                </w:p>
              </w:tc>
              <w:tc>
                <w:tcPr>
                  <w:tcW w:w="15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风机</w:t>
                  </w:r>
                </w:p>
              </w:tc>
              <w:tc>
                <w:tcPr>
                  <w:tcW w:w="88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cs="Times New Roman"/>
                      <w:color w:val="000000"/>
                      <w:spacing w:val="0"/>
                      <w:sz w:val="21"/>
                      <w:szCs w:val="21"/>
                      <w:lang w:val="en-US" w:eastAsia="zh-CN"/>
                    </w:rPr>
                  </w:pPr>
                  <w:r>
                    <w:rPr>
                      <w:rFonts w:hint="eastAsia" w:cs="Times New Roman"/>
                      <w:color w:val="000000"/>
                      <w:spacing w:val="0"/>
                      <w:sz w:val="21"/>
                      <w:szCs w:val="21"/>
                      <w:lang w:val="en-US" w:eastAsia="zh-CN"/>
                    </w:rPr>
                    <w:t>频发</w:t>
                  </w:r>
                </w:p>
              </w:tc>
              <w:tc>
                <w:tcPr>
                  <w:tcW w:w="80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1</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90</w:t>
                  </w:r>
                </w:p>
              </w:tc>
              <w:tc>
                <w:tcPr>
                  <w:tcW w:w="1580" w:type="dxa"/>
                  <w:vMerge w:val="continue"/>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ascii="Times New Roman" w:hAnsi="Times New Roman" w:eastAsia="宋体" w:cs="Times New Roman"/>
                      <w:i w:val="0"/>
                      <w:iCs w:val="0"/>
                      <w:color w:val="000000"/>
                      <w:spacing w:val="0"/>
                      <w:kern w:val="0"/>
                      <w:sz w:val="21"/>
                      <w:szCs w:val="21"/>
                      <w:u w:val="none"/>
                      <w:lang w:val="en-US" w:eastAsia="zh-CN" w:bidi="ar"/>
                    </w:rPr>
                  </w:pP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20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default" w:cs="Times New Roman"/>
                      <w:i w:val="0"/>
                      <w:iCs w:val="0"/>
                      <w:color w:val="000000"/>
                      <w:spacing w:val="0"/>
                      <w:kern w:val="0"/>
                      <w:sz w:val="21"/>
                      <w:szCs w:val="21"/>
                      <w:u w:val="none"/>
                      <w:lang w:val="en-US" w:eastAsia="zh-CN" w:bidi="ar"/>
                    </w:rPr>
                  </w:pPr>
                  <w:r>
                    <w:rPr>
                      <w:rFonts w:hint="eastAsia" w:cs="Times New Roman"/>
                      <w:i w:val="0"/>
                      <w:iCs w:val="0"/>
                      <w:color w:val="000000"/>
                      <w:spacing w:val="0"/>
                      <w:kern w:val="0"/>
                      <w:sz w:val="21"/>
                      <w:szCs w:val="21"/>
                      <w:u w:val="none"/>
                      <w:lang w:val="en-US" w:eastAsia="zh-CN" w:bidi="ar"/>
                    </w:rPr>
                    <w:t>70</w:t>
                  </w:r>
                </w:p>
              </w:tc>
              <w:tc>
                <w:tcPr>
                  <w:tcW w:w="826"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outlineLvl w:val="9"/>
                    <w:rPr>
                      <w:rFonts w:hint="eastAsia" w:cs="Times New Roman"/>
                      <w:i w:val="0"/>
                      <w:iCs w:val="0"/>
                      <w:color w:val="000000"/>
                      <w:spacing w:val="0"/>
                      <w:kern w:val="0"/>
                      <w:sz w:val="21"/>
                      <w:szCs w:val="21"/>
                      <w:u w:val="none"/>
                      <w:lang w:val="en-US" w:eastAsia="zh-CN" w:bidi="ar"/>
                    </w:rPr>
                  </w:pPr>
                  <w:r>
                    <w:rPr>
                      <w:rFonts w:hint="eastAsia" w:ascii="Times New Roman" w:hAnsi="Times New Roman" w:eastAsia="宋体" w:cs="Times New Roman"/>
                      <w:i w:val="0"/>
                      <w:iCs w:val="0"/>
                      <w:color w:val="000000"/>
                      <w:spacing w:val="0"/>
                      <w:kern w:val="0"/>
                      <w:sz w:val="21"/>
                      <w:szCs w:val="21"/>
                      <w:u w:val="none"/>
                      <w:lang w:val="en-US" w:eastAsia="zh-CN" w:bidi="ar"/>
                    </w:rPr>
                    <w:t>8h</w:t>
                  </w:r>
                </w:p>
              </w:tc>
            </w:tr>
          </w:tbl>
          <w:p>
            <w:pPr>
              <w:keepNext w:val="0"/>
              <w:keepLines w:val="0"/>
              <w:pageBreakBefore w:val="0"/>
              <w:widowControl w:val="0"/>
              <w:numPr>
                <w:ilvl w:val="-1"/>
                <w:numId w:val="0"/>
              </w:numPr>
              <w:kinsoku/>
              <w:wordWrap/>
              <w:overflowPunct/>
              <w:topLinePunct w:val="0"/>
              <w:autoSpaceDE/>
              <w:autoSpaceDN/>
              <w:bidi w:val="0"/>
              <w:adjustRightInd/>
              <w:snapToGrid w:val="0"/>
              <w:spacing w:line="500" w:lineRule="exact"/>
              <w:ind w:left="0" w:leftChars="0" w:firstLine="482" w:firstLineChars="200"/>
              <w:textAlignment w:val="auto"/>
              <w:rPr>
                <w:b/>
                <w:bCs/>
                <w:spacing w:val="0"/>
                <w:sz w:val="24"/>
              </w:rPr>
            </w:pPr>
            <w:r>
              <w:rPr>
                <w:rFonts w:hint="eastAsia"/>
                <w:b/>
                <w:bCs/>
                <w:spacing w:val="0"/>
                <w:sz w:val="24"/>
                <w:lang w:eastAsia="zh-CN"/>
              </w:rPr>
              <w:t>（</w:t>
            </w:r>
            <w:r>
              <w:rPr>
                <w:rFonts w:hint="eastAsia"/>
                <w:b/>
                <w:bCs/>
                <w:spacing w:val="0"/>
                <w:sz w:val="24"/>
                <w:lang w:val="en-US" w:eastAsia="zh-CN"/>
              </w:rPr>
              <w:t>2</w:t>
            </w:r>
            <w:r>
              <w:rPr>
                <w:rFonts w:hint="eastAsia"/>
                <w:b/>
                <w:bCs/>
                <w:spacing w:val="0"/>
                <w:sz w:val="24"/>
                <w:lang w:eastAsia="zh-CN"/>
              </w:rPr>
              <w:t>）</w:t>
            </w:r>
            <w:r>
              <w:rPr>
                <w:b/>
                <w:bCs/>
                <w:spacing w:val="0"/>
                <w:sz w:val="24"/>
              </w:rPr>
              <w:t>厂界达标情况分析</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spacing w:val="0"/>
                <w:sz w:val="24"/>
              </w:rPr>
            </w:pPr>
            <w:r>
              <w:rPr>
                <w:rFonts w:hint="eastAsia" w:cs="宋体"/>
                <w:spacing w:val="0"/>
                <w:kern w:val="0"/>
                <w:sz w:val="24"/>
              </w:rPr>
              <w:t>根据《环境影响评价技术导则</w:t>
            </w:r>
            <w:r>
              <w:rPr>
                <w:rFonts w:hint="eastAsia" w:cs="宋体"/>
                <w:spacing w:val="0"/>
                <w:kern w:val="0"/>
                <w:sz w:val="24"/>
                <w:lang w:val="en-US" w:eastAsia="zh-CN"/>
              </w:rPr>
              <w:t xml:space="preserve"> </w:t>
            </w:r>
            <w:r>
              <w:rPr>
                <w:rFonts w:hint="eastAsia" w:cs="宋体"/>
                <w:spacing w:val="0"/>
                <w:kern w:val="0"/>
                <w:sz w:val="24"/>
              </w:rPr>
              <w:t>声环境》（HJ2.4-20</w:t>
            </w:r>
            <w:r>
              <w:rPr>
                <w:rFonts w:cs="宋体"/>
                <w:spacing w:val="0"/>
                <w:kern w:val="0"/>
                <w:sz w:val="24"/>
              </w:rPr>
              <w:t>21</w:t>
            </w:r>
            <w:r>
              <w:rPr>
                <w:rFonts w:hint="eastAsia" w:cs="宋体"/>
                <w:spacing w:val="0"/>
                <w:kern w:val="0"/>
                <w:sz w:val="24"/>
              </w:rPr>
              <w:t>）中规定，</w:t>
            </w:r>
            <w:r>
              <w:rPr>
                <w:spacing w:val="0"/>
                <w:sz w:val="24"/>
              </w:rPr>
              <w:t>选取预测模式，应用过程中将根据具体情况作必要简化。</w:t>
            </w:r>
            <w:r>
              <w:rPr>
                <w:rFonts w:hint="eastAsia"/>
                <w:spacing w:val="0"/>
                <w:sz w:val="24"/>
              </w:rPr>
              <w:t>声环境影响评价中声级的叠加是按能量（声功率或声压平方）相加的（声压级及声功率级的叠加计算均为下式）。</w:t>
            </w:r>
          </w:p>
          <w:p>
            <w:pPr>
              <w:snapToGrid w:val="0"/>
              <w:spacing w:line="324" w:lineRule="auto"/>
              <w:ind w:firstLine="420" w:firstLineChars="200"/>
              <w:jc w:val="center"/>
              <w:rPr>
                <w:spacing w:val="0"/>
                <w:sz w:val="24"/>
              </w:rPr>
            </w:pPr>
            <w:r>
              <w:rPr>
                <w:spacing w:val="0"/>
              </w:rPr>
              <w:drawing>
                <wp:anchor distT="0" distB="0" distL="114300" distR="114300" simplePos="0" relativeHeight="251661312" behindDoc="0" locked="0" layoutInCell="1" allowOverlap="1">
                  <wp:simplePos x="0" y="0"/>
                  <wp:positionH relativeFrom="column">
                    <wp:posOffset>238760</wp:posOffset>
                  </wp:positionH>
                  <wp:positionV relativeFrom="paragraph">
                    <wp:posOffset>654050</wp:posOffset>
                  </wp:positionV>
                  <wp:extent cx="355600" cy="330200"/>
                  <wp:effectExtent l="0" t="0" r="6350" b="12700"/>
                  <wp:wrapNone/>
                  <wp:docPr id="1" name="图片 1" descr="图片包含 游戏机, 家具, 桌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 家具, 桌子&#10;&#10;描述已自动生成"/>
                          <pic:cNvPicPr>
                            <a:picLocks noChangeAspect="1"/>
                          </pic:cNvPicPr>
                        </pic:nvPicPr>
                        <pic:blipFill>
                          <a:blip r:embed="rId26"/>
                          <a:stretch>
                            <a:fillRect/>
                          </a:stretch>
                        </pic:blipFill>
                        <pic:spPr>
                          <a:xfrm>
                            <a:off x="0" y="0"/>
                            <a:ext cx="355600" cy="330200"/>
                          </a:xfrm>
                          <a:prstGeom prst="rect">
                            <a:avLst/>
                          </a:prstGeom>
                          <a:noFill/>
                          <a:ln>
                            <a:noFill/>
                          </a:ln>
                        </pic:spPr>
                      </pic:pic>
                    </a:graphicData>
                  </a:graphic>
                </wp:anchor>
              </w:drawing>
            </w:r>
            <w:r>
              <w:rPr>
                <w:spacing w:val="0"/>
                <w:sz w:val="24"/>
              </w:rPr>
              <w:object>
                <v:shape id="_x0000_i1034" o:spt="75" type="#_x0000_t75" style="height:48.4pt;width:126pt;" o:ole="t"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34" r:id="rId27">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500" w:lineRule="exact"/>
              <w:ind w:firstLine="960" w:firstLineChars="400"/>
              <w:textAlignment w:val="auto"/>
              <w:rPr>
                <w:spacing w:val="0"/>
                <w:sz w:val="24"/>
              </w:rPr>
            </w:pPr>
            <w:r>
              <w:rPr>
                <w:rFonts w:hint="eastAsia"/>
                <w:spacing w:val="0"/>
                <w:sz w:val="24"/>
              </w:rPr>
              <w:t>—各个噪声源叠加后的总声压级，dB；</w:t>
            </w:r>
          </w:p>
          <w:p>
            <w:pPr>
              <w:keepNext w:val="0"/>
              <w:keepLines w:val="0"/>
              <w:pageBreakBefore w:val="0"/>
              <w:widowControl w:val="0"/>
              <w:kinsoku/>
              <w:wordWrap/>
              <w:overflowPunct/>
              <w:topLinePunct w:val="0"/>
              <w:autoSpaceDE/>
              <w:autoSpaceDN/>
              <w:bidi w:val="0"/>
              <w:adjustRightInd w:val="0"/>
              <w:snapToGrid w:val="0"/>
              <w:spacing w:line="500" w:lineRule="exact"/>
              <w:ind w:firstLine="840" w:firstLineChars="400"/>
              <w:textAlignment w:val="auto"/>
              <w:rPr>
                <w:spacing w:val="0"/>
                <w:sz w:val="24"/>
              </w:rPr>
            </w:pPr>
            <w:r>
              <w:rPr>
                <w:spacing w:val="0"/>
              </w:rPr>
              <w:drawing>
                <wp:anchor distT="0" distB="0" distL="114300" distR="114300" simplePos="0" relativeHeight="251662336" behindDoc="0" locked="0" layoutInCell="1" allowOverlap="1">
                  <wp:simplePos x="0" y="0"/>
                  <wp:positionH relativeFrom="column">
                    <wp:posOffset>269240</wp:posOffset>
                  </wp:positionH>
                  <wp:positionV relativeFrom="paragraph">
                    <wp:posOffset>66040</wp:posOffset>
                  </wp:positionV>
                  <wp:extent cx="335280" cy="233045"/>
                  <wp:effectExtent l="0" t="0" r="7620" b="14605"/>
                  <wp:wrapNone/>
                  <wp:docPr id="3" name="图片 3" descr="图片包含 游戏机, 家具, 桌子, 凳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包含 游戏机, 家具, 桌子, 凳子&#10;&#10;描述已自动生成"/>
                          <pic:cNvPicPr>
                            <a:picLocks noChangeAspect="1"/>
                          </pic:cNvPicPr>
                        </pic:nvPicPr>
                        <pic:blipFill>
                          <a:blip r:embed="rId29"/>
                          <a:stretch>
                            <a:fillRect/>
                          </a:stretch>
                        </pic:blipFill>
                        <pic:spPr>
                          <a:xfrm>
                            <a:off x="0" y="0"/>
                            <a:ext cx="335280" cy="233045"/>
                          </a:xfrm>
                          <a:prstGeom prst="rect">
                            <a:avLst/>
                          </a:prstGeom>
                          <a:noFill/>
                          <a:ln>
                            <a:noFill/>
                          </a:ln>
                        </pic:spPr>
                      </pic:pic>
                    </a:graphicData>
                  </a:graphic>
                </wp:anchor>
              </w:drawing>
            </w:r>
            <w:r>
              <w:rPr>
                <w:rFonts w:hint="eastAsia"/>
                <w:spacing w:val="0"/>
                <w:sz w:val="24"/>
              </w:rPr>
              <w:t>—第i个噪声源的声压级，dB；</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pacing w:val="0"/>
                <w:sz w:val="24"/>
              </w:rPr>
            </w:pPr>
            <w:r>
              <w:rPr>
                <w:rFonts w:hint="eastAsia"/>
                <w:spacing w:val="0"/>
                <w:sz w:val="24"/>
              </w:rPr>
              <w:t>N—噪声源总个数。</w:t>
            </w:r>
            <w:r>
              <w:rPr>
                <w:spacing w:val="0"/>
                <w:sz w:val="24"/>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pacing w:val="0"/>
                <w:sz w:val="24"/>
              </w:rPr>
            </w:pPr>
            <w:r>
              <w:rPr>
                <w:rFonts w:hint="eastAsia"/>
                <w:spacing w:val="0"/>
                <w:sz w:val="24"/>
              </w:rPr>
              <w:t>如果有N个相同声源叠加，则总声压（功率）级为：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center"/>
              <w:textAlignment w:val="auto"/>
              <w:rPr>
                <w:spacing w:val="0"/>
                <w:sz w:val="24"/>
              </w:rPr>
            </w:pPr>
            <w:r>
              <w:rPr>
                <w:spacing w:val="0"/>
                <w:position w:val="-12"/>
                <w:sz w:val="24"/>
              </w:rPr>
              <w:object>
                <v:shape id="_x0000_i1035" o:spt="75" type="#_x0000_t75" style="height:20.5pt;width:95.7pt;" o:ole="t" filled="f" o:preferrelative="t" stroked="f" coordsize="21600,21600">
                  <v:path/>
                  <v:fill on="f" focussize="0,0"/>
                  <v:stroke on="f"/>
                  <v:imagedata r:id="rId31" o:title=""/>
                  <o:lock v:ext="edit" aspectratio="t"/>
                  <w10:wrap type="none"/>
                  <w10:anchorlock/>
                </v:shape>
                <o:OLEObject Type="Embed" ProgID="Equation.DSMT4" ShapeID="_x0000_i1035" DrawAspect="Content" ObjectID="_1468075735" r:id="rId30">
                  <o:LockedField>false</o:LockedField>
                </o:OLEObject>
              </w:object>
            </w:r>
          </w:p>
          <w:p>
            <w:pPr>
              <w:keepNext w:val="0"/>
              <w:keepLines w:val="0"/>
              <w:pageBreakBefore w:val="0"/>
              <w:widowControl w:val="0"/>
              <w:kinsoku/>
              <w:wordWrap/>
              <w:overflowPunct/>
              <w:topLinePunct w:val="0"/>
              <w:autoSpaceDE/>
              <w:autoSpaceDN/>
              <w:bidi w:val="0"/>
              <w:adjustRightInd/>
              <w:spacing w:line="500" w:lineRule="exact"/>
              <w:ind w:left="0" w:leftChars="0" w:firstLine="480" w:firstLineChars="200"/>
              <w:contextualSpacing/>
              <w:textAlignment w:val="auto"/>
              <w:rPr>
                <w:spacing w:val="0"/>
                <w:kern w:val="0"/>
                <w:sz w:val="24"/>
              </w:rPr>
            </w:pPr>
            <w:r>
              <w:rPr>
                <w:rFonts w:hint="eastAsia"/>
                <w:spacing w:val="0"/>
                <w:kern w:val="0"/>
                <w:sz w:val="24"/>
                <w:lang w:val="en-US" w:eastAsia="zh-CN"/>
              </w:rPr>
              <w:t>1</w:t>
            </w:r>
            <w:r>
              <w:rPr>
                <w:spacing w:val="0"/>
                <w:kern w:val="0"/>
                <w:sz w:val="24"/>
              </w:rPr>
              <w:t>）室内声源等效室外声源声功率级计算方法</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b/>
                <w:spacing w:val="0"/>
                <w:kern w:val="0"/>
                <w:sz w:val="24"/>
              </w:rPr>
            </w:pPr>
            <w:r>
              <w:rPr>
                <w:spacing w:val="0"/>
              </w:rPr>
              <w:drawing>
                <wp:inline distT="0" distB="0" distL="114300" distR="114300">
                  <wp:extent cx="2969260" cy="1818005"/>
                  <wp:effectExtent l="0" t="0" r="2540" b="10795"/>
                  <wp:docPr id="12" name="图片 1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示&#10;&#10;描述已自动生成"/>
                          <pic:cNvPicPr>
                            <a:picLocks noChangeAspect="1"/>
                          </pic:cNvPicPr>
                        </pic:nvPicPr>
                        <pic:blipFill>
                          <a:blip r:embed="rId32"/>
                          <a:stretch>
                            <a:fillRect/>
                          </a:stretch>
                        </pic:blipFill>
                        <pic:spPr>
                          <a:xfrm>
                            <a:off x="0" y="0"/>
                            <a:ext cx="2969260" cy="18180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pacing w:line="500" w:lineRule="exact"/>
              <w:ind w:left="0" w:leftChars="0" w:firstLine="480" w:firstLineChars="200"/>
              <w:jc w:val="left"/>
              <w:textAlignment w:val="auto"/>
              <w:rPr>
                <w:spacing w:val="0"/>
                <w:kern w:val="0"/>
                <w:sz w:val="24"/>
              </w:rPr>
            </w:pPr>
            <w:r>
              <w:rPr>
                <w:rFonts w:hint="eastAsia" w:ascii="宋体" w:hAnsi="宋体" w:cs="宋体"/>
                <w:spacing w:val="0"/>
                <w:sz w:val="24"/>
              </w:rPr>
              <w:t>①</w:t>
            </w:r>
            <w:r>
              <w:rPr>
                <w:spacing w:val="0"/>
                <w:kern w:val="0"/>
                <w:sz w:val="24"/>
              </w:rPr>
              <w:t>计算某一室内声源靠近围护结构处产生的倍频带声压级或A声级：</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spacing w:val="0"/>
                <w:kern w:val="0"/>
                <w:sz w:val="24"/>
              </w:rPr>
            </w:pPr>
            <w:r>
              <w:rPr>
                <w:spacing w:val="0"/>
              </w:rPr>
              <w:drawing>
                <wp:inline distT="0" distB="0" distL="114300" distR="114300">
                  <wp:extent cx="2072005" cy="471170"/>
                  <wp:effectExtent l="0" t="0" r="4445" b="5080"/>
                  <wp:docPr id="10" name="图片 13"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图片包含 文本&#10;&#10;描述已自动生成"/>
                          <pic:cNvPicPr>
                            <a:picLocks noChangeAspect="1"/>
                          </pic:cNvPicPr>
                        </pic:nvPicPr>
                        <pic:blipFill>
                          <a:blip r:embed="rId33"/>
                          <a:stretch>
                            <a:fillRect/>
                          </a:stretch>
                        </pic:blipFill>
                        <pic:spPr>
                          <a:xfrm>
                            <a:off x="0" y="0"/>
                            <a:ext cx="2072005" cy="4711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spacing w:val="0"/>
                <w:kern w:val="0"/>
                <w:sz w:val="24"/>
              </w:rPr>
            </w:pPr>
            <w:r>
              <w:rPr>
                <w:spacing w:val="0"/>
                <w:kern w:val="0"/>
                <w:sz w:val="24"/>
              </w:rPr>
              <w:t>式中：L</w:t>
            </w:r>
            <w:r>
              <w:rPr>
                <w:spacing w:val="0"/>
                <w:kern w:val="0"/>
                <w:sz w:val="24"/>
                <w:vertAlign w:val="subscript"/>
              </w:rPr>
              <w:t>p1</w:t>
            </w:r>
            <w:r>
              <w:rPr>
                <w:spacing w:val="0"/>
                <w:kern w:val="0"/>
                <w:sz w:val="24"/>
              </w:rPr>
              <w:t>：靠近开口处（或窗户）室内某倍频带的声压级或A声级，dB；</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spacing w:val="0"/>
                <w:kern w:val="0"/>
                <w:sz w:val="24"/>
              </w:rPr>
            </w:pPr>
            <w:r>
              <w:rPr>
                <w:spacing w:val="0"/>
                <w:kern w:val="0"/>
                <w:sz w:val="24"/>
              </w:rPr>
              <w:t>L</w:t>
            </w:r>
            <w:r>
              <w:rPr>
                <w:spacing w:val="0"/>
                <w:kern w:val="0"/>
                <w:sz w:val="24"/>
                <w:vertAlign w:val="subscript"/>
              </w:rPr>
              <w:t>w</w:t>
            </w:r>
            <w:r>
              <w:rPr>
                <w:spacing w:val="0"/>
                <w:kern w:val="0"/>
                <w:sz w:val="24"/>
              </w:rPr>
              <w:t>：点声源声功率级（A计权或倍频带），dB；</w:t>
            </w:r>
          </w:p>
          <w:p>
            <w:pPr>
              <w:keepNext w:val="0"/>
              <w:keepLines w:val="0"/>
              <w:pageBreakBefore w:val="0"/>
              <w:widowControl w:val="0"/>
              <w:kinsoku/>
              <w:wordWrap/>
              <w:overflowPunct/>
              <w:topLinePunct w:val="0"/>
              <w:bidi w:val="0"/>
              <w:adjustRightInd/>
              <w:snapToGrid/>
              <w:spacing w:line="500" w:lineRule="exact"/>
              <w:ind w:left="0" w:leftChars="0" w:firstLine="480" w:firstLineChars="200"/>
              <w:textAlignment w:val="auto"/>
              <w:rPr>
                <w:spacing w:val="0"/>
                <w:sz w:val="24"/>
              </w:rPr>
            </w:pPr>
            <w:r>
              <w:rPr>
                <w:spacing w:val="0"/>
                <w:sz w:val="24"/>
              </w:rPr>
              <w:t>Q：指向性因数；通常对无指向性声源，当声源放在房间中心时，Q=1；当放在一面墙的中心时，Q=2；当放在两面墙夹角处时，Q=4；当放在三面墙夹角处时，Q=8；</w:t>
            </w:r>
            <w:r>
              <w:rPr>
                <w:rFonts w:hint="eastAsia"/>
                <w:spacing w:val="0"/>
                <w:sz w:val="24"/>
              </w:rPr>
              <w:t>本项目按照Q</w:t>
            </w:r>
            <w:r>
              <w:rPr>
                <w:spacing w:val="0"/>
                <w:sz w:val="24"/>
              </w:rPr>
              <w:t>=2</w:t>
            </w:r>
            <w:r>
              <w:rPr>
                <w:rFonts w:hint="eastAsia"/>
                <w:spacing w:val="0"/>
                <w:sz w:val="24"/>
              </w:rPr>
              <w:t>；</w:t>
            </w:r>
          </w:p>
          <w:p>
            <w:pPr>
              <w:keepNext w:val="0"/>
              <w:keepLines w:val="0"/>
              <w:pageBreakBefore w:val="0"/>
              <w:widowControl w:val="0"/>
              <w:kinsoku/>
              <w:wordWrap/>
              <w:overflowPunct/>
              <w:topLinePunct w:val="0"/>
              <w:bidi w:val="0"/>
              <w:adjustRightInd/>
              <w:snapToGrid/>
              <w:spacing w:line="500" w:lineRule="exact"/>
              <w:ind w:left="0" w:leftChars="0" w:firstLine="480" w:firstLineChars="200"/>
              <w:textAlignment w:val="auto"/>
              <w:rPr>
                <w:spacing w:val="0"/>
                <w:sz w:val="24"/>
              </w:rPr>
            </w:pPr>
            <w:r>
              <w:rPr>
                <w:spacing w:val="0"/>
                <w:sz w:val="24"/>
              </w:rPr>
              <w:t>R：房间常数，R=Sα/(1-α)，S为房间内表面面积，m</w:t>
            </w:r>
            <w:r>
              <w:rPr>
                <w:spacing w:val="0"/>
                <w:sz w:val="24"/>
                <w:vertAlign w:val="superscript"/>
              </w:rPr>
              <w:t>2</w:t>
            </w:r>
            <w:r>
              <w:rPr>
                <w:spacing w:val="0"/>
                <w:sz w:val="24"/>
              </w:rPr>
              <w:t>，α为平均吸声系数；</w:t>
            </w:r>
            <w:r>
              <w:rPr>
                <w:rFonts w:hint="eastAsia"/>
                <w:spacing w:val="0"/>
                <w:sz w:val="24"/>
              </w:rPr>
              <w:t>平均吸声系数按照0.02考虑（洪宗辉《环境噪声控制工程》（高等教育出版社）中混凝土的吸声系数）；</w:t>
            </w:r>
          </w:p>
          <w:p>
            <w:pPr>
              <w:keepNext w:val="0"/>
              <w:keepLines w:val="0"/>
              <w:pageBreakBefore w:val="0"/>
              <w:widowControl w:val="0"/>
              <w:kinsoku/>
              <w:wordWrap/>
              <w:overflowPunct/>
              <w:topLinePunct w:val="0"/>
              <w:bidi w:val="0"/>
              <w:adjustRightInd/>
              <w:snapToGrid/>
              <w:spacing w:line="500" w:lineRule="exact"/>
              <w:ind w:left="0" w:leftChars="0" w:firstLine="480" w:firstLineChars="200"/>
              <w:textAlignment w:val="auto"/>
              <w:rPr>
                <w:spacing w:val="0"/>
                <w:sz w:val="24"/>
              </w:rPr>
            </w:pPr>
            <w:r>
              <w:rPr>
                <w:spacing w:val="0"/>
                <w:sz w:val="24"/>
              </w:rPr>
              <w:t>r：声源到靠近围护结构某点处的距离，m。</w:t>
            </w:r>
          </w:p>
          <w:p>
            <w:pPr>
              <w:keepNext w:val="0"/>
              <w:keepLines w:val="0"/>
              <w:pageBreakBefore w:val="0"/>
              <w:widowControl w:val="0"/>
              <w:kinsoku/>
              <w:wordWrap/>
              <w:overflowPunct/>
              <w:topLinePunct w:val="0"/>
              <w:bidi w:val="0"/>
              <w:adjustRightInd/>
              <w:spacing w:line="500" w:lineRule="exact"/>
              <w:ind w:left="0" w:leftChars="0" w:firstLine="480" w:firstLineChars="200"/>
              <w:textAlignment w:val="auto"/>
              <w:rPr>
                <w:spacing w:val="0"/>
                <w:kern w:val="0"/>
                <w:sz w:val="24"/>
              </w:rPr>
            </w:pPr>
            <w:r>
              <w:rPr>
                <w:rFonts w:hint="eastAsia" w:ascii="宋体" w:hAnsi="宋体" w:cs="宋体"/>
                <w:spacing w:val="0"/>
                <w:sz w:val="24"/>
              </w:rPr>
              <w:t>②</w:t>
            </w:r>
            <w:r>
              <w:rPr>
                <w:spacing w:val="0"/>
                <w:kern w:val="0"/>
                <w:sz w:val="24"/>
              </w:rPr>
              <w:t>计算出所有室内声源在围护结构处产生的</w:t>
            </w:r>
            <w:r>
              <w:rPr>
                <w:i/>
                <w:spacing w:val="0"/>
                <w:kern w:val="0"/>
                <w:sz w:val="24"/>
              </w:rPr>
              <w:t>i</w:t>
            </w:r>
            <w:r>
              <w:rPr>
                <w:spacing w:val="0"/>
                <w:kern w:val="0"/>
                <w:sz w:val="24"/>
              </w:rPr>
              <w:t>倍频带叠加声压级：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contextualSpacing/>
              <w:jc w:val="center"/>
              <w:textAlignment w:val="auto"/>
              <w:rPr>
                <w:spacing w:val="0"/>
                <w:kern w:val="0"/>
                <w:sz w:val="24"/>
              </w:rPr>
            </w:pPr>
            <w:r>
              <w:rPr>
                <w:spacing w:val="0"/>
              </w:rPr>
              <w:drawing>
                <wp:inline distT="0" distB="0" distL="114300" distR="114300">
                  <wp:extent cx="2012950" cy="563245"/>
                  <wp:effectExtent l="0" t="0" r="6350" b="8255"/>
                  <wp:docPr id="8" name="图片 1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图片包含 文本&#10;&#10;描述已自动生成"/>
                          <pic:cNvPicPr>
                            <a:picLocks noChangeAspect="1"/>
                          </pic:cNvPicPr>
                        </pic:nvPicPr>
                        <pic:blipFill>
                          <a:blip r:embed="rId34"/>
                          <a:stretch>
                            <a:fillRect/>
                          </a:stretch>
                        </pic:blipFill>
                        <pic:spPr>
                          <a:xfrm>
                            <a:off x="0" y="0"/>
                            <a:ext cx="2012950" cy="5632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jc w:val="left"/>
              <w:textAlignment w:val="auto"/>
              <w:rPr>
                <w:spacing w:val="0"/>
                <w:kern w:val="0"/>
                <w:sz w:val="24"/>
              </w:rPr>
            </w:pPr>
            <w:r>
              <w:rPr>
                <w:spacing w:val="0"/>
                <w:kern w:val="0"/>
                <w:sz w:val="24"/>
              </w:rPr>
              <w:t>式中：L</w:t>
            </w:r>
            <w:r>
              <w:rPr>
                <w:spacing w:val="0"/>
                <w:kern w:val="0"/>
                <w:sz w:val="24"/>
                <w:vertAlign w:val="subscript"/>
              </w:rPr>
              <w:t>pli</w:t>
            </w:r>
            <w:r>
              <w:rPr>
                <w:spacing w:val="0"/>
                <w:kern w:val="0"/>
                <w:sz w:val="24"/>
              </w:rPr>
              <w:t>(T)：靠近围护结构处室内N个声源i倍频带的叠加声压级，dB；</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jc w:val="left"/>
              <w:textAlignment w:val="auto"/>
              <w:rPr>
                <w:spacing w:val="0"/>
                <w:kern w:val="0"/>
                <w:sz w:val="24"/>
              </w:rPr>
            </w:pPr>
            <w:r>
              <w:rPr>
                <w:spacing w:val="0"/>
                <w:kern w:val="0"/>
                <w:sz w:val="24"/>
              </w:rPr>
              <w:t>L</w:t>
            </w:r>
            <w:r>
              <w:rPr>
                <w:spacing w:val="0"/>
                <w:kern w:val="0"/>
                <w:sz w:val="24"/>
                <w:vertAlign w:val="subscript"/>
              </w:rPr>
              <w:t>plij</w:t>
            </w:r>
            <w:r>
              <w:rPr>
                <w:spacing w:val="0"/>
                <w:kern w:val="0"/>
                <w:sz w:val="24"/>
              </w:rPr>
              <w:t>：室内 j 声源 i 倍频带的声压级，dB；</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jc w:val="left"/>
              <w:textAlignment w:val="auto"/>
              <w:rPr>
                <w:spacing w:val="0"/>
                <w:kern w:val="0"/>
                <w:sz w:val="24"/>
              </w:rPr>
            </w:pPr>
            <w:r>
              <w:rPr>
                <w:spacing w:val="0"/>
                <w:kern w:val="0"/>
                <w:sz w:val="24"/>
              </w:rPr>
              <w:t>N</w:t>
            </w:r>
            <w:r>
              <w:rPr>
                <w:rFonts w:hint="eastAsia"/>
                <w:i/>
                <w:spacing w:val="0"/>
                <w:kern w:val="0"/>
                <w:sz w:val="24"/>
                <w:lang w:eastAsia="zh-CN"/>
              </w:rPr>
              <w:t>：</w:t>
            </w:r>
            <w:r>
              <w:rPr>
                <w:spacing w:val="0"/>
                <w:kern w:val="0"/>
                <w:sz w:val="24"/>
              </w:rPr>
              <w:t>室内声源总数。</w:t>
            </w:r>
          </w:p>
          <w:p>
            <w:pPr>
              <w:keepNext w:val="0"/>
              <w:keepLines w:val="0"/>
              <w:pageBreakBefore w:val="0"/>
              <w:widowControl w:val="0"/>
              <w:kinsoku/>
              <w:wordWrap/>
              <w:overflowPunct/>
              <w:topLinePunct w:val="0"/>
              <w:autoSpaceDE w:val="0"/>
              <w:autoSpaceDN w:val="0"/>
              <w:bidi w:val="0"/>
              <w:adjustRightInd/>
              <w:spacing w:line="500" w:lineRule="exact"/>
              <w:ind w:left="0" w:leftChars="0" w:firstLine="480" w:firstLineChars="200"/>
              <w:jc w:val="left"/>
              <w:textAlignment w:val="auto"/>
              <w:rPr>
                <w:spacing w:val="0"/>
                <w:kern w:val="0"/>
                <w:sz w:val="24"/>
              </w:rPr>
            </w:pPr>
            <w:r>
              <w:rPr>
                <w:rFonts w:hint="eastAsia" w:ascii="宋体" w:hAnsi="宋体" w:cs="宋体"/>
                <w:spacing w:val="0"/>
                <w:sz w:val="24"/>
              </w:rPr>
              <w:t>③</w:t>
            </w:r>
            <w:r>
              <w:rPr>
                <w:spacing w:val="0"/>
                <w:kern w:val="0"/>
                <w:sz w:val="24"/>
              </w:rPr>
              <w:t>在室内近似为扩散声场时，按下式计算出靠近室外围护结构处的声压级：</w:t>
            </w:r>
          </w:p>
          <w:p>
            <w:pPr>
              <w:keepNext w:val="0"/>
              <w:keepLines w:val="0"/>
              <w:pageBreakBefore w:val="0"/>
              <w:widowControl w:val="0"/>
              <w:kinsoku/>
              <w:wordWrap/>
              <w:overflowPunct/>
              <w:topLinePunct w:val="0"/>
              <w:autoSpaceDE w:val="0"/>
              <w:autoSpaceDN w:val="0"/>
              <w:bidi w:val="0"/>
              <w:adjustRightInd/>
              <w:spacing w:line="500" w:lineRule="exact"/>
              <w:ind w:left="0" w:leftChars="0"/>
              <w:jc w:val="center"/>
              <w:textAlignment w:val="auto"/>
              <w:rPr>
                <w:spacing w:val="0"/>
                <w:kern w:val="0"/>
                <w:sz w:val="24"/>
                <w:lang w:eastAsia="en-US"/>
              </w:rPr>
            </w:pPr>
            <w:r>
              <w:rPr>
                <w:spacing w:val="0"/>
                <w:kern w:val="0"/>
                <w:sz w:val="24"/>
                <w:lang w:eastAsia="en-US"/>
              </w:rPr>
              <w:t>L</w:t>
            </w:r>
            <w:r>
              <w:rPr>
                <w:spacing w:val="0"/>
                <w:kern w:val="0"/>
                <w:sz w:val="24"/>
                <w:vertAlign w:val="subscript"/>
                <w:lang w:eastAsia="en-US"/>
              </w:rPr>
              <w:t>p2i</w:t>
            </w:r>
            <w:r>
              <w:rPr>
                <w:spacing w:val="0"/>
                <w:kern w:val="0"/>
                <w:sz w:val="24"/>
                <w:lang w:eastAsia="en-US"/>
              </w:rPr>
              <w:t>(T)=L</w:t>
            </w:r>
            <w:r>
              <w:rPr>
                <w:spacing w:val="0"/>
                <w:kern w:val="0"/>
                <w:sz w:val="24"/>
                <w:vertAlign w:val="subscript"/>
                <w:lang w:eastAsia="en-US"/>
              </w:rPr>
              <w:t>pli</w:t>
            </w:r>
            <w:r>
              <w:rPr>
                <w:spacing w:val="0"/>
                <w:kern w:val="0"/>
                <w:sz w:val="24"/>
                <w:lang w:eastAsia="en-US"/>
              </w:rPr>
              <w:t>(T)-(TL</w:t>
            </w:r>
            <w:r>
              <w:rPr>
                <w:spacing w:val="0"/>
                <w:kern w:val="0"/>
                <w:sz w:val="24"/>
                <w:vertAlign w:val="subscript"/>
                <w:lang w:eastAsia="en-US"/>
              </w:rPr>
              <w:t>i</w:t>
            </w:r>
            <w:r>
              <w:rPr>
                <w:spacing w:val="0"/>
                <w:kern w:val="0"/>
                <w:sz w:val="24"/>
                <w:lang w:eastAsia="en-US"/>
              </w:rPr>
              <w:t>+6)</w:t>
            </w:r>
          </w:p>
          <w:p>
            <w:pPr>
              <w:keepNext w:val="0"/>
              <w:keepLines w:val="0"/>
              <w:pageBreakBefore w:val="0"/>
              <w:widowControl w:val="0"/>
              <w:kinsoku/>
              <w:wordWrap/>
              <w:overflowPunct/>
              <w:topLinePunct w:val="0"/>
              <w:bidi w:val="0"/>
              <w:adjustRightInd/>
              <w:spacing w:line="500" w:lineRule="exact"/>
              <w:ind w:left="0" w:leftChars="0" w:firstLine="480" w:firstLineChars="200"/>
              <w:textAlignment w:val="auto"/>
              <w:rPr>
                <w:spacing w:val="0"/>
                <w:sz w:val="24"/>
              </w:rPr>
            </w:pPr>
            <w:r>
              <w:rPr>
                <w:spacing w:val="0"/>
                <w:sz w:val="24"/>
              </w:rPr>
              <w:t>式中：L</w:t>
            </w:r>
            <w:r>
              <w:rPr>
                <w:spacing w:val="0"/>
                <w:sz w:val="24"/>
                <w:vertAlign w:val="subscript"/>
              </w:rPr>
              <w:t>p2i</w:t>
            </w:r>
            <w:r>
              <w:rPr>
                <w:spacing w:val="0"/>
                <w:sz w:val="24"/>
              </w:rPr>
              <w:t>(T)：靠近围护结构处室外N个声源i倍频带的叠加声压级，dB；</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spacing w:val="0"/>
                <w:sz w:val="24"/>
              </w:rPr>
            </w:pPr>
            <w:r>
              <w:rPr>
                <w:spacing w:val="0"/>
                <w:sz w:val="24"/>
              </w:rPr>
              <w:t>L</w:t>
            </w:r>
            <w:r>
              <w:rPr>
                <w:spacing w:val="0"/>
                <w:sz w:val="24"/>
                <w:vertAlign w:val="subscript"/>
              </w:rPr>
              <w:t>pli</w:t>
            </w:r>
            <w:r>
              <w:rPr>
                <w:spacing w:val="0"/>
                <w:sz w:val="24"/>
              </w:rPr>
              <w:t>(T)：靠近围护结构处室内N个声源i倍频带的叠加声压级，dB；</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spacing w:val="0"/>
                <w:sz w:val="24"/>
              </w:rPr>
            </w:pPr>
            <w:r>
              <w:rPr>
                <w:spacing w:val="0"/>
                <w:sz w:val="24"/>
              </w:rPr>
              <w:t>TL</w:t>
            </w:r>
            <w:r>
              <w:rPr>
                <w:spacing w:val="0"/>
                <w:sz w:val="24"/>
                <w:vertAlign w:val="subscript"/>
              </w:rPr>
              <w:t>i</w:t>
            </w:r>
            <w:r>
              <w:rPr>
                <w:spacing w:val="0"/>
                <w:sz w:val="24"/>
              </w:rPr>
              <w:t>：围护结构 i 倍频带的隔声量，dB。</w:t>
            </w:r>
          </w:p>
          <w:p>
            <w:pPr>
              <w:keepNext w:val="0"/>
              <w:keepLines w:val="0"/>
              <w:pageBreakBefore w:val="0"/>
              <w:widowControl w:val="0"/>
              <w:kinsoku/>
              <w:wordWrap/>
              <w:overflowPunct/>
              <w:topLinePunct w:val="0"/>
              <w:bidi w:val="0"/>
              <w:adjustRightInd/>
              <w:spacing w:line="500" w:lineRule="exact"/>
              <w:ind w:left="0" w:leftChars="0" w:firstLine="480" w:firstLineChars="200"/>
              <w:textAlignment w:val="auto"/>
              <w:rPr>
                <w:spacing w:val="0"/>
                <w:sz w:val="24"/>
              </w:rPr>
            </w:pPr>
            <w:r>
              <w:rPr>
                <w:rFonts w:hint="eastAsia" w:ascii="宋体" w:hAnsi="宋体" w:cs="宋体"/>
                <w:spacing w:val="0"/>
                <w:sz w:val="24"/>
              </w:rPr>
              <w:t>④</w:t>
            </w:r>
            <w:r>
              <w:rPr>
                <w:spacing w:val="0"/>
                <w:kern w:val="0"/>
                <w:sz w:val="24"/>
              </w:rPr>
              <w:t>将室外声源的声压级和透过面积换算成等效的室外声源，计算出中心位置位于透声面积（</w:t>
            </w:r>
            <w:r>
              <w:rPr>
                <w:i/>
                <w:spacing w:val="0"/>
                <w:kern w:val="0"/>
                <w:sz w:val="24"/>
              </w:rPr>
              <w:t>S</w:t>
            </w:r>
            <w:r>
              <w:rPr>
                <w:spacing w:val="0"/>
                <w:kern w:val="0"/>
                <w:sz w:val="24"/>
              </w:rPr>
              <w:t>）处的等效声源的倍频带声功率级。</w:t>
            </w:r>
          </w:p>
          <w:p>
            <w:pPr>
              <w:keepNext w:val="0"/>
              <w:keepLines w:val="0"/>
              <w:pageBreakBefore w:val="0"/>
              <w:widowControl w:val="0"/>
              <w:kinsoku/>
              <w:wordWrap/>
              <w:overflowPunct/>
              <w:topLinePunct w:val="0"/>
              <w:autoSpaceDE w:val="0"/>
              <w:autoSpaceDN w:val="0"/>
              <w:bidi w:val="0"/>
              <w:adjustRightInd/>
              <w:spacing w:line="500" w:lineRule="exact"/>
              <w:ind w:left="0" w:leftChars="0"/>
              <w:jc w:val="center"/>
              <w:textAlignment w:val="auto"/>
              <w:rPr>
                <w:spacing w:val="0"/>
                <w:kern w:val="0"/>
                <w:sz w:val="24"/>
              </w:rPr>
            </w:pPr>
            <w:r>
              <w:rPr>
                <w:spacing w:val="0"/>
                <w:kern w:val="0"/>
                <w:sz w:val="24"/>
              </w:rPr>
              <w:t>L</w:t>
            </w:r>
            <w:r>
              <w:rPr>
                <w:spacing w:val="0"/>
                <w:kern w:val="0"/>
                <w:sz w:val="24"/>
                <w:vertAlign w:val="subscript"/>
              </w:rPr>
              <w:t>w</w:t>
            </w:r>
            <w:r>
              <w:rPr>
                <w:spacing w:val="0"/>
                <w:kern w:val="0"/>
                <w:sz w:val="24"/>
              </w:rPr>
              <w:t>=Lp</w:t>
            </w:r>
            <w:r>
              <w:rPr>
                <w:spacing w:val="0"/>
                <w:kern w:val="0"/>
                <w:sz w:val="24"/>
                <w:vertAlign w:val="subscript"/>
              </w:rPr>
              <w:t>2</w:t>
            </w:r>
            <w:r>
              <w:rPr>
                <w:spacing w:val="0"/>
                <w:kern w:val="0"/>
                <w:sz w:val="24"/>
              </w:rPr>
              <w:t>(T)+10lgS</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jc w:val="left"/>
              <w:textAlignment w:val="auto"/>
              <w:rPr>
                <w:spacing w:val="0"/>
                <w:kern w:val="0"/>
                <w:sz w:val="24"/>
              </w:rPr>
            </w:pPr>
            <w:r>
              <w:rPr>
                <w:spacing w:val="0"/>
                <w:kern w:val="0"/>
                <w:sz w:val="24"/>
              </w:rPr>
              <w:t>式中：L</w:t>
            </w:r>
            <w:r>
              <w:rPr>
                <w:spacing w:val="0"/>
                <w:kern w:val="0"/>
                <w:sz w:val="24"/>
                <w:vertAlign w:val="subscript"/>
              </w:rPr>
              <w:t>w</w:t>
            </w:r>
            <w:r>
              <w:rPr>
                <w:spacing w:val="0"/>
                <w:kern w:val="0"/>
                <w:sz w:val="24"/>
              </w:rPr>
              <w:t>：中心位置位于透声面积（</w:t>
            </w:r>
            <w:r>
              <w:rPr>
                <w:i/>
                <w:spacing w:val="0"/>
                <w:kern w:val="0"/>
                <w:sz w:val="24"/>
              </w:rPr>
              <w:t>S</w:t>
            </w:r>
            <w:r>
              <w:rPr>
                <w:spacing w:val="0"/>
                <w:kern w:val="0"/>
                <w:sz w:val="24"/>
              </w:rPr>
              <w:t>）处的等效声源的倍频带声功率级，dB；</w:t>
            </w:r>
          </w:p>
          <w:p>
            <w:pPr>
              <w:keepNext w:val="0"/>
              <w:keepLines w:val="0"/>
              <w:pageBreakBefore w:val="0"/>
              <w:widowControl w:val="0"/>
              <w:kinsoku/>
              <w:wordWrap/>
              <w:overflowPunct/>
              <w:topLinePunct w:val="0"/>
              <w:bidi w:val="0"/>
              <w:adjustRightInd/>
              <w:snapToGrid/>
              <w:spacing w:line="500" w:lineRule="exact"/>
              <w:ind w:left="0" w:leftChars="0" w:firstLine="480" w:firstLineChars="200"/>
              <w:textAlignment w:val="auto"/>
              <w:rPr>
                <w:spacing w:val="0"/>
                <w:sz w:val="24"/>
              </w:rPr>
            </w:pPr>
            <w:r>
              <w:rPr>
                <w:spacing w:val="0"/>
                <w:sz w:val="24"/>
              </w:rPr>
              <w:t>L</w:t>
            </w:r>
            <w:r>
              <w:rPr>
                <w:spacing w:val="0"/>
                <w:sz w:val="24"/>
                <w:vertAlign w:val="subscript"/>
              </w:rPr>
              <w:t>p2</w:t>
            </w:r>
            <w:r>
              <w:rPr>
                <w:spacing w:val="0"/>
                <w:sz w:val="24"/>
              </w:rPr>
              <w:t>(T)：靠近围护结构处室外声源的声压级，dB；</w:t>
            </w:r>
          </w:p>
          <w:p>
            <w:pPr>
              <w:keepNext w:val="0"/>
              <w:keepLines w:val="0"/>
              <w:pageBreakBefore w:val="0"/>
              <w:widowControl w:val="0"/>
              <w:kinsoku/>
              <w:wordWrap/>
              <w:overflowPunct/>
              <w:topLinePunct w:val="0"/>
              <w:bidi w:val="0"/>
              <w:adjustRightInd/>
              <w:snapToGrid/>
              <w:spacing w:line="500" w:lineRule="exact"/>
              <w:ind w:left="0" w:leftChars="0" w:firstLine="480" w:firstLineChars="200"/>
              <w:textAlignment w:val="auto"/>
              <w:rPr>
                <w:spacing w:val="0"/>
                <w:sz w:val="24"/>
              </w:rPr>
            </w:pPr>
            <w:r>
              <w:rPr>
                <w:spacing w:val="0"/>
                <w:sz w:val="24"/>
              </w:rPr>
              <w:t>S：透声面积，m</w:t>
            </w:r>
            <w:r>
              <w:rPr>
                <w:spacing w:val="0"/>
                <w:sz w:val="24"/>
                <w:vertAlign w:val="superscript"/>
              </w:rPr>
              <w:t>2</w:t>
            </w:r>
            <w:r>
              <w:rPr>
                <w:spacing w:val="0"/>
                <w:sz w:val="24"/>
              </w:rPr>
              <w:t>。</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spacing w:val="0"/>
                <w:sz w:val="24"/>
              </w:rPr>
            </w:pPr>
            <w:r>
              <w:rPr>
                <w:rFonts w:hint="eastAsia" w:ascii="宋体" w:hAnsi="宋体"/>
                <w:spacing w:val="0"/>
                <w:sz w:val="24"/>
              </w:rPr>
              <w:t>⑤</w:t>
            </w:r>
            <w:r>
              <w:rPr>
                <w:rFonts w:hint="eastAsia"/>
                <w:spacing w:val="0"/>
                <w:sz w:val="24"/>
              </w:rPr>
              <w:t>然后按室外声源预测方法计算预测点处的</w:t>
            </w:r>
            <w:r>
              <w:rPr>
                <w:spacing w:val="0"/>
                <w:sz w:val="24"/>
              </w:rPr>
              <w:t>A</w:t>
            </w:r>
            <w:r>
              <w:rPr>
                <w:rFonts w:hint="eastAsia"/>
                <w:spacing w:val="0"/>
                <w:sz w:val="24"/>
              </w:rPr>
              <w:t>声级。本项目声源处于半自由声场，则：</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spacing w:val="0"/>
                <w:sz w:val="24"/>
              </w:rPr>
            </w:pPr>
            <w:r>
              <w:rPr>
                <w:spacing w:val="0"/>
              </w:rPr>
              <w:drawing>
                <wp:inline distT="0" distB="0" distL="114300" distR="114300">
                  <wp:extent cx="1665605" cy="306705"/>
                  <wp:effectExtent l="0" t="0" r="10795" b="17145"/>
                  <wp:docPr id="11" name="图片 15" descr="钟表的特写&#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钟表的特写&#10;&#10;低可信度描述已自动生成"/>
                          <pic:cNvPicPr>
                            <a:picLocks noChangeAspect="1"/>
                          </pic:cNvPicPr>
                        </pic:nvPicPr>
                        <pic:blipFill>
                          <a:blip r:embed="rId35"/>
                          <a:stretch>
                            <a:fillRect/>
                          </a:stretch>
                        </pic:blipFill>
                        <pic:spPr>
                          <a:xfrm>
                            <a:off x="0" y="0"/>
                            <a:ext cx="1665605" cy="306705"/>
                          </a:xfrm>
                          <a:prstGeom prst="rect">
                            <a:avLst/>
                          </a:prstGeom>
                          <a:noFill/>
                          <a:ln>
                            <a:noFill/>
                          </a:ln>
                        </pic:spPr>
                      </pic:pic>
                    </a:graphicData>
                  </a:graphic>
                </wp:inline>
              </w:drawing>
            </w:r>
            <w:r>
              <w:rPr>
                <w:rFonts w:hint="eastAsia"/>
                <w:spacing w:val="0"/>
                <w:sz w:val="24"/>
              </w:rPr>
              <w:t></w:t>
            </w:r>
            <w:r>
              <w:rPr>
                <w:spacing w:val="0"/>
                <w:sz w:val="24"/>
              </w:rPr>
              <w:t xml:space="preserve"> </w:t>
            </w:r>
            <w:r>
              <w:rPr>
                <w:rFonts w:hint="eastAsia"/>
                <w:spacing w:val="0"/>
                <w:sz w:val="24"/>
              </w:rPr>
              <w:t></w:t>
            </w:r>
            <w:r>
              <w:rPr>
                <w:spacing w:val="0"/>
                <w:sz w:val="24"/>
              </w:rPr>
              <w:t xml:space="preserve"> </w:t>
            </w:r>
            <w:r>
              <w:rPr>
                <w:rFonts w:hint="eastAsia"/>
                <w:spacing w:val="0"/>
                <w:sz w:val="24"/>
              </w:rPr>
              <w:t></w:t>
            </w:r>
            <w:r>
              <w:rPr>
                <w:spacing w:val="0"/>
                <w:sz w:val="24"/>
              </w:rPr>
              <w:t xml:space="preserve"> </w:t>
            </w:r>
            <w:r>
              <w:rPr>
                <w:rFonts w:hint="eastAsia"/>
                <w:spacing w:val="0"/>
                <w:sz w:val="24"/>
              </w:rPr>
              <w:t></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spacing w:val="0"/>
                <w:sz w:val="24"/>
              </w:rPr>
            </w:pPr>
            <w:r>
              <w:rPr>
                <w:rFonts w:hint="eastAsia"/>
                <w:spacing w:val="0"/>
                <w:sz w:val="24"/>
              </w:rPr>
              <w:t>式中：</w:t>
            </w:r>
            <w:r>
              <w:rPr>
                <w:i/>
                <w:iCs/>
                <w:spacing w:val="0"/>
                <w:sz w:val="24"/>
              </w:rPr>
              <w:t>L</w:t>
            </w:r>
            <w:r>
              <w:rPr>
                <w:i/>
                <w:iCs/>
                <w:spacing w:val="0"/>
                <w:sz w:val="24"/>
                <w:vertAlign w:val="subscript"/>
              </w:rPr>
              <w:t>p</w:t>
            </w:r>
            <w:r>
              <w:rPr>
                <w:spacing w:val="0"/>
                <w:sz w:val="24"/>
              </w:rPr>
              <w:t>(</w:t>
            </w:r>
            <w:r>
              <w:rPr>
                <w:i/>
                <w:iCs/>
                <w:spacing w:val="0"/>
                <w:sz w:val="24"/>
              </w:rPr>
              <w:t>r</w:t>
            </w:r>
            <w:r>
              <w:rPr>
                <w:spacing w:val="0"/>
                <w:sz w:val="24"/>
              </w:rPr>
              <w:t>) ——</w:t>
            </w:r>
            <w:r>
              <w:rPr>
                <w:rFonts w:hint="eastAsia"/>
                <w:spacing w:val="0"/>
                <w:sz w:val="24"/>
              </w:rPr>
              <w:t>预测点处声压级，</w:t>
            </w:r>
            <w:r>
              <w:rPr>
                <w:spacing w:val="0"/>
                <w:sz w:val="24"/>
              </w:rPr>
              <w:t>dB</w:t>
            </w:r>
            <w:r>
              <w:rPr>
                <w:rFonts w:hint="eastAsia"/>
                <w:spacing w:val="0"/>
                <w:sz w:val="24"/>
              </w:rPr>
              <w:t>；</w:t>
            </w:r>
            <w:r>
              <w:rPr>
                <w:spacing w:val="0"/>
                <w:sz w:val="24"/>
              </w:rPr>
              <w:t xml:space="preserve"> </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spacing w:val="0"/>
                <w:sz w:val="24"/>
              </w:rPr>
            </w:pPr>
            <w:r>
              <w:rPr>
                <w:i/>
                <w:iCs/>
                <w:spacing w:val="0"/>
                <w:sz w:val="24"/>
              </w:rPr>
              <w:t>L</w:t>
            </w:r>
            <w:r>
              <w:rPr>
                <w:i/>
                <w:iCs/>
                <w:spacing w:val="0"/>
                <w:sz w:val="24"/>
                <w:vertAlign w:val="subscript"/>
              </w:rPr>
              <w:t>w</w:t>
            </w:r>
            <w:r>
              <w:rPr>
                <w:i/>
                <w:iCs/>
                <w:spacing w:val="0"/>
                <w:sz w:val="24"/>
              </w:rPr>
              <w:t xml:space="preserve"> </w:t>
            </w:r>
            <w:r>
              <w:rPr>
                <w:spacing w:val="0"/>
                <w:sz w:val="24"/>
              </w:rPr>
              <w:t>——</w:t>
            </w:r>
            <w:r>
              <w:rPr>
                <w:rFonts w:hint="eastAsia"/>
                <w:spacing w:val="0"/>
                <w:sz w:val="24"/>
              </w:rPr>
              <w:t>由点声源产生的倍频带声功率级，</w:t>
            </w:r>
            <w:r>
              <w:rPr>
                <w:spacing w:val="0"/>
                <w:sz w:val="24"/>
              </w:rPr>
              <w:t>dB</w:t>
            </w:r>
            <w:r>
              <w:rPr>
                <w:rFonts w:hint="eastAsia"/>
                <w:spacing w:val="0"/>
                <w:sz w:val="24"/>
              </w:rPr>
              <w:t>；</w:t>
            </w:r>
            <w:r>
              <w:rPr>
                <w:spacing w:val="0"/>
                <w:sz w:val="24"/>
              </w:rPr>
              <w:t xml:space="preserve"> </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spacing w:val="0"/>
                <w:sz w:val="24"/>
              </w:rPr>
            </w:pPr>
            <w:r>
              <w:rPr>
                <w:i/>
                <w:iCs/>
                <w:spacing w:val="0"/>
                <w:sz w:val="24"/>
              </w:rPr>
              <w:t>r</w:t>
            </w:r>
            <w:r>
              <w:rPr>
                <w:spacing w:val="0"/>
                <w:sz w:val="24"/>
              </w:rPr>
              <w:t>——</w:t>
            </w:r>
            <w:r>
              <w:rPr>
                <w:rFonts w:hint="eastAsia"/>
                <w:spacing w:val="0"/>
                <w:sz w:val="24"/>
              </w:rPr>
              <w:t>预测点距声源的距离。</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spacing w:val="0"/>
                <w:sz w:val="24"/>
              </w:rPr>
            </w:pPr>
            <w:r>
              <w:rPr>
                <w:rFonts w:hint="eastAsia" w:ascii="宋体" w:hAnsi="宋体"/>
                <w:spacing w:val="0"/>
                <w:sz w:val="24"/>
              </w:rPr>
              <w:t>⑥</w:t>
            </w:r>
            <w:r>
              <w:rPr>
                <w:rFonts w:hint="eastAsia"/>
                <w:spacing w:val="0"/>
                <w:sz w:val="24"/>
              </w:rPr>
              <w:t>预测点的贡献值和背景值按能量叠加方法计算得到的声级。噪声预测值（</w:t>
            </w:r>
            <w:r>
              <w:rPr>
                <w:i/>
                <w:iCs/>
                <w:spacing w:val="0"/>
                <w:sz w:val="24"/>
              </w:rPr>
              <w:t>L</w:t>
            </w:r>
            <w:r>
              <w:rPr>
                <w:spacing w:val="0"/>
                <w:sz w:val="24"/>
              </w:rPr>
              <w:t>eq</w:t>
            </w:r>
            <w:r>
              <w:rPr>
                <w:i/>
                <w:iCs/>
                <w:spacing w:val="0"/>
                <w:sz w:val="24"/>
              </w:rPr>
              <w:t xml:space="preserve"> </w:t>
            </w:r>
            <w:r>
              <w:rPr>
                <w:rFonts w:hint="eastAsia"/>
                <w:spacing w:val="0"/>
                <w:sz w:val="24"/>
              </w:rPr>
              <w:t>）计算公式为：</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spacing w:val="0"/>
                <w:sz w:val="24"/>
              </w:rPr>
            </w:pPr>
            <w:r>
              <w:rPr>
                <w:spacing w:val="0"/>
              </w:rPr>
              <w:drawing>
                <wp:inline distT="0" distB="0" distL="114300" distR="114300">
                  <wp:extent cx="2139315" cy="448945"/>
                  <wp:effectExtent l="0" t="0" r="13335" b="8255"/>
                  <wp:docPr id="13" name="图片 16"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descr="文本&#10;&#10;中度可信度描述已自动生成"/>
                          <pic:cNvPicPr>
                            <a:picLocks noChangeAspect="1"/>
                          </pic:cNvPicPr>
                        </pic:nvPicPr>
                        <pic:blipFill>
                          <a:blip r:embed="rId36"/>
                          <a:stretch>
                            <a:fillRect/>
                          </a:stretch>
                        </pic:blipFill>
                        <pic:spPr>
                          <a:xfrm>
                            <a:off x="0" y="0"/>
                            <a:ext cx="2139315" cy="448945"/>
                          </a:xfrm>
                          <a:prstGeom prst="rect">
                            <a:avLst/>
                          </a:prstGeom>
                          <a:noFill/>
                          <a:ln>
                            <a:noFill/>
                          </a:ln>
                        </pic:spPr>
                      </pic:pic>
                    </a:graphicData>
                  </a:graphic>
                </wp:inline>
              </w:drawing>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spacing w:val="0"/>
                <w:sz w:val="24"/>
              </w:rPr>
            </w:pPr>
            <w:r>
              <w:rPr>
                <w:rFonts w:hint="eastAsia"/>
                <w:spacing w:val="0"/>
                <w:sz w:val="24"/>
              </w:rPr>
              <w:t>式中：</w:t>
            </w:r>
            <w:r>
              <w:rPr>
                <w:spacing w:val="0"/>
                <w:sz w:val="24"/>
              </w:rPr>
              <w:t xml:space="preserve"> </w:t>
            </w:r>
            <w:r>
              <w:rPr>
                <w:i/>
                <w:iCs/>
                <w:spacing w:val="0"/>
                <w:sz w:val="24"/>
              </w:rPr>
              <w:t>L</w:t>
            </w:r>
            <w:r>
              <w:rPr>
                <w:spacing w:val="0"/>
                <w:sz w:val="24"/>
              </w:rPr>
              <w:t>eq</w:t>
            </w:r>
            <w:r>
              <w:rPr>
                <w:i/>
                <w:iCs/>
                <w:spacing w:val="0"/>
                <w:sz w:val="24"/>
              </w:rPr>
              <w:t xml:space="preserve"> </w:t>
            </w:r>
            <w:r>
              <w:rPr>
                <w:spacing w:val="0"/>
                <w:sz w:val="24"/>
              </w:rPr>
              <w:t>——</w:t>
            </w:r>
            <w:r>
              <w:rPr>
                <w:rFonts w:hint="eastAsia"/>
                <w:spacing w:val="0"/>
                <w:sz w:val="24"/>
              </w:rPr>
              <w:t>预测点的噪声预测值，</w:t>
            </w:r>
            <w:r>
              <w:rPr>
                <w:spacing w:val="0"/>
                <w:sz w:val="24"/>
              </w:rPr>
              <w:t>dB</w:t>
            </w:r>
            <w:r>
              <w:rPr>
                <w:rFonts w:hint="eastAsia"/>
                <w:spacing w:val="0"/>
                <w:sz w:val="24"/>
              </w:rPr>
              <w:t>；</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spacing w:val="0"/>
                <w:sz w:val="24"/>
              </w:rPr>
            </w:pPr>
            <w:r>
              <w:rPr>
                <w:i/>
                <w:iCs/>
                <w:spacing w:val="0"/>
                <w:sz w:val="24"/>
              </w:rPr>
              <w:t>L</w:t>
            </w:r>
            <w:r>
              <w:rPr>
                <w:spacing w:val="0"/>
                <w:sz w:val="24"/>
              </w:rPr>
              <w:t>eqg</w:t>
            </w:r>
            <w:r>
              <w:rPr>
                <w:i/>
                <w:iCs/>
                <w:spacing w:val="0"/>
                <w:sz w:val="24"/>
              </w:rPr>
              <w:t xml:space="preserve"> </w:t>
            </w:r>
            <w:r>
              <w:rPr>
                <w:spacing w:val="0"/>
                <w:sz w:val="24"/>
              </w:rPr>
              <w:t>——</w:t>
            </w:r>
            <w:r>
              <w:rPr>
                <w:rFonts w:hint="eastAsia"/>
                <w:spacing w:val="0"/>
                <w:sz w:val="24"/>
              </w:rPr>
              <w:t>建设项目声源在预测点产生的噪声贡献值，</w:t>
            </w:r>
            <w:r>
              <w:rPr>
                <w:spacing w:val="0"/>
                <w:sz w:val="24"/>
              </w:rPr>
              <w:t>dB</w:t>
            </w:r>
            <w:r>
              <w:rPr>
                <w:rFonts w:hint="eastAsia"/>
                <w:spacing w:val="0"/>
                <w:sz w:val="24"/>
              </w:rPr>
              <w:t>；</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spacing w:val="0"/>
                <w:sz w:val="24"/>
              </w:rPr>
            </w:pPr>
            <w:r>
              <w:rPr>
                <w:i/>
                <w:iCs/>
                <w:spacing w:val="0"/>
                <w:sz w:val="24"/>
              </w:rPr>
              <w:t>L</w:t>
            </w:r>
            <w:r>
              <w:rPr>
                <w:spacing w:val="0"/>
                <w:sz w:val="24"/>
              </w:rPr>
              <w:t>eqb</w:t>
            </w:r>
            <w:r>
              <w:rPr>
                <w:i/>
                <w:iCs/>
                <w:spacing w:val="0"/>
                <w:sz w:val="24"/>
              </w:rPr>
              <w:t xml:space="preserve"> </w:t>
            </w:r>
            <w:r>
              <w:rPr>
                <w:spacing w:val="0"/>
                <w:sz w:val="24"/>
              </w:rPr>
              <w:t>——</w:t>
            </w:r>
            <w:r>
              <w:rPr>
                <w:rFonts w:hint="eastAsia"/>
                <w:spacing w:val="0"/>
                <w:sz w:val="24"/>
              </w:rPr>
              <w:t>预测点的背景噪声值，</w:t>
            </w:r>
            <w:r>
              <w:rPr>
                <w:spacing w:val="0"/>
                <w:sz w:val="24"/>
              </w:rPr>
              <w:t>dB</w:t>
            </w:r>
            <w:r>
              <w:rPr>
                <w:rFonts w:hint="eastAsia"/>
                <w:spacing w:val="0"/>
                <w:sz w:val="24"/>
              </w:rPr>
              <w:t>。</w:t>
            </w:r>
          </w:p>
          <w:p>
            <w:pPr>
              <w:keepNext w:val="0"/>
              <w:keepLines w:val="0"/>
              <w:pageBreakBefore w:val="0"/>
              <w:widowControl w:val="0"/>
              <w:kinsoku/>
              <w:wordWrap/>
              <w:overflowPunct/>
              <w:topLinePunct w:val="0"/>
              <w:bidi w:val="0"/>
              <w:adjustRightInd/>
              <w:spacing w:line="500" w:lineRule="exact"/>
              <w:ind w:left="0" w:leftChars="0" w:firstLine="480" w:firstLineChars="200"/>
              <w:textAlignment w:val="auto"/>
              <w:rPr>
                <w:rFonts w:hint="eastAsia"/>
                <w:spacing w:val="0"/>
                <w:kern w:val="0"/>
                <w:sz w:val="24"/>
                <w:lang w:val="en-US" w:eastAsia="zh-CN"/>
              </w:rPr>
            </w:pPr>
            <w:r>
              <w:rPr>
                <w:spacing w:val="0"/>
                <w:sz w:val="24"/>
              </w:rPr>
              <w:t>根据计算得各测点噪声预测值</w:t>
            </w:r>
            <w:r>
              <w:rPr>
                <w:spacing w:val="0"/>
                <w:kern w:val="0"/>
                <w:sz w:val="24"/>
              </w:rPr>
              <w:t>。</w:t>
            </w:r>
            <w:r>
              <w:rPr>
                <w:rFonts w:hint="eastAsia"/>
                <w:spacing w:val="0"/>
                <w:kern w:val="0"/>
                <w:sz w:val="24"/>
                <w:lang w:val="en-US" w:eastAsia="zh-CN"/>
              </w:rPr>
              <w:t xml:space="preserve">        </w:t>
            </w:r>
          </w:p>
          <w:p>
            <w:pPr>
              <w:keepNext w:val="0"/>
              <w:keepLines w:val="0"/>
              <w:pageBreakBefore w:val="0"/>
              <w:widowControl w:val="0"/>
              <w:kinsoku/>
              <w:wordWrap/>
              <w:overflowPunct/>
              <w:topLinePunct w:val="0"/>
              <w:bidi w:val="0"/>
              <w:adjustRightInd/>
              <w:spacing w:line="500" w:lineRule="exact"/>
              <w:ind w:left="0" w:leftChars="0" w:firstLine="482" w:firstLineChars="200"/>
              <w:jc w:val="center"/>
              <w:textAlignment w:val="auto"/>
              <w:rPr>
                <w:rFonts w:hint="eastAsia" w:ascii="Times New Roman" w:hAnsi="Times New Roman"/>
                <w:b/>
                <w:bCs/>
                <w:color w:val="000000"/>
                <w:spacing w:val="0"/>
                <w:kern w:val="0"/>
              </w:rPr>
            </w:pPr>
            <w:r>
              <w:rPr>
                <w:rFonts w:ascii="Times New Roman" w:hAnsi="Times New Roman"/>
                <w:b/>
                <w:color w:val="000000"/>
                <w:spacing w:val="0"/>
                <w:sz w:val="24"/>
                <w:szCs w:val="24"/>
              </w:rPr>
              <w:t>表4-</w:t>
            </w:r>
            <w:r>
              <w:rPr>
                <w:rFonts w:hint="eastAsia" w:ascii="Times New Roman" w:hAnsi="Times New Roman"/>
                <w:b/>
                <w:color w:val="000000"/>
                <w:spacing w:val="0"/>
                <w:sz w:val="24"/>
                <w:szCs w:val="24"/>
                <w:lang w:val="en-US" w:eastAsia="zh-CN"/>
              </w:rPr>
              <w:t>1</w:t>
            </w:r>
            <w:r>
              <w:rPr>
                <w:rFonts w:hint="eastAsia"/>
                <w:b/>
                <w:color w:val="000000"/>
                <w:spacing w:val="0"/>
                <w:sz w:val="24"/>
                <w:szCs w:val="24"/>
                <w:lang w:val="en-US" w:eastAsia="zh-CN"/>
              </w:rPr>
              <w:t>7</w:t>
            </w:r>
            <w:r>
              <w:rPr>
                <w:rFonts w:hint="eastAsia" w:ascii="Times New Roman" w:hAnsi="Times New Roman"/>
                <w:b/>
                <w:color w:val="000000"/>
                <w:spacing w:val="0"/>
                <w:sz w:val="24"/>
                <w:szCs w:val="24"/>
              </w:rPr>
              <w:t xml:space="preserve">  工业企业噪声源强调查清单（室外声源）</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50"/>
              <w:gridCol w:w="721"/>
              <w:gridCol w:w="887"/>
              <w:gridCol w:w="663"/>
              <w:gridCol w:w="625"/>
              <w:gridCol w:w="662"/>
              <w:gridCol w:w="913"/>
              <w:gridCol w:w="1987"/>
              <w:gridCol w:w="14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restart"/>
                  <w:noWrap w:val="0"/>
                  <w:vAlign w:val="center"/>
                </w:tcPr>
                <w:p>
                  <w:pPr>
                    <w:jc w:val="center"/>
                    <w:rPr>
                      <w:rFonts w:ascii="Times New Roman" w:hAnsi="Times New Roman"/>
                      <w:color w:val="000000"/>
                      <w:spacing w:val="0"/>
                      <w:sz w:val="21"/>
                      <w:szCs w:val="21"/>
                    </w:rPr>
                  </w:pPr>
                  <w:r>
                    <w:rPr>
                      <w:rFonts w:ascii="Times New Roman" w:hAnsi="Times New Roman"/>
                      <w:b/>
                      <w:color w:val="000000"/>
                      <w:spacing w:val="0"/>
                      <w:sz w:val="21"/>
                      <w:szCs w:val="21"/>
                    </w:rPr>
                    <w:t>序号</w:t>
                  </w:r>
                </w:p>
              </w:tc>
              <w:tc>
                <w:tcPr>
                  <w:tcW w:w="721" w:type="dxa"/>
                  <w:vMerge w:val="restart"/>
                  <w:noWrap w:val="0"/>
                  <w:vAlign w:val="center"/>
                </w:tcPr>
                <w:p>
                  <w:pPr>
                    <w:jc w:val="center"/>
                    <w:rPr>
                      <w:rFonts w:ascii="Times New Roman" w:hAnsi="Times New Roman"/>
                      <w:b/>
                      <w:color w:val="000000"/>
                      <w:spacing w:val="0"/>
                      <w:sz w:val="21"/>
                      <w:szCs w:val="21"/>
                    </w:rPr>
                  </w:pPr>
                  <w:r>
                    <w:rPr>
                      <w:rFonts w:ascii="Times New Roman" w:hAnsi="Times New Roman"/>
                      <w:b/>
                      <w:color w:val="000000"/>
                      <w:spacing w:val="0"/>
                      <w:sz w:val="21"/>
                      <w:szCs w:val="21"/>
                    </w:rPr>
                    <w:t>声源</w:t>
                  </w:r>
                </w:p>
                <w:p>
                  <w:pPr>
                    <w:jc w:val="center"/>
                    <w:rPr>
                      <w:rFonts w:ascii="Times New Roman" w:hAnsi="Times New Roman"/>
                      <w:color w:val="000000"/>
                      <w:spacing w:val="0"/>
                      <w:sz w:val="21"/>
                      <w:szCs w:val="21"/>
                    </w:rPr>
                  </w:pPr>
                  <w:r>
                    <w:rPr>
                      <w:rFonts w:ascii="Times New Roman" w:hAnsi="Times New Roman"/>
                      <w:b/>
                      <w:color w:val="000000"/>
                      <w:spacing w:val="0"/>
                      <w:sz w:val="21"/>
                      <w:szCs w:val="21"/>
                    </w:rPr>
                    <w:t>名称</w:t>
                  </w:r>
                </w:p>
              </w:tc>
              <w:tc>
                <w:tcPr>
                  <w:tcW w:w="887" w:type="dxa"/>
                  <w:vMerge w:val="restart"/>
                  <w:noWrap w:val="0"/>
                  <w:vAlign w:val="center"/>
                </w:tcPr>
                <w:p>
                  <w:pPr>
                    <w:jc w:val="center"/>
                    <w:rPr>
                      <w:rFonts w:ascii="Times New Roman" w:hAnsi="Times New Roman"/>
                      <w:color w:val="000000"/>
                      <w:spacing w:val="0"/>
                      <w:sz w:val="21"/>
                      <w:szCs w:val="21"/>
                    </w:rPr>
                  </w:pPr>
                  <w:r>
                    <w:rPr>
                      <w:rFonts w:ascii="Times New Roman" w:hAnsi="Times New Roman"/>
                      <w:b/>
                      <w:color w:val="000000"/>
                      <w:spacing w:val="0"/>
                      <w:sz w:val="21"/>
                      <w:szCs w:val="21"/>
                    </w:rPr>
                    <w:t>型号</w:t>
                  </w:r>
                </w:p>
              </w:tc>
              <w:tc>
                <w:tcPr>
                  <w:tcW w:w="1950" w:type="dxa"/>
                  <w:gridSpan w:val="3"/>
                  <w:noWrap w:val="0"/>
                  <w:vAlign w:val="center"/>
                </w:tcPr>
                <w:p>
                  <w:pPr>
                    <w:jc w:val="center"/>
                    <w:rPr>
                      <w:rFonts w:ascii="Times New Roman" w:hAnsi="Times New Roman"/>
                      <w:color w:val="000000"/>
                      <w:spacing w:val="0"/>
                      <w:sz w:val="21"/>
                      <w:szCs w:val="21"/>
                    </w:rPr>
                  </w:pPr>
                  <w:r>
                    <w:rPr>
                      <w:rFonts w:ascii="Times New Roman" w:hAnsi="Times New Roman"/>
                      <w:b/>
                      <w:color w:val="000000"/>
                      <w:spacing w:val="0"/>
                      <w:sz w:val="21"/>
                      <w:szCs w:val="21"/>
                    </w:rPr>
                    <w:t>空间相对位置/m</w:t>
                  </w:r>
                </w:p>
              </w:tc>
              <w:tc>
                <w:tcPr>
                  <w:tcW w:w="913" w:type="dxa"/>
                  <w:vMerge w:val="restart"/>
                  <w:noWrap w:val="0"/>
                  <w:vAlign w:val="center"/>
                </w:tcPr>
                <w:p>
                  <w:pPr>
                    <w:jc w:val="center"/>
                    <w:rPr>
                      <w:rFonts w:ascii="Times New Roman" w:hAnsi="Times New Roman"/>
                      <w:b/>
                      <w:bCs/>
                      <w:color w:val="000000"/>
                      <w:spacing w:val="0"/>
                      <w:sz w:val="21"/>
                      <w:szCs w:val="21"/>
                    </w:rPr>
                  </w:pPr>
                  <w:r>
                    <w:rPr>
                      <w:rFonts w:ascii="Times New Roman" w:hAnsi="Times New Roman"/>
                      <w:b/>
                      <w:bCs/>
                      <w:color w:val="000000"/>
                      <w:spacing w:val="0"/>
                      <w:sz w:val="21"/>
                      <w:szCs w:val="21"/>
                    </w:rPr>
                    <w:t>声功率级</w:t>
                  </w:r>
                </w:p>
                <w:p>
                  <w:pPr>
                    <w:jc w:val="center"/>
                    <w:rPr>
                      <w:rFonts w:ascii="Times New Roman" w:hAnsi="Times New Roman"/>
                      <w:b/>
                      <w:bCs/>
                      <w:color w:val="000000"/>
                      <w:spacing w:val="0"/>
                      <w:sz w:val="21"/>
                      <w:szCs w:val="21"/>
                    </w:rPr>
                  </w:pPr>
                  <w:r>
                    <w:rPr>
                      <w:rFonts w:ascii="Times New Roman" w:hAnsi="Times New Roman"/>
                      <w:b/>
                      <w:bCs/>
                      <w:color w:val="000000"/>
                      <w:spacing w:val="0"/>
                      <w:sz w:val="21"/>
                      <w:szCs w:val="21"/>
                    </w:rPr>
                    <w:t>/dB(A)</w:t>
                  </w:r>
                </w:p>
              </w:tc>
              <w:tc>
                <w:tcPr>
                  <w:tcW w:w="1987" w:type="dxa"/>
                  <w:vMerge w:val="restart"/>
                  <w:noWrap w:val="0"/>
                  <w:vAlign w:val="center"/>
                </w:tcPr>
                <w:p>
                  <w:pPr>
                    <w:jc w:val="center"/>
                    <w:rPr>
                      <w:rFonts w:ascii="Times New Roman" w:hAnsi="Times New Roman"/>
                      <w:color w:val="000000"/>
                      <w:spacing w:val="0"/>
                      <w:sz w:val="21"/>
                      <w:szCs w:val="21"/>
                    </w:rPr>
                  </w:pPr>
                  <w:r>
                    <w:rPr>
                      <w:rFonts w:ascii="Times New Roman" w:hAnsi="Times New Roman"/>
                      <w:b/>
                      <w:color w:val="000000"/>
                      <w:spacing w:val="0"/>
                      <w:sz w:val="21"/>
                      <w:szCs w:val="21"/>
                    </w:rPr>
                    <w:t>声源控制措施</w:t>
                  </w:r>
                </w:p>
              </w:tc>
              <w:tc>
                <w:tcPr>
                  <w:tcW w:w="1496" w:type="dxa"/>
                  <w:vMerge w:val="restart"/>
                  <w:noWrap w:val="0"/>
                  <w:vAlign w:val="center"/>
                </w:tcPr>
                <w:p>
                  <w:pPr>
                    <w:jc w:val="center"/>
                    <w:rPr>
                      <w:rFonts w:hint="eastAsia" w:ascii="Times New Roman" w:hAnsi="Times New Roman"/>
                      <w:color w:val="000000"/>
                      <w:spacing w:val="0"/>
                      <w:sz w:val="21"/>
                      <w:szCs w:val="21"/>
                    </w:rPr>
                  </w:pPr>
                  <w:r>
                    <w:rPr>
                      <w:rFonts w:ascii="Times New Roman" w:hAnsi="Times New Roman"/>
                      <w:b/>
                      <w:color w:val="000000"/>
                      <w:spacing w:val="0"/>
                      <w:sz w:val="21"/>
                      <w:szCs w:val="21"/>
                    </w:rPr>
                    <w:t>运行时段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noWrap w:val="0"/>
                  <w:vAlign w:val="center"/>
                </w:tcPr>
                <w:p>
                  <w:pPr>
                    <w:jc w:val="center"/>
                    <w:rPr>
                      <w:rFonts w:ascii="Times New Roman" w:hAnsi="Times New Roman"/>
                      <w:color w:val="000000"/>
                      <w:spacing w:val="0"/>
                      <w:sz w:val="21"/>
                      <w:szCs w:val="21"/>
                    </w:rPr>
                  </w:pPr>
                </w:p>
              </w:tc>
              <w:tc>
                <w:tcPr>
                  <w:tcW w:w="721" w:type="dxa"/>
                  <w:vMerge w:val="continue"/>
                  <w:noWrap w:val="0"/>
                  <w:vAlign w:val="center"/>
                </w:tcPr>
                <w:p>
                  <w:pPr>
                    <w:jc w:val="center"/>
                    <w:rPr>
                      <w:rFonts w:ascii="Times New Roman" w:hAnsi="Times New Roman"/>
                      <w:color w:val="000000"/>
                      <w:spacing w:val="0"/>
                      <w:sz w:val="21"/>
                      <w:szCs w:val="21"/>
                    </w:rPr>
                  </w:pPr>
                </w:p>
              </w:tc>
              <w:tc>
                <w:tcPr>
                  <w:tcW w:w="887" w:type="dxa"/>
                  <w:vMerge w:val="continue"/>
                  <w:noWrap w:val="0"/>
                  <w:vAlign w:val="center"/>
                </w:tcPr>
                <w:p>
                  <w:pPr>
                    <w:jc w:val="center"/>
                    <w:rPr>
                      <w:rFonts w:ascii="Times New Roman" w:hAnsi="Times New Roman"/>
                      <w:color w:val="000000"/>
                      <w:spacing w:val="0"/>
                      <w:sz w:val="21"/>
                      <w:szCs w:val="21"/>
                    </w:rPr>
                  </w:pPr>
                </w:p>
              </w:tc>
              <w:tc>
                <w:tcPr>
                  <w:tcW w:w="663" w:type="dxa"/>
                  <w:noWrap w:val="0"/>
                  <w:vAlign w:val="center"/>
                </w:tcPr>
                <w:p>
                  <w:pPr>
                    <w:jc w:val="center"/>
                    <w:rPr>
                      <w:rFonts w:ascii="Times New Roman" w:hAnsi="Times New Roman"/>
                      <w:b/>
                      <w:bCs/>
                      <w:color w:val="000000"/>
                      <w:spacing w:val="0"/>
                      <w:kern w:val="2"/>
                      <w:sz w:val="21"/>
                      <w:szCs w:val="21"/>
                      <w:lang w:val="en-US" w:eastAsia="zh-CN" w:bidi="ar-SA"/>
                    </w:rPr>
                  </w:pPr>
                  <w:r>
                    <w:rPr>
                      <w:rFonts w:ascii="Times New Roman" w:hAnsi="Times New Roman"/>
                      <w:b/>
                      <w:bCs/>
                      <w:color w:val="000000"/>
                      <w:spacing w:val="0"/>
                      <w:sz w:val="21"/>
                      <w:szCs w:val="21"/>
                    </w:rPr>
                    <w:t>X</w:t>
                  </w:r>
                </w:p>
              </w:tc>
              <w:tc>
                <w:tcPr>
                  <w:tcW w:w="625" w:type="dxa"/>
                  <w:noWrap w:val="0"/>
                  <w:vAlign w:val="center"/>
                </w:tcPr>
                <w:p>
                  <w:pPr>
                    <w:jc w:val="center"/>
                    <w:rPr>
                      <w:rFonts w:ascii="Times New Roman" w:hAnsi="Times New Roman"/>
                      <w:b/>
                      <w:bCs/>
                      <w:color w:val="000000"/>
                      <w:spacing w:val="0"/>
                      <w:kern w:val="2"/>
                      <w:sz w:val="21"/>
                      <w:szCs w:val="21"/>
                      <w:lang w:val="en-US" w:eastAsia="zh-CN" w:bidi="ar-SA"/>
                    </w:rPr>
                  </w:pPr>
                  <w:r>
                    <w:rPr>
                      <w:rFonts w:ascii="Times New Roman" w:hAnsi="Times New Roman"/>
                      <w:b/>
                      <w:bCs/>
                      <w:color w:val="000000"/>
                      <w:spacing w:val="0"/>
                      <w:sz w:val="21"/>
                      <w:szCs w:val="21"/>
                    </w:rPr>
                    <w:t>Y</w:t>
                  </w:r>
                </w:p>
              </w:tc>
              <w:tc>
                <w:tcPr>
                  <w:tcW w:w="662" w:type="dxa"/>
                  <w:noWrap w:val="0"/>
                  <w:vAlign w:val="center"/>
                </w:tcPr>
                <w:p>
                  <w:pPr>
                    <w:jc w:val="center"/>
                    <w:rPr>
                      <w:rFonts w:ascii="Times New Roman" w:hAnsi="Times New Roman"/>
                      <w:b/>
                      <w:bCs/>
                      <w:color w:val="000000"/>
                      <w:spacing w:val="0"/>
                      <w:kern w:val="2"/>
                      <w:sz w:val="21"/>
                      <w:szCs w:val="21"/>
                      <w:lang w:val="en-US" w:eastAsia="zh-CN" w:bidi="ar-SA"/>
                    </w:rPr>
                  </w:pPr>
                  <w:r>
                    <w:rPr>
                      <w:rFonts w:ascii="Times New Roman" w:hAnsi="Times New Roman"/>
                      <w:b/>
                      <w:bCs/>
                      <w:color w:val="000000"/>
                      <w:spacing w:val="0"/>
                      <w:sz w:val="21"/>
                      <w:szCs w:val="21"/>
                    </w:rPr>
                    <w:t>Z</w:t>
                  </w:r>
                </w:p>
              </w:tc>
              <w:tc>
                <w:tcPr>
                  <w:tcW w:w="913" w:type="dxa"/>
                  <w:vMerge w:val="continue"/>
                  <w:noWrap w:val="0"/>
                  <w:vAlign w:val="center"/>
                </w:tcPr>
                <w:p>
                  <w:pPr>
                    <w:jc w:val="center"/>
                    <w:rPr>
                      <w:rFonts w:ascii="Times New Roman" w:hAnsi="Times New Roman"/>
                      <w:b/>
                      <w:bCs/>
                      <w:color w:val="000000"/>
                      <w:spacing w:val="0"/>
                      <w:sz w:val="21"/>
                      <w:szCs w:val="21"/>
                    </w:rPr>
                  </w:pPr>
                </w:p>
              </w:tc>
              <w:tc>
                <w:tcPr>
                  <w:tcW w:w="1987" w:type="dxa"/>
                  <w:vMerge w:val="continue"/>
                  <w:noWrap w:val="0"/>
                  <w:vAlign w:val="center"/>
                </w:tcPr>
                <w:p>
                  <w:pPr>
                    <w:jc w:val="center"/>
                    <w:rPr>
                      <w:rFonts w:ascii="Times New Roman" w:hAnsi="Times New Roman"/>
                      <w:color w:val="000000"/>
                      <w:spacing w:val="0"/>
                      <w:sz w:val="21"/>
                      <w:szCs w:val="21"/>
                    </w:rPr>
                  </w:pPr>
                </w:p>
              </w:tc>
              <w:tc>
                <w:tcPr>
                  <w:tcW w:w="1496" w:type="dxa"/>
                  <w:vMerge w:val="continue"/>
                  <w:noWrap w:val="0"/>
                  <w:vAlign w:val="center"/>
                </w:tcPr>
                <w:p>
                  <w:pPr>
                    <w:jc w:val="center"/>
                    <w:rPr>
                      <w:rFonts w:ascii="Times New Roman" w:hAnsi="Times New Roman"/>
                      <w:color w:val="000000"/>
                      <w:spacing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noWrap w:val="0"/>
                  <w:vAlign w:val="center"/>
                </w:tcPr>
                <w:p>
                  <w:pPr>
                    <w:jc w:val="center"/>
                    <w:rPr>
                      <w:rFonts w:hint="default"/>
                      <w:color w:val="000000"/>
                      <w:spacing w:val="0"/>
                      <w:sz w:val="21"/>
                      <w:szCs w:val="21"/>
                      <w:lang w:val="en-US" w:eastAsia="zh-CN"/>
                    </w:rPr>
                  </w:pPr>
                  <w:r>
                    <w:rPr>
                      <w:rFonts w:hint="eastAsia"/>
                      <w:color w:val="000000"/>
                      <w:spacing w:val="0"/>
                      <w:sz w:val="21"/>
                      <w:szCs w:val="21"/>
                      <w:lang w:val="en-US" w:eastAsia="zh-CN"/>
                    </w:rPr>
                    <w:t>1</w:t>
                  </w:r>
                </w:p>
              </w:tc>
              <w:tc>
                <w:tcPr>
                  <w:tcW w:w="721" w:type="dxa"/>
                  <w:noWrap w:val="0"/>
                  <w:vAlign w:val="center"/>
                </w:tcPr>
                <w:p>
                  <w:pPr>
                    <w:widowControl/>
                    <w:jc w:val="center"/>
                    <w:rPr>
                      <w:rFonts w:hint="default"/>
                      <w:color w:val="000000"/>
                      <w:spacing w:val="0"/>
                      <w:sz w:val="21"/>
                      <w:szCs w:val="21"/>
                      <w:lang w:val="en-US" w:eastAsia="zh-CN"/>
                    </w:rPr>
                  </w:pPr>
                  <w:r>
                    <w:rPr>
                      <w:rFonts w:hint="eastAsia"/>
                      <w:color w:val="000000"/>
                      <w:spacing w:val="0"/>
                      <w:sz w:val="21"/>
                      <w:szCs w:val="21"/>
                      <w:lang w:val="en-US" w:eastAsia="zh-CN"/>
                    </w:rPr>
                    <w:t>风机</w:t>
                  </w:r>
                </w:p>
              </w:tc>
              <w:tc>
                <w:tcPr>
                  <w:tcW w:w="887" w:type="dxa"/>
                  <w:noWrap w:val="0"/>
                  <w:vAlign w:val="center"/>
                </w:tcPr>
                <w:p>
                  <w:pPr>
                    <w:jc w:val="center"/>
                    <w:rPr>
                      <w:rFonts w:hint="default"/>
                      <w:color w:val="auto"/>
                      <w:spacing w:val="0"/>
                      <w:sz w:val="21"/>
                      <w:szCs w:val="21"/>
                      <w:lang w:val="en-US" w:eastAsia="zh-CN"/>
                    </w:rPr>
                  </w:pPr>
                  <w:r>
                    <w:rPr>
                      <w:rFonts w:hint="eastAsia"/>
                      <w:color w:val="auto"/>
                      <w:spacing w:val="0"/>
                      <w:sz w:val="21"/>
                      <w:szCs w:val="21"/>
                      <w:lang w:val="en-US" w:eastAsia="zh-CN"/>
                    </w:rPr>
                    <w:t>7000m</w:t>
                  </w:r>
                  <w:r>
                    <w:rPr>
                      <w:rFonts w:hint="eastAsia"/>
                      <w:color w:val="auto"/>
                      <w:spacing w:val="0"/>
                      <w:sz w:val="21"/>
                      <w:szCs w:val="21"/>
                      <w:vertAlign w:val="superscript"/>
                      <w:lang w:val="en-US" w:eastAsia="zh-CN"/>
                    </w:rPr>
                    <w:t>3</w:t>
                  </w:r>
                  <w:r>
                    <w:rPr>
                      <w:rFonts w:hint="eastAsia"/>
                      <w:color w:val="auto"/>
                      <w:spacing w:val="0"/>
                      <w:sz w:val="21"/>
                      <w:szCs w:val="21"/>
                      <w:lang w:val="en-US" w:eastAsia="zh-CN"/>
                    </w:rPr>
                    <w:t>/h</w:t>
                  </w:r>
                </w:p>
              </w:tc>
              <w:tc>
                <w:tcPr>
                  <w:tcW w:w="663" w:type="dxa"/>
                  <w:noWrap w:val="0"/>
                  <w:vAlign w:val="center"/>
                </w:tcPr>
                <w:p>
                  <w:pPr>
                    <w:adjustRightInd w:val="0"/>
                    <w:snapToGrid w:val="0"/>
                    <w:jc w:val="center"/>
                    <w:rPr>
                      <w:rFonts w:hint="default"/>
                      <w:bCs/>
                      <w:color w:val="000000"/>
                      <w:spacing w:val="0"/>
                      <w:sz w:val="21"/>
                      <w:szCs w:val="21"/>
                      <w:lang w:val="en-US" w:eastAsia="zh-CN"/>
                    </w:rPr>
                  </w:pPr>
                  <w:r>
                    <w:rPr>
                      <w:rFonts w:hint="eastAsia"/>
                      <w:bCs/>
                      <w:color w:val="000000"/>
                      <w:spacing w:val="0"/>
                      <w:sz w:val="21"/>
                      <w:szCs w:val="21"/>
                      <w:lang w:val="en-US" w:eastAsia="zh-CN"/>
                    </w:rPr>
                    <w:t>-5</w:t>
                  </w:r>
                </w:p>
              </w:tc>
              <w:tc>
                <w:tcPr>
                  <w:tcW w:w="625" w:type="dxa"/>
                  <w:noWrap w:val="0"/>
                  <w:vAlign w:val="center"/>
                </w:tcPr>
                <w:p>
                  <w:pPr>
                    <w:widowControl/>
                    <w:jc w:val="center"/>
                    <w:textAlignment w:val="center"/>
                    <w:rPr>
                      <w:rFonts w:hint="default"/>
                      <w:bCs/>
                      <w:color w:val="000000"/>
                      <w:spacing w:val="0"/>
                      <w:sz w:val="21"/>
                      <w:szCs w:val="21"/>
                      <w:lang w:val="en-US" w:eastAsia="zh-CN"/>
                    </w:rPr>
                  </w:pPr>
                  <w:r>
                    <w:rPr>
                      <w:rFonts w:hint="eastAsia"/>
                      <w:bCs/>
                      <w:color w:val="000000"/>
                      <w:spacing w:val="0"/>
                      <w:sz w:val="21"/>
                      <w:szCs w:val="21"/>
                      <w:lang w:val="en-US" w:eastAsia="zh-CN"/>
                    </w:rPr>
                    <w:t>20</w:t>
                  </w:r>
                </w:p>
              </w:tc>
              <w:tc>
                <w:tcPr>
                  <w:tcW w:w="662" w:type="dxa"/>
                  <w:noWrap w:val="0"/>
                  <w:vAlign w:val="center"/>
                </w:tcPr>
                <w:p>
                  <w:pPr>
                    <w:jc w:val="center"/>
                    <w:rPr>
                      <w:rFonts w:hint="default"/>
                      <w:color w:val="000000"/>
                      <w:spacing w:val="0"/>
                      <w:sz w:val="21"/>
                      <w:szCs w:val="21"/>
                      <w:lang w:val="en-US" w:eastAsia="zh-CN"/>
                    </w:rPr>
                  </w:pPr>
                  <w:r>
                    <w:rPr>
                      <w:rFonts w:hint="eastAsia"/>
                      <w:color w:val="000000"/>
                      <w:spacing w:val="0"/>
                      <w:sz w:val="21"/>
                      <w:szCs w:val="21"/>
                      <w:lang w:val="en-US" w:eastAsia="zh-CN"/>
                    </w:rPr>
                    <w:t>0</w:t>
                  </w:r>
                </w:p>
              </w:tc>
              <w:tc>
                <w:tcPr>
                  <w:tcW w:w="913" w:type="dxa"/>
                  <w:noWrap w:val="0"/>
                  <w:vAlign w:val="center"/>
                </w:tcPr>
                <w:p>
                  <w:pPr>
                    <w:jc w:val="center"/>
                    <w:rPr>
                      <w:rFonts w:hint="default"/>
                      <w:color w:val="000000"/>
                      <w:spacing w:val="0"/>
                      <w:sz w:val="21"/>
                      <w:szCs w:val="21"/>
                      <w:lang w:val="en-US" w:eastAsia="zh-CN"/>
                    </w:rPr>
                  </w:pPr>
                  <w:r>
                    <w:rPr>
                      <w:rFonts w:hint="eastAsia"/>
                      <w:color w:val="000000"/>
                      <w:spacing w:val="0"/>
                      <w:sz w:val="21"/>
                      <w:szCs w:val="21"/>
                      <w:lang w:val="en-US" w:eastAsia="zh-CN"/>
                    </w:rPr>
                    <w:t>82</w:t>
                  </w:r>
                </w:p>
              </w:tc>
              <w:tc>
                <w:tcPr>
                  <w:tcW w:w="1987" w:type="dxa"/>
                  <w:vMerge w:val="restart"/>
                  <w:noWrap w:val="0"/>
                  <w:vAlign w:val="center"/>
                </w:tcPr>
                <w:p>
                  <w:pPr>
                    <w:jc w:val="center"/>
                    <w:rPr>
                      <w:rFonts w:hint="eastAsia" w:ascii="Times New Roman" w:hAnsi="Times New Roman" w:eastAsia="宋体" w:cs="Times New Roman"/>
                      <w:color w:val="000000"/>
                      <w:spacing w:val="0"/>
                      <w:sz w:val="21"/>
                      <w:szCs w:val="21"/>
                    </w:rPr>
                  </w:pPr>
                  <w:r>
                    <w:rPr>
                      <w:rFonts w:hint="eastAsia" w:cs="Times New Roman"/>
                      <w:i w:val="0"/>
                      <w:iCs w:val="0"/>
                      <w:color w:val="000000"/>
                      <w:spacing w:val="0"/>
                      <w:kern w:val="0"/>
                      <w:sz w:val="21"/>
                      <w:szCs w:val="21"/>
                      <w:u w:val="none"/>
                      <w:lang w:val="en-US" w:eastAsia="zh-CN" w:bidi="ar"/>
                    </w:rPr>
                    <w:t>隔声罩、消声器、柔性软接头、减振垫</w:t>
                  </w:r>
                </w:p>
              </w:tc>
              <w:tc>
                <w:tcPr>
                  <w:tcW w:w="1496" w:type="dxa"/>
                  <w:noWrap w:val="0"/>
                  <w:vAlign w:val="center"/>
                </w:tcPr>
                <w:p>
                  <w:pPr>
                    <w:jc w:val="center"/>
                    <w:rPr>
                      <w:rFonts w:hint="eastAsia" w:cs="Times New Roman"/>
                      <w:color w:val="000000"/>
                      <w:sz w:val="21"/>
                      <w:szCs w:val="21"/>
                      <w:lang w:val="en-US" w:eastAsia="zh-CN"/>
                    </w:rPr>
                  </w:pPr>
                  <w:r>
                    <w:rPr>
                      <w:rFonts w:hint="eastAsia" w:ascii="Times New Roman" w:hAnsi="Times New Roman" w:eastAsia="宋体" w:cs="Times New Roman"/>
                      <w:color w:val="000000"/>
                      <w:sz w:val="21"/>
                      <w:szCs w:val="21"/>
                    </w:rPr>
                    <w:t>（08:00~1</w:t>
                  </w:r>
                  <w:r>
                    <w:rPr>
                      <w:rFonts w:hint="eastAsia" w:cs="Times New Roman"/>
                      <w:color w:val="000000"/>
                      <w:sz w:val="21"/>
                      <w:szCs w:val="21"/>
                      <w:lang w:val="en-US" w:eastAsia="zh-CN"/>
                    </w:rPr>
                    <w:t>1</w:t>
                  </w:r>
                  <w:r>
                    <w:rPr>
                      <w:rFonts w:hint="eastAsia" w:ascii="Times New Roman" w:hAnsi="Times New Roman" w:eastAsia="宋体" w:cs="Times New Roman"/>
                      <w:color w:val="000000"/>
                      <w:sz w:val="21"/>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noWrap w:val="0"/>
                  <w:vAlign w:val="center"/>
                </w:tcPr>
                <w:p>
                  <w:pPr>
                    <w:jc w:val="center"/>
                    <w:rPr>
                      <w:rFonts w:hint="default"/>
                      <w:color w:val="000000"/>
                      <w:spacing w:val="0"/>
                      <w:sz w:val="21"/>
                      <w:szCs w:val="21"/>
                      <w:lang w:val="en-US" w:eastAsia="zh-CN"/>
                    </w:rPr>
                  </w:pPr>
                  <w:r>
                    <w:rPr>
                      <w:rFonts w:hint="eastAsia"/>
                      <w:color w:val="000000"/>
                      <w:spacing w:val="0"/>
                      <w:sz w:val="21"/>
                      <w:szCs w:val="21"/>
                      <w:lang w:val="en-US" w:eastAsia="zh-CN"/>
                    </w:rPr>
                    <w:t>2</w:t>
                  </w:r>
                </w:p>
              </w:tc>
              <w:tc>
                <w:tcPr>
                  <w:tcW w:w="721" w:type="dxa"/>
                  <w:noWrap w:val="0"/>
                  <w:vAlign w:val="center"/>
                </w:tcPr>
                <w:p>
                  <w:pPr>
                    <w:widowControl/>
                    <w:jc w:val="center"/>
                    <w:rPr>
                      <w:rFonts w:hint="default"/>
                      <w:color w:val="000000"/>
                      <w:spacing w:val="0"/>
                      <w:sz w:val="21"/>
                      <w:szCs w:val="21"/>
                      <w:lang w:val="en-US" w:eastAsia="zh-CN"/>
                    </w:rPr>
                  </w:pPr>
                  <w:r>
                    <w:rPr>
                      <w:rFonts w:hint="eastAsia"/>
                      <w:color w:val="000000"/>
                      <w:spacing w:val="0"/>
                      <w:sz w:val="21"/>
                      <w:szCs w:val="21"/>
                      <w:lang w:val="en-US" w:eastAsia="zh-CN"/>
                    </w:rPr>
                    <w:t>风机</w:t>
                  </w:r>
                </w:p>
              </w:tc>
              <w:tc>
                <w:tcPr>
                  <w:tcW w:w="887" w:type="dxa"/>
                  <w:noWrap w:val="0"/>
                  <w:vAlign w:val="center"/>
                </w:tcPr>
                <w:p>
                  <w:pPr>
                    <w:jc w:val="center"/>
                    <w:rPr>
                      <w:rFonts w:hint="default"/>
                      <w:color w:val="auto"/>
                      <w:spacing w:val="0"/>
                      <w:sz w:val="21"/>
                      <w:szCs w:val="21"/>
                      <w:lang w:val="en-US" w:eastAsia="zh-CN"/>
                    </w:rPr>
                  </w:pPr>
                  <w:r>
                    <w:rPr>
                      <w:rFonts w:hint="eastAsia"/>
                      <w:color w:val="auto"/>
                      <w:spacing w:val="0"/>
                      <w:sz w:val="21"/>
                      <w:szCs w:val="21"/>
                      <w:lang w:val="en-US" w:eastAsia="zh-CN"/>
                    </w:rPr>
                    <w:t>3000m</w:t>
                  </w:r>
                  <w:r>
                    <w:rPr>
                      <w:rFonts w:hint="eastAsia"/>
                      <w:color w:val="auto"/>
                      <w:spacing w:val="0"/>
                      <w:sz w:val="21"/>
                      <w:szCs w:val="21"/>
                      <w:vertAlign w:val="superscript"/>
                      <w:lang w:val="en-US" w:eastAsia="zh-CN"/>
                    </w:rPr>
                    <w:t>3</w:t>
                  </w:r>
                  <w:r>
                    <w:rPr>
                      <w:rFonts w:hint="eastAsia"/>
                      <w:color w:val="auto"/>
                      <w:spacing w:val="0"/>
                      <w:sz w:val="21"/>
                      <w:szCs w:val="21"/>
                      <w:lang w:val="en-US" w:eastAsia="zh-CN"/>
                    </w:rPr>
                    <w:t>/h</w:t>
                  </w:r>
                </w:p>
              </w:tc>
              <w:tc>
                <w:tcPr>
                  <w:tcW w:w="663" w:type="dxa"/>
                  <w:noWrap w:val="0"/>
                  <w:vAlign w:val="center"/>
                </w:tcPr>
                <w:p>
                  <w:pPr>
                    <w:adjustRightInd w:val="0"/>
                    <w:snapToGrid w:val="0"/>
                    <w:jc w:val="center"/>
                    <w:rPr>
                      <w:rFonts w:hint="default"/>
                      <w:bCs/>
                      <w:color w:val="000000"/>
                      <w:spacing w:val="0"/>
                      <w:sz w:val="21"/>
                      <w:szCs w:val="21"/>
                      <w:lang w:val="en-US" w:eastAsia="zh-CN"/>
                    </w:rPr>
                  </w:pPr>
                  <w:r>
                    <w:rPr>
                      <w:rFonts w:hint="eastAsia"/>
                      <w:bCs/>
                      <w:color w:val="000000"/>
                      <w:spacing w:val="0"/>
                      <w:sz w:val="21"/>
                      <w:szCs w:val="21"/>
                      <w:lang w:val="en-US" w:eastAsia="zh-CN"/>
                    </w:rPr>
                    <w:t>-5</w:t>
                  </w:r>
                </w:p>
              </w:tc>
              <w:tc>
                <w:tcPr>
                  <w:tcW w:w="625" w:type="dxa"/>
                  <w:noWrap w:val="0"/>
                  <w:vAlign w:val="center"/>
                </w:tcPr>
                <w:p>
                  <w:pPr>
                    <w:widowControl/>
                    <w:jc w:val="center"/>
                    <w:textAlignment w:val="center"/>
                    <w:rPr>
                      <w:rFonts w:hint="default"/>
                      <w:bCs/>
                      <w:color w:val="000000"/>
                      <w:spacing w:val="0"/>
                      <w:sz w:val="21"/>
                      <w:szCs w:val="21"/>
                      <w:lang w:val="en-US" w:eastAsia="zh-CN"/>
                    </w:rPr>
                  </w:pPr>
                  <w:r>
                    <w:rPr>
                      <w:rFonts w:hint="eastAsia"/>
                      <w:bCs/>
                      <w:color w:val="000000"/>
                      <w:spacing w:val="0"/>
                      <w:sz w:val="21"/>
                      <w:szCs w:val="21"/>
                      <w:lang w:val="en-US" w:eastAsia="zh-CN"/>
                    </w:rPr>
                    <w:t>0</w:t>
                  </w:r>
                </w:p>
              </w:tc>
              <w:tc>
                <w:tcPr>
                  <w:tcW w:w="662" w:type="dxa"/>
                  <w:noWrap w:val="0"/>
                  <w:vAlign w:val="center"/>
                </w:tcPr>
                <w:p>
                  <w:pPr>
                    <w:jc w:val="center"/>
                    <w:rPr>
                      <w:rFonts w:hint="default"/>
                      <w:color w:val="000000"/>
                      <w:spacing w:val="0"/>
                      <w:sz w:val="21"/>
                      <w:szCs w:val="21"/>
                      <w:lang w:val="en-US" w:eastAsia="zh-CN"/>
                    </w:rPr>
                  </w:pPr>
                  <w:r>
                    <w:rPr>
                      <w:rFonts w:hint="eastAsia"/>
                      <w:color w:val="000000"/>
                      <w:spacing w:val="0"/>
                      <w:sz w:val="21"/>
                      <w:szCs w:val="21"/>
                      <w:lang w:val="en-US" w:eastAsia="zh-CN"/>
                    </w:rPr>
                    <w:t>0</w:t>
                  </w:r>
                </w:p>
              </w:tc>
              <w:tc>
                <w:tcPr>
                  <w:tcW w:w="913" w:type="dxa"/>
                  <w:noWrap w:val="0"/>
                  <w:vAlign w:val="center"/>
                </w:tcPr>
                <w:p>
                  <w:pPr>
                    <w:jc w:val="center"/>
                    <w:rPr>
                      <w:rFonts w:hint="default"/>
                      <w:color w:val="000000"/>
                      <w:spacing w:val="0"/>
                      <w:sz w:val="21"/>
                      <w:szCs w:val="21"/>
                      <w:lang w:val="en-US" w:eastAsia="zh-CN"/>
                    </w:rPr>
                  </w:pPr>
                  <w:r>
                    <w:rPr>
                      <w:rFonts w:hint="eastAsia"/>
                      <w:color w:val="000000"/>
                      <w:spacing w:val="0"/>
                      <w:sz w:val="21"/>
                      <w:szCs w:val="21"/>
                      <w:lang w:val="en-US" w:eastAsia="zh-CN"/>
                    </w:rPr>
                    <w:t>80</w:t>
                  </w:r>
                </w:p>
              </w:tc>
              <w:tc>
                <w:tcPr>
                  <w:tcW w:w="1987" w:type="dxa"/>
                  <w:vMerge w:val="continue"/>
                  <w:noWrap w:val="0"/>
                  <w:vAlign w:val="center"/>
                </w:tcPr>
                <w:p>
                  <w:pPr>
                    <w:jc w:val="center"/>
                    <w:rPr>
                      <w:rFonts w:hint="eastAsia" w:ascii="Times New Roman" w:hAnsi="Times New Roman" w:eastAsia="宋体" w:cs="Times New Roman"/>
                      <w:color w:val="000000"/>
                      <w:spacing w:val="0"/>
                      <w:sz w:val="21"/>
                      <w:szCs w:val="21"/>
                    </w:rPr>
                  </w:pPr>
                </w:p>
              </w:tc>
              <w:tc>
                <w:tcPr>
                  <w:tcW w:w="1496" w:type="dxa"/>
                  <w:noWrap w:val="0"/>
                  <w:vAlign w:val="center"/>
                </w:tcPr>
                <w:p>
                  <w:pPr>
                    <w:jc w:val="center"/>
                    <w:rPr>
                      <w:rFonts w:hint="eastAsia" w:cs="Times New Roman"/>
                      <w:color w:val="000000"/>
                      <w:sz w:val="21"/>
                      <w:szCs w:val="21"/>
                      <w:lang w:val="en-US" w:eastAsia="zh-CN"/>
                    </w:rPr>
                  </w:pPr>
                  <w:r>
                    <w:rPr>
                      <w:rFonts w:hint="eastAsia" w:ascii="Times New Roman" w:hAnsi="Times New Roman" w:eastAsia="宋体" w:cs="Times New Roman"/>
                      <w:color w:val="000000"/>
                      <w:sz w:val="21"/>
                      <w:szCs w:val="21"/>
                    </w:rPr>
                    <w:t>（08:00~1</w:t>
                  </w:r>
                  <w:r>
                    <w:rPr>
                      <w:rFonts w:hint="eastAsia" w:ascii="Times New Roman" w:hAnsi="Times New Roman" w:eastAsia="宋体" w:cs="Times New Roman"/>
                      <w:color w:val="000000"/>
                      <w:sz w:val="21"/>
                      <w:szCs w:val="21"/>
                      <w:lang w:val="en-US" w:eastAsia="zh-CN"/>
                    </w:rPr>
                    <w:t>6</w:t>
                  </w:r>
                  <w:r>
                    <w:rPr>
                      <w:rFonts w:hint="eastAsia" w:ascii="Times New Roman" w:hAnsi="Times New Roman" w:eastAsia="宋体" w:cs="Times New Roman"/>
                      <w:color w:val="000000"/>
                      <w:sz w:val="21"/>
                      <w:szCs w:val="21"/>
                    </w:rPr>
                    <w:t>:00）</w:t>
                  </w:r>
                </w:p>
              </w:tc>
            </w:tr>
          </w:tbl>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eastAsia="宋体" w:cs="Times New Roman"/>
                <w:b/>
                <w:bCs/>
                <w:spacing w:val="0"/>
                <w:sz w:val="24"/>
                <w:szCs w:val="24"/>
                <w:lang w:val="en-US" w:eastAsia="zh-CN"/>
              </w:rPr>
            </w:pPr>
            <w:r>
              <w:rPr>
                <w:b/>
                <w:bCs/>
                <w:color w:val="000000"/>
                <w:spacing w:val="0"/>
                <w:sz w:val="18"/>
                <w:szCs w:val="18"/>
              </w:rPr>
              <w:t>注：</w:t>
            </w:r>
            <w:r>
              <w:rPr>
                <w:rFonts w:hint="eastAsia" w:ascii="Times New Roman" w:hAnsi="Times New Roman"/>
                <w:b/>
                <w:color w:val="000000"/>
                <w:spacing w:val="0"/>
                <w:sz w:val="18"/>
                <w:szCs w:val="18"/>
              </w:rPr>
              <w:t>以上设备声功率级为叠加后的整体声功率级，</w:t>
            </w:r>
            <w:r>
              <w:rPr>
                <w:rFonts w:hint="eastAsia"/>
                <w:b/>
                <w:bCs/>
                <w:color w:val="000000"/>
                <w:spacing w:val="0"/>
                <w:sz w:val="18"/>
                <w:szCs w:val="18"/>
              </w:rPr>
              <w:t>以</w:t>
            </w:r>
            <w:r>
              <w:rPr>
                <w:b/>
                <w:bCs/>
                <w:color w:val="000000"/>
                <w:spacing w:val="0"/>
                <w:sz w:val="18"/>
                <w:szCs w:val="18"/>
              </w:rPr>
              <w:t>项目</w:t>
            </w:r>
            <w:r>
              <w:rPr>
                <w:rFonts w:hint="eastAsia"/>
                <w:b/>
                <w:bCs/>
                <w:color w:val="000000"/>
                <w:spacing w:val="0"/>
                <w:sz w:val="18"/>
                <w:szCs w:val="18"/>
              </w:rPr>
              <w:t>生产厂房西南角为</w:t>
            </w:r>
            <w:r>
              <w:rPr>
                <w:b/>
                <w:bCs/>
                <w:color w:val="000000"/>
                <w:spacing w:val="0"/>
                <w:sz w:val="18"/>
                <w:szCs w:val="18"/>
              </w:rPr>
              <w:t>坐标原点</w:t>
            </w:r>
            <w:r>
              <w:rPr>
                <w:rFonts w:hint="eastAsia"/>
                <w:b/>
                <w:bCs/>
                <w:color w:val="000000"/>
                <w:spacing w:val="0"/>
                <w:sz w:val="18"/>
                <w:szCs w:val="18"/>
              </w:rPr>
              <w:t>（0</w:t>
            </w:r>
            <w:r>
              <w:rPr>
                <w:rFonts w:hint="eastAsia"/>
                <w:b/>
                <w:bCs/>
                <w:color w:val="000000"/>
                <w:spacing w:val="0"/>
                <w:sz w:val="18"/>
                <w:szCs w:val="18"/>
                <w:lang w:eastAsia="zh-CN"/>
              </w:rPr>
              <w:t>，</w:t>
            </w:r>
            <w:r>
              <w:rPr>
                <w:rFonts w:hint="eastAsia"/>
                <w:b/>
                <w:bCs/>
                <w:color w:val="000000"/>
                <w:spacing w:val="0"/>
                <w:sz w:val="18"/>
                <w:szCs w:val="18"/>
              </w:rPr>
              <w:t>0</w:t>
            </w:r>
            <w:r>
              <w:rPr>
                <w:rFonts w:hint="eastAsia"/>
                <w:b/>
                <w:bCs/>
                <w:color w:val="000000"/>
                <w:spacing w:val="0"/>
                <w:sz w:val="18"/>
                <w:szCs w:val="18"/>
                <w:lang w:eastAsia="zh-CN"/>
              </w:rPr>
              <w:t>，</w:t>
            </w:r>
            <w:r>
              <w:rPr>
                <w:rFonts w:hint="eastAsia"/>
                <w:b/>
                <w:bCs/>
                <w:color w:val="000000"/>
                <w:spacing w:val="0"/>
                <w:sz w:val="18"/>
                <w:szCs w:val="18"/>
              </w:rPr>
              <w:t>0）</w:t>
            </w:r>
            <w:r>
              <w:rPr>
                <w:b/>
                <w:bCs/>
                <w:color w:val="000000"/>
                <w:spacing w:val="0"/>
                <w:sz w:val="18"/>
                <w:szCs w:val="18"/>
              </w:rPr>
              <w:t>，</w:t>
            </w:r>
            <w:r>
              <w:rPr>
                <w:rFonts w:hint="eastAsia"/>
                <w:b/>
                <w:bCs/>
                <w:color w:val="000000"/>
                <w:spacing w:val="0"/>
                <w:sz w:val="18"/>
                <w:szCs w:val="18"/>
              </w:rPr>
              <w:t>正</w:t>
            </w:r>
            <w:r>
              <w:rPr>
                <w:b/>
                <w:bCs/>
                <w:color w:val="000000"/>
                <w:spacing w:val="0"/>
                <w:sz w:val="18"/>
                <w:szCs w:val="18"/>
              </w:rPr>
              <w:t>东</w:t>
            </w:r>
            <w:r>
              <w:rPr>
                <w:rFonts w:hint="eastAsia"/>
                <w:b/>
                <w:bCs/>
                <w:color w:val="000000"/>
                <w:spacing w:val="0"/>
                <w:sz w:val="18"/>
                <w:szCs w:val="18"/>
              </w:rPr>
              <w:t>方</w:t>
            </w:r>
            <w:r>
              <w:rPr>
                <w:b/>
                <w:bCs/>
                <w:color w:val="000000"/>
                <w:spacing w:val="0"/>
                <w:sz w:val="18"/>
                <w:szCs w:val="18"/>
              </w:rPr>
              <w:t>向为X轴方向，</w:t>
            </w:r>
            <w:r>
              <w:rPr>
                <w:rFonts w:hint="eastAsia"/>
                <w:b/>
                <w:bCs/>
                <w:color w:val="000000"/>
                <w:spacing w:val="0"/>
                <w:sz w:val="18"/>
                <w:szCs w:val="18"/>
              </w:rPr>
              <w:t>正北方</w:t>
            </w:r>
            <w:r>
              <w:rPr>
                <w:b/>
                <w:bCs/>
                <w:color w:val="000000"/>
                <w:spacing w:val="0"/>
                <w:sz w:val="18"/>
                <w:szCs w:val="18"/>
              </w:rPr>
              <w:t>向为Y轴方向。</w:t>
            </w:r>
          </w:p>
        </w:tc>
      </w:tr>
    </w:tbl>
    <w:p>
      <w:pPr>
        <w:pStyle w:val="16"/>
        <w:jc w:val="center"/>
        <w:outlineLvl w:val="0"/>
        <w:rPr>
          <w:rFonts w:hint="eastAsia" w:ascii="黑体" w:hAnsi="黑体" w:eastAsia="黑体"/>
          <w:snapToGrid w:val="0"/>
          <w:sz w:val="30"/>
          <w:szCs w:val="30"/>
        </w:rPr>
        <w:sectPr>
          <w:pgSz w:w="11906" w:h="16838"/>
          <w:pgMar w:top="1474" w:right="1417" w:bottom="1474" w:left="141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98" w:hRule="atLeast"/>
          <w:jc w:val="center"/>
        </w:trPr>
        <w:tc>
          <w:tcPr>
            <w:tcW w:w="5000" w:type="pct"/>
            <w:noWrap w:val="0"/>
            <w:vAlign w:val="top"/>
          </w:tcPr>
          <w:p>
            <w:pPr>
              <w:pStyle w:val="17"/>
              <w:keepNext w:val="0"/>
              <w:keepLines w:val="0"/>
              <w:pageBreakBefore w:val="0"/>
              <w:kinsoku/>
              <w:wordWrap/>
              <w:overflowPunct/>
              <w:topLinePunct w:val="0"/>
              <w:autoSpaceDE/>
              <w:autoSpaceDN/>
              <w:bidi w:val="0"/>
              <w:spacing w:after="0" w:line="240" w:lineRule="auto"/>
              <w:ind w:firstLine="0" w:firstLineChars="0"/>
              <w:jc w:val="center"/>
              <w:rPr>
                <w:b/>
                <w:color w:val="000000"/>
              </w:rPr>
            </w:pPr>
            <w:r>
              <w:rPr>
                <w:b/>
                <w:bCs/>
                <w:color w:val="000000"/>
                <w:sz w:val="24"/>
                <w:szCs w:val="24"/>
              </w:rPr>
              <w:t>表4-</w:t>
            </w:r>
            <w:r>
              <w:rPr>
                <w:rFonts w:hint="eastAsia"/>
                <w:b/>
                <w:bCs/>
                <w:color w:val="000000"/>
                <w:sz w:val="24"/>
                <w:szCs w:val="24"/>
                <w:lang w:val="en-US" w:eastAsia="zh-CN"/>
              </w:rPr>
              <w:t>18</w:t>
            </w:r>
            <w:r>
              <w:rPr>
                <w:rFonts w:hint="eastAsia"/>
                <w:b/>
                <w:bCs/>
                <w:color w:val="000000"/>
                <w:sz w:val="24"/>
                <w:szCs w:val="24"/>
              </w:rPr>
              <w:t xml:space="preserve">  </w:t>
            </w:r>
            <w:r>
              <w:rPr>
                <w:b/>
                <w:bCs/>
                <w:color w:val="000000"/>
                <w:sz w:val="24"/>
                <w:szCs w:val="24"/>
              </w:rPr>
              <w:t>工业企业噪声源强调查清单（室</w:t>
            </w:r>
            <w:r>
              <w:rPr>
                <w:rFonts w:hint="eastAsia"/>
                <w:b/>
                <w:bCs/>
                <w:color w:val="000000"/>
                <w:sz w:val="24"/>
                <w:szCs w:val="24"/>
              </w:rPr>
              <w:t>内</w:t>
            </w:r>
            <w:r>
              <w:rPr>
                <w:b/>
                <w:bCs/>
                <w:color w:val="000000"/>
                <w:sz w:val="24"/>
                <w:szCs w:val="24"/>
              </w:rPr>
              <w:t>声源）</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87"/>
              <w:gridCol w:w="1286"/>
              <w:gridCol w:w="642"/>
              <w:gridCol w:w="913"/>
              <w:gridCol w:w="877"/>
              <w:gridCol w:w="473"/>
              <w:gridCol w:w="472"/>
              <w:gridCol w:w="325"/>
              <w:gridCol w:w="315"/>
              <w:gridCol w:w="315"/>
              <w:gridCol w:w="538"/>
              <w:gridCol w:w="389"/>
              <w:gridCol w:w="447"/>
              <w:gridCol w:w="446"/>
              <w:gridCol w:w="447"/>
              <w:gridCol w:w="446"/>
              <w:gridCol w:w="843"/>
              <w:gridCol w:w="444"/>
              <w:gridCol w:w="445"/>
              <w:gridCol w:w="444"/>
              <w:gridCol w:w="444"/>
              <w:gridCol w:w="378"/>
              <w:gridCol w:w="378"/>
              <w:gridCol w:w="378"/>
              <w:gridCol w:w="378"/>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bookmarkStart w:id="56" w:name="PT_6"/>
                  <w:r>
                    <w:rPr>
                      <w:b/>
                      <w:bCs/>
                      <w:sz w:val="21"/>
                      <w:szCs w:val="21"/>
                    </w:rPr>
                    <w:t>序号</w:t>
                  </w:r>
                </w:p>
              </w:tc>
              <w:tc>
                <w:tcPr>
                  <w:tcW w:w="128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声源</w:t>
                  </w:r>
                </w:p>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名称</w:t>
                  </w:r>
                </w:p>
              </w:tc>
              <w:tc>
                <w:tcPr>
                  <w:tcW w:w="64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b/>
                      <w:bCs/>
                      <w:sz w:val="21"/>
                      <w:szCs w:val="21"/>
                      <w:lang w:val="en-US" w:eastAsia="zh-CN"/>
                    </w:rPr>
                  </w:pPr>
                  <w:r>
                    <w:rPr>
                      <w:rFonts w:hint="eastAsia"/>
                      <w:b/>
                      <w:bCs/>
                      <w:sz w:val="21"/>
                      <w:szCs w:val="21"/>
                      <w:lang w:val="en-US" w:eastAsia="zh-CN"/>
                    </w:rPr>
                    <w:t>数量</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eastAsia="宋体"/>
                      <w:b/>
                      <w:bCs/>
                      <w:sz w:val="21"/>
                      <w:szCs w:val="21"/>
                      <w:lang w:val="en-US" w:eastAsia="zh-CN"/>
                    </w:rPr>
                  </w:pPr>
                  <w:r>
                    <w:rPr>
                      <w:rFonts w:hint="eastAsia"/>
                      <w:b/>
                      <w:bCs/>
                      <w:sz w:val="21"/>
                      <w:szCs w:val="21"/>
                      <w:lang w:val="en-US" w:eastAsia="zh-CN"/>
                    </w:rPr>
                    <w:t>（台套）</w:t>
                  </w:r>
                </w:p>
              </w:tc>
              <w:tc>
                <w:tcPr>
                  <w:tcW w:w="9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声源源强</w:t>
                  </w:r>
                </w:p>
              </w:tc>
              <w:tc>
                <w:tcPr>
                  <w:tcW w:w="87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声源</w:t>
                  </w:r>
                </w:p>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控制</w:t>
                  </w:r>
                </w:p>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措施</w:t>
                  </w:r>
                </w:p>
              </w:tc>
              <w:tc>
                <w:tcPr>
                  <w:tcW w:w="0" w:type="auto"/>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空间相对位置/m</w:t>
                  </w:r>
                </w:p>
              </w:tc>
              <w:tc>
                <w:tcPr>
                  <w:tcW w:w="0" w:type="auto"/>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距室内边界距离/m</w:t>
                  </w:r>
                </w:p>
              </w:tc>
              <w:tc>
                <w:tcPr>
                  <w:tcW w:w="0" w:type="auto"/>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室内边界声级/dB(A)</w:t>
                  </w:r>
                </w:p>
              </w:tc>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运行时段</w:t>
                  </w:r>
                </w:p>
              </w:tc>
              <w:tc>
                <w:tcPr>
                  <w:tcW w:w="0" w:type="auto"/>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建筑物插入损失/dB(A)</w:t>
                  </w:r>
                  <w:bookmarkStart w:id="57" w:name="PT_10"/>
                  <w:bookmarkEnd w:id="57"/>
                </w:p>
              </w:tc>
              <w:tc>
                <w:tcPr>
                  <w:tcW w:w="0" w:type="auto"/>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建筑物外噪声声压级/dB(A)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b/>
                      <w:bCs/>
                      <w:sz w:val="21"/>
                      <w:szCs w:val="21"/>
                    </w:rPr>
                  </w:pPr>
                </w:p>
              </w:tc>
              <w:tc>
                <w:tcPr>
                  <w:tcW w:w="128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b/>
                      <w:bCs/>
                      <w:sz w:val="21"/>
                      <w:szCs w:val="21"/>
                    </w:rPr>
                  </w:pPr>
                </w:p>
              </w:tc>
              <w:tc>
                <w:tcPr>
                  <w:tcW w:w="642" w:type="dxa"/>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p>
              </w:tc>
              <w:tc>
                <w:tcPr>
                  <w:tcW w:w="913"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声功率级/dB(A)</w:t>
                  </w:r>
                </w:p>
              </w:tc>
              <w:tc>
                <w:tcPr>
                  <w:tcW w:w="87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b/>
                      <w:bCs/>
                      <w:sz w:val="21"/>
                      <w:szCs w:val="21"/>
                    </w:rPr>
                  </w:pP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X</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Y</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Z</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东</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南</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西</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北</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东</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南</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西</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北</w:t>
                  </w: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b/>
                      <w:bCs/>
                      <w:sz w:val="21"/>
                      <w:szCs w:val="21"/>
                    </w:rPr>
                  </w:pP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东</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南</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西</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北</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东</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南</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西</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北</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sz w:val="21"/>
                      <w:szCs w:val="21"/>
                    </w:rPr>
                  </w:pPr>
                  <w:r>
                    <w:rPr>
                      <w:b/>
                      <w:bCs/>
                      <w:sz w:val="21"/>
                      <w:szCs w:val="21"/>
                    </w:rPr>
                    <w:t>建筑物外距离</w:t>
                  </w:r>
                </w:p>
              </w:tc>
            </w:tr>
            <w:bookmarkEnd w:id="56"/>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rPr>
                  </w:pPr>
                  <w:r>
                    <w:rPr>
                      <w:color w:val="auto"/>
                      <w:sz w:val="21"/>
                      <w:szCs w:val="21"/>
                    </w:rPr>
                    <w:t>1</w:t>
                  </w:r>
                </w:p>
              </w:tc>
              <w:tc>
                <w:tcPr>
                  <w:tcW w:w="1286"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eastAsia="宋体"/>
                      <w:color w:val="auto"/>
                      <w:sz w:val="21"/>
                      <w:szCs w:val="21"/>
                      <w:lang w:eastAsia="zh-CN"/>
                    </w:rPr>
                  </w:pPr>
                  <w:r>
                    <w:rPr>
                      <w:rFonts w:hint="eastAsia" w:cs="Times New Roman"/>
                      <w:color w:val="auto"/>
                      <w:kern w:val="0"/>
                      <w:sz w:val="21"/>
                      <w:szCs w:val="21"/>
                      <w:lang w:val="en-US" w:eastAsia="zh-CN" w:bidi="ar"/>
                    </w:rPr>
                    <w:t>分纸压线机</w:t>
                  </w:r>
                </w:p>
              </w:tc>
              <w:tc>
                <w:tcPr>
                  <w:tcW w:w="642"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1</w:t>
                  </w:r>
                </w:p>
              </w:tc>
              <w:tc>
                <w:tcPr>
                  <w:tcW w:w="913" w:type="dxa"/>
                  <w:tcBorders>
                    <w:tl2br w:val="nil"/>
                    <w:tr2bl w:val="nil"/>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877"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color w:val="auto"/>
                      <w:sz w:val="21"/>
                      <w:szCs w:val="21"/>
                      <w:lang w:eastAsia="zh-CN"/>
                    </w:rPr>
                  </w:pPr>
                  <w:r>
                    <w:rPr>
                      <w:rFonts w:hint="eastAsia" w:cs="Times New Roman"/>
                      <w:color w:val="auto"/>
                      <w:kern w:val="0"/>
                      <w:sz w:val="21"/>
                      <w:szCs w:val="21"/>
                      <w:lang w:val="en-US" w:eastAsia="zh-CN" w:bidi="ar"/>
                    </w:rPr>
                    <w:t>减振垫</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11</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22</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jc w:val="center"/>
                    <w:rPr>
                      <w:color w:val="auto"/>
                      <w:sz w:val="21"/>
                      <w:szCs w:val="21"/>
                    </w:rPr>
                  </w:pPr>
                  <w:r>
                    <w:rPr>
                      <w:rFonts w:hint="eastAsia" w:ascii="Times New Roman" w:hAnsi="Times New Roman" w:eastAsia="宋体" w:cs="Times New Roman"/>
                      <w:color w:val="auto"/>
                      <w:sz w:val="21"/>
                      <w:szCs w:val="21"/>
                      <w:lang w:val="en-US" w:eastAsia="zh-CN"/>
                    </w:rPr>
                    <w:t>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color w:val="auto"/>
                      <w:sz w:val="21"/>
                      <w:szCs w:val="21"/>
                    </w:rPr>
                  </w:pPr>
                  <w:r>
                    <w:rPr>
                      <w:rFonts w:hint="eastAsia" w:cs="Times New Roman"/>
                      <w:i w:val="0"/>
                      <w:iCs w:val="0"/>
                      <w:color w:val="auto"/>
                      <w:kern w:val="0"/>
                      <w:sz w:val="21"/>
                      <w:szCs w:val="21"/>
                      <w:u w:val="none"/>
                      <w:lang w:val="en-US" w:eastAsia="zh-CN" w:bidi="ar"/>
                    </w:rPr>
                    <w:t>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21</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11</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14</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55.5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55.3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55.3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55.3</w:t>
                  </w:r>
                </w:p>
              </w:tc>
              <w:tc>
                <w:tcPr>
                  <w:tcW w:w="0" w:type="auto"/>
                  <w:vMerge w:val="restart"/>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（08:00</w:t>
                  </w:r>
                </w:p>
                <w:p>
                  <w:pPr>
                    <w:keepNext w:val="0"/>
                    <w:keepLines w:val="0"/>
                    <w:pageBreakBefore w:val="0"/>
                    <w:kinsoku/>
                    <w:wordWrap/>
                    <w:overflowPunct/>
                    <w:topLinePunct w:val="0"/>
                    <w:autoSpaceDE/>
                    <w:autoSpaceDN/>
                    <w:bidi w:val="0"/>
                    <w:adjustRightInd w:val="0"/>
                    <w:snapToGrid w:val="0"/>
                    <w:spacing w:line="240" w:lineRule="auto"/>
                    <w:jc w:val="center"/>
                    <w:rPr>
                      <w:color w:val="C00000"/>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:00）</w:t>
                  </w:r>
                </w:p>
              </w:tc>
              <w:tc>
                <w:tcPr>
                  <w:tcW w:w="0" w:type="auto"/>
                  <w:vMerge w:val="restart"/>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auto"/>
                      <w:sz w:val="21"/>
                      <w:szCs w:val="21"/>
                      <w:lang w:val="en-US" w:eastAsia="zh-CN"/>
                    </w:rPr>
                  </w:pPr>
                  <w:r>
                    <w:rPr>
                      <w:rFonts w:hint="eastAsia"/>
                      <w:color w:val="auto"/>
                      <w:sz w:val="21"/>
                      <w:szCs w:val="21"/>
                      <w:lang w:val="en-US" w:eastAsia="zh-CN"/>
                    </w:rPr>
                    <w:t>15</w:t>
                  </w:r>
                </w:p>
              </w:tc>
              <w:tc>
                <w:tcPr>
                  <w:tcW w:w="0" w:type="auto"/>
                  <w:vMerge w:val="restart"/>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auto"/>
                      <w:sz w:val="21"/>
                      <w:szCs w:val="21"/>
                      <w:lang w:val="en-US" w:eastAsia="zh-CN"/>
                    </w:rPr>
                  </w:pPr>
                  <w:r>
                    <w:rPr>
                      <w:rFonts w:hint="eastAsia"/>
                      <w:color w:val="auto"/>
                      <w:sz w:val="21"/>
                      <w:szCs w:val="21"/>
                      <w:lang w:val="en-US" w:eastAsia="zh-CN"/>
                    </w:rPr>
                    <w:t>15</w:t>
                  </w:r>
                </w:p>
              </w:tc>
              <w:tc>
                <w:tcPr>
                  <w:tcW w:w="0" w:type="auto"/>
                  <w:vMerge w:val="restart"/>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auto"/>
                      <w:sz w:val="21"/>
                      <w:szCs w:val="21"/>
                      <w:lang w:val="en-US" w:eastAsia="zh-CN"/>
                    </w:rPr>
                  </w:pPr>
                  <w:r>
                    <w:rPr>
                      <w:rFonts w:hint="eastAsia"/>
                      <w:color w:val="auto"/>
                      <w:sz w:val="21"/>
                      <w:szCs w:val="21"/>
                      <w:lang w:val="en-US" w:eastAsia="zh-CN"/>
                    </w:rPr>
                    <w:t>15</w:t>
                  </w:r>
                </w:p>
              </w:tc>
              <w:tc>
                <w:tcPr>
                  <w:tcW w:w="0" w:type="auto"/>
                  <w:vMerge w:val="restart"/>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auto"/>
                      <w:sz w:val="21"/>
                      <w:szCs w:val="21"/>
                      <w:lang w:val="en-US" w:eastAsia="zh-CN"/>
                    </w:rPr>
                  </w:pPr>
                  <w:r>
                    <w:rPr>
                      <w:rFonts w:hint="eastAsia"/>
                      <w:color w:val="auto"/>
                      <w:sz w:val="21"/>
                      <w:szCs w:val="21"/>
                      <w:lang w:val="en-US" w:eastAsia="zh-CN"/>
                    </w:rPr>
                    <w:t>15</w:t>
                  </w:r>
                </w:p>
              </w:tc>
              <w:tc>
                <w:tcPr>
                  <w:tcW w:w="0" w:type="auto"/>
                  <w:vMerge w:val="restart"/>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 xml:space="preserve">62.3 </w:t>
                  </w:r>
                </w:p>
              </w:tc>
              <w:tc>
                <w:tcPr>
                  <w:tcW w:w="0" w:type="auto"/>
                  <w:vMerge w:val="restart"/>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 xml:space="preserve">58.8 </w:t>
                  </w:r>
                </w:p>
              </w:tc>
              <w:tc>
                <w:tcPr>
                  <w:tcW w:w="0" w:type="auto"/>
                  <w:vMerge w:val="restart"/>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 xml:space="preserve">62.0 </w:t>
                  </w:r>
                </w:p>
              </w:tc>
              <w:tc>
                <w:tcPr>
                  <w:tcW w:w="0" w:type="auto"/>
                  <w:vMerge w:val="restart"/>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 xml:space="preserve">59.6 </w:t>
                  </w:r>
                </w:p>
              </w:tc>
              <w:tc>
                <w:tcPr>
                  <w:tcW w:w="0" w:type="auto"/>
                  <w:vMerge w:val="restart"/>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rPr>
                  </w:pPr>
                  <w:r>
                    <w:rPr>
                      <w:rFonts w:hint="eastAsia"/>
                      <w:color w:val="auto"/>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eastAsia="宋体"/>
                      <w:color w:val="auto"/>
                      <w:sz w:val="21"/>
                      <w:szCs w:val="21"/>
                      <w:lang w:val="en-US" w:eastAsia="zh-CN"/>
                    </w:rPr>
                  </w:pPr>
                  <w:r>
                    <w:rPr>
                      <w:rFonts w:hint="eastAsia"/>
                      <w:color w:val="auto"/>
                      <w:sz w:val="21"/>
                      <w:szCs w:val="21"/>
                      <w:lang w:val="en-US" w:eastAsia="zh-CN"/>
                    </w:rPr>
                    <w:t>2</w:t>
                  </w:r>
                </w:p>
              </w:tc>
              <w:tc>
                <w:tcPr>
                  <w:tcW w:w="128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印刷开槽机</w:t>
                  </w:r>
                </w:p>
              </w:tc>
              <w:tc>
                <w:tcPr>
                  <w:tcW w:w="642"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1</w:t>
                  </w:r>
                </w:p>
              </w:tc>
              <w:tc>
                <w:tcPr>
                  <w:tcW w:w="913" w:type="dxa"/>
                  <w:tcBorders>
                    <w:tl2br w:val="nil"/>
                    <w:tr2bl w:val="nil"/>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877" w:type="dxa"/>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减振垫</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14</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 xml:space="preserve">12.5 </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56.7</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55.3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55.3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56.2</w:t>
                  </w: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color w:val="C00000"/>
                      <w:sz w:val="21"/>
                      <w:szCs w:val="21"/>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C00000"/>
                      <w:sz w:val="21"/>
                      <w:szCs w:val="21"/>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C00000"/>
                      <w:sz w:val="21"/>
                      <w:szCs w:val="21"/>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C00000"/>
                      <w:sz w:val="21"/>
                      <w:szCs w:val="21"/>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C00000"/>
                      <w:sz w:val="21"/>
                      <w:szCs w:val="21"/>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C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eastAsia="宋体"/>
                      <w:color w:val="auto"/>
                      <w:sz w:val="21"/>
                      <w:szCs w:val="21"/>
                      <w:lang w:val="en-US" w:eastAsia="zh-CN"/>
                    </w:rPr>
                  </w:pPr>
                  <w:r>
                    <w:rPr>
                      <w:rFonts w:hint="eastAsia"/>
                      <w:color w:val="auto"/>
                      <w:sz w:val="21"/>
                      <w:szCs w:val="21"/>
                      <w:lang w:val="en-US" w:eastAsia="zh-CN"/>
                    </w:rPr>
                    <w:t>3</w:t>
                  </w:r>
                </w:p>
              </w:tc>
              <w:tc>
                <w:tcPr>
                  <w:tcW w:w="128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打钉机</w:t>
                  </w:r>
                </w:p>
              </w:tc>
              <w:tc>
                <w:tcPr>
                  <w:tcW w:w="642"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2</w:t>
                  </w:r>
                </w:p>
              </w:tc>
              <w:tc>
                <w:tcPr>
                  <w:tcW w:w="913" w:type="dxa"/>
                  <w:tcBorders>
                    <w:tl2br w:val="nil"/>
                    <w:tr2bl w:val="nil"/>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877" w:type="dxa"/>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减振垫</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16</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24</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64.3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60.3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60.3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60.3</w:t>
                  </w: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color w:val="C00000"/>
                      <w:sz w:val="21"/>
                      <w:szCs w:val="21"/>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C00000"/>
                      <w:sz w:val="21"/>
                      <w:szCs w:val="21"/>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C00000"/>
                      <w:sz w:val="21"/>
                      <w:szCs w:val="21"/>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C00000"/>
                      <w:sz w:val="21"/>
                      <w:szCs w:val="21"/>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C00000"/>
                      <w:sz w:val="21"/>
                      <w:szCs w:val="21"/>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C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auto"/>
                      <w:sz w:val="21"/>
                      <w:szCs w:val="21"/>
                      <w:lang w:val="en-US" w:eastAsia="zh-CN"/>
                    </w:rPr>
                  </w:pPr>
                  <w:r>
                    <w:rPr>
                      <w:rFonts w:hint="eastAsia"/>
                      <w:color w:val="auto"/>
                      <w:sz w:val="21"/>
                      <w:szCs w:val="21"/>
                      <w:lang w:val="en-US" w:eastAsia="zh-CN"/>
                    </w:rPr>
                    <w:t>4</w:t>
                  </w:r>
                </w:p>
              </w:tc>
              <w:tc>
                <w:tcPr>
                  <w:tcW w:w="128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糊箱机</w:t>
                  </w:r>
                </w:p>
              </w:tc>
              <w:tc>
                <w:tcPr>
                  <w:tcW w:w="642"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1</w:t>
                  </w:r>
                </w:p>
              </w:tc>
              <w:tc>
                <w:tcPr>
                  <w:tcW w:w="913" w:type="dxa"/>
                  <w:tcBorders>
                    <w:tl2br w:val="nil"/>
                    <w:tr2bl w:val="nil"/>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877" w:type="dxa"/>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宋体" w:cs="Times New Roman"/>
                      <w:color w:val="auto"/>
                      <w:kern w:val="0"/>
                      <w:sz w:val="21"/>
                      <w:szCs w:val="21"/>
                      <w:lang w:val="en-US" w:bidi="ar"/>
                    </w:rPr>
                  </w:pPr>
                  <w:r>
                    <w:rPr>
                      <w:rFonts w:hint="eastAsia" w:cs="Times New Roman"/>
                      <w:color w:val="auto"/>
                      <w:kern w:val="0"/>
                      <w:sz w:val="21"/>
                      <w:szCs w:val="21"/>
                      <w:lang w:val="en-US" w:eastAsia="zh-CN" w:bidi="ar"/>
                    </w:rPr>
                    <w:t>减振垫</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24</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12</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58.7</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57.3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57.3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57.3</w:t>
                  </w: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5</w:t>
                  </w:r>
                </w:p>
              </w:tc>
              <w:tc>
                <w:tcPr>
                  <w:tcW w:w="128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普通锯床</w:t>
                  </w:r>
                </w:p>
              </w:tc>
              <w:tc>
                <w:tcPr>
                  <w:tcW w:w="642"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1</w:t>
                  </w:r>
                </w:p>
              </w:tc>
              <w:tc>
                <w:tcPr>
                  <w:tcW w:w="913" w:type="dxa"/>
                  <w:tcBorders>
                    <w:tl2br w:val="nil"/>
                    <w:tr2bl w:val="nil"/>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877" w:type="dxa"/>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减振垫</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12</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11</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24</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65.5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65.5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65.3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65.3</w:t>
                  </w: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auto"/>
                      <w:sz w:val="21"/>
                      <w:szCs w:val="21"/>
                      <w:lang w:val="en-US" w:eastAsia="zh-CN"/>
                    </w:rPr>
                  </w:pPr>
                  <w:r>
                    <w:rPr>
                      <w:rFonts w:hint="eastAsia"/>
                      <w:color w:val="auto"/>
                      <w:sz w:val="21"/>
                      <w:szCs w:val="21"/>
                      <w:lang w:val="en-US" w:eastAsia="zh-CN"/>
                    </w:rPr>
                    <w:t>6</w:t>
                  </w:r>
                </w:p>
              </w:tc>
              <w:tc>
                <w:tcPr>
                  <w:tcW w:w="128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平面下料机</w:t>
                  </w:r>
                </w:p>
              </w:tc>
              <w:tc>
                <w:tcPr>
                  <w:tcW w:w="642"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1</w:t>
                  </w:r>
                </w:p>
              </w:tc>
              <w:tc>
                <w:tcPr>
                  <w:tcW w:w="913" w:type="dxa"/>
                  <w:tcBorders>
                    <w:tl2br w:val="nil"/>
                    <w:tr2bl w:val="nil"/>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877" w:type="dxa"/>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宋体" w:cs="Times New Roman"/>
                      <w:color w:val="auto"/>
                      <w:kern w:val="0"/>
                      <w:sz w:val="21"/>
                      <w:szCs w:val="21"/>
                      <w:lang w:val="en-US" w:bidi="ar"/>
                    </w:rPr>
                  </w:pPr>
                  <w:r>
                    <w:rPr>
                      <w:rFonts w:hint="eastAsia" w:cs="Times New Roman"/>
                      <w:color w:val="auto"/>
                      <w:kern w:val="0"/>
                      <w:sz w:val="21"/>
                      <w:szCs w:val="21"/>
                      <w:lang w:val="en-US" w:eastAsia="zh-CN" w:bidi="ar"/>
                    </w:rPr>
                    <w:t>减振垫</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14</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14</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14</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17</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60.9</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60.3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60.3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60.3</w:t>
                  </w: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7</w:t>
                  </w:r>
                </w:p>
              </w:tc>
              <w:tc>
                <w:tcPr>
                  <w:tcW w:w="128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压刨床</w:t>
                  </w:r>
                </w:p>
              </w:tc>
              <w:tc>
                <w:tcPr>
                  <w:tcW w:w="642"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1</w:t>
                  </w:r>
                </w:p>
              </w:tc>
              <w:tc>
                <w:tcPr>
                  <w:tcW w:w="913" w:type="dxa"/>
                  <w:tcBorders>
                    <w:tl2br w:val="nil"/>
                    <w:tr2bl w:val="nil"/>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877" w:type="dxa"/>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减振垫</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12</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7</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8</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12</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26</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60.5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60.4</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60.3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60.3</w:t>
                  </w: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8</w:t>
                  </w:r>
                </w:p>
              </w:tc>
              <w:tc>
                <w:tcPr>
                  <w:tcW w:w="128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半自动捆绑机</w:t>
                  </w:r>
                </w:p>
              </w:tc>
              <w:tc>
                <w:tcPr>
                  <w:tcW w:w="642"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1</w:t>
                  </w:r>
                </w:p>
              </w:tc>
              <w:tc>
                <w:tcPr>
                  <w:tcW w:w="913" w:type="dxa"/>
                  <w:tcBorders>
                    <w:tl2br w:val="nil"/>
                    <w:tr2bl w:val="nil"/>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877" w:type="dxa"/>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减振垫</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9</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8</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8</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28</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55.4</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55.3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55.4</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55.3</w:t>
                  </w: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9</w:t>
                  </w:r>
                </w:p>
              </w:tc>
              <w:tc>
                <w:tcPr>
                  <w:tcW w:w="128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泡棉直切机</w:t>
                  </w:r>
                </w:p>
              </w:tc>
              <w:tc>
                <w:tcPr>
                  <w:tcW w:w="642"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2</w:t>
                  </w:r>
                </w:p>
              </w:tc>
              <w:tc>
                <w:tcPr>
                  <w:tcW w:w="913" w:type="dxa"/>
                  <w:tcBorders>
                    <w:tl2br w:val="nil"/>
                    <w:tr2bl w:val="nil"/>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877" w:type="dxa"/>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减振垫</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8</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14</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59.0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58.3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59.0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58.3</w:t>
                  </w: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10</w:t>
                  </w:r>
                </w:p>
              </w:tc>
              <w:tc>
                <w:tcPr>
                  <w:tcW w:w="128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中空板裁切机</w:t>
                  </w:r>
                </w:p>
              </w:tc>
              <w:tc>
                <w:tcPr>
                  <w:tcW w:w="642"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1</w:t>
                  </w:r>
                </w:p>
              </w:tc>
              <w:tc>
                <w:tcPr>
                  <w:tcW w:w="913" w:type="dxa"/>
                  <w:tcBorders>
                    <w:tl2br w:val="nil"/>
                    <w:tr2bl w:val="nil"/>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877" w:type="dxa"/>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减振垫</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12</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11</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8</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11</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24</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57.5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57.3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57.5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57.3</w:t>
                  </w: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11</w:t>
                  </w:r>
                </w:p>
              </w:tc>
              <w:tc>
                <w:tcPr>
                  <w:tcW w:w="128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热熔机</w:t>
                  </w:r>
                </w:p>
              </w:tc>
              <w:tc>
                <w:tcPr>
                  <w:tcW w:w="642"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1</w:t>
                  </w:r>
                </w:p>
              </w:tc>
              <w:tc>
                <w:tcPr>
                  <w:tcW w:w="913" w:type="dxa"/>
                  <w:tcBorders>
                    <w:tl2br w:val="nil"/>
                    <w:tr2bl w:val="nil"/>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877" w:type="dxa"/>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减振垫</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11</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12</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8</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7</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9</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9</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26</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45.4</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45.4</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45.4</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45.3</w:t>
                  </w: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12</w:t>
                  </w:r>
                </w:p>
              </w:tc>
              <w:tc>
                <w:tcPr>
                  <w:tcW w:w="128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空压机</w:t>
                  </w:r>
                </w:p>
              </w:tc>
              <w:tc>
                <w:tcPr>
                  <w:tcW w:w="642"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lang w:val="en-US" w:eastAsia="zh-CN"/>
                    </w:rPr>
                  </w:pPr>
                  <w:r>
                    <w:rPr>
                      <w:rFonts w:hint="eastAsia"/>
                      <w:color w:val="auto"/>
                      <w:sz w:val="21"/>
                      <w:szCs w:val="21"/>
                      <w:lang w:val="en-US" w:eastAsia="zh-CN"/>
                    </w:rPr>
                    <w:t>1</w:t>
                  </w:r>
                </w:p>
              </w:tc>
              <w:tc>
                <w:tcPr>
                  <w:tcW w:w="913" w:type="dxa"/>
                  <w:tcBorders>
                    <w:tl2br w:val="nil"/>
                    <w:tr2bl w:val="nil"/>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877" w:type="dxa"/>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隔声罩、</w:t>
                  </w:r>
                </w:p>
                <w:p>
                  <w:pPr>
                    <w:keepNext w:val="0"/>
                    <w:keepLines w:val="0"/>
                    <w:pageBreakBefore w:val="0"/>
                    <w:kinsoku/>
                    <w:wordWrap/>
                    <w:overflowPunct/>
                    <w:topLinePunct w:val="0"/>
                    <w:autoSpaceDE/>
                    <w:autoSpaceDN/>
                    <w:bidi w:val="0"/>
                    <w:snapToGrid w:val="0"/>
                    <w:jc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减振垫</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36</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12</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70.3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70.3</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70.5</w:t>
                  </w:r>
                </w:p>
              </w:tc>
              <w:tc>
                <w:tcPr>
                  <w:tcW w:w="0" w:type="auto"/>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snapToGrid w:val="0"/>
                    <w:ind w:left="0" w:leftChars="0" w:right="0" w:rightChars="0"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71.7</w:t>
                  </w:r>
                </w:p>
              </w:tc>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eastAsia="宋体"/>
                      <w:color w:val="C00000"/>
                      <w:sz w:val="21"/>
                      <w:szCs w:val="21"/>
                      <w:lang w:val="en-US" w:eastAsia="zh-CN"/>
                    </w:rPr>
                  </w:pPr>
                </w:p>
              </w:tc>
              <w:tc>
                <w:tcPr>
                  <w:tcW w:w="0" w:type="auto"/>
                  <w:vMerge w:val="continue"/>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C00000"/>
                      <w:sz w:val="21"/>
                      <w:szCs w:val="21"/>
                      <w:lang w:val="en-US"/>
                    </w:rPr>
                  </w:pPr>
                </w:p>
              </w:tc>
            </w:tr>
          </w:tbl>
          <w:p>
            <w:pPr>
              <w:pStyle w:val="7"/>
              <w:keepNext w:val="0"/>
              <w:keepLines w:val="0"/>
              <w:pageBreakBefore w:val="0"/>
              <w:widowControl w:val="0"/>
              <w:kinsoku/>
              <w:wordWrap/>
              <w:overflowPunct/>
              <w:topLinePunct w:val="0"/>
              <w:autoSpaceDE/>
              <w:autoSpaceDN/>
              <w:bidi w:val="0"/>
              <w:adjustRightInd/>
              <w:snapToGrid/>
              <w:ind w:firstLine="361" w:firstLineChars="200"/>
              <w:jc w:val="left"/>
              <w:textAlignment w:val="auto"/>
              <w:rPr>
                <w:rFonts w:hint="default" w:ascii="宋体" w:hAnsi="宋体" w:cs="宋体"/>
                <w:color w:val="000000"/>
                <w:kern w:val="0"/>
                <w:szCs w:val="21"/>
                <w:lang w:val="en-US"/>
              </w:rPr>
            </w:pPr>
            <w:r>
              <w:rPr>
                <w:b/>
                <w:bCs/>
                <w:color w:val="auto"/>
                <w:sz w:val="18"/>
                <w:szCs w:val="18"/>
              </w:rPr>
              <w:t>注：</w:t>
            </w:r>
            <w:r>
              <w:rPr>
                <w:rFonts w:hint="eastAsia" w:ascii="Times New Roman" w:hAnsi="Times New Roman"/>
                <w:b/>
                <w:color w:val="auto"/>
                <w:sz w:val="18"/>
                <w:szCs w:val="18"/>
              </w:rPr>
              <w:t>以上设备声功率级为叠加后的整体声功率级</w:t>
            </w:r>
            <w:r>
              <w:rPr>
                <w:rFonts w:hint="eastAsia"/>
                <w:b/>
                <w:bCs/>
                <w:color w:val="auto"/>
                <w:sz w:val="18"/>
                <w:szCs w:val="18"/>
              </w:rPr>
              <w:t>，以</w:t>
            </w:r>
            <w:r>
              <w:rPr>
                <w:b/>
                <w:bCs/>
                <w:color w:val="auto"/>
                <w:sz w:val="18"/>
                <w:szCs w:val="18"/>
              </w:rPr>
              <w:t>项目</w:t>
            </w:r>
            <w:r>
              <w:rPr>
                <w:rFonts w:hint="eastAsia"/>
                <w:b/>
                <w:bCs/>
                <w:color w:val="auto"/>
                <w:sz w:val="18"/>
                <w:szCs w:val="18"/>
              </w:rPr>
              <w:t>生产厂房西南角为</w:t>
            </w:r>
            <w:r>
              <w:rPr>
                <w:b/>
                <w:bCs/>
                <w:color w:val="auto"/>
                <w:sz w:val="18"/>
                <w:szCs w:val="18"/>
              </w:rPr>
              <w:t>坐标原点</w:t>
            </w:r>
            <w:r>
              <w:rPr>
                <w:rFonts w:hint="eastAsia"/>
                <w:b/>
                <w:bCs/>
                <w:color w:val="auto"/>
                <w:sz w:val="18"/>
                <w:szCs w:val="18"/>
              </w:rPr>
              <w:t>（0</w:t>
            </w:r>
            <w:r>
              <w:rPr>
                <w:rFonts w:hint="eastAsia"/>
                <w:b/>
                <w:bCs/>
                <w:color w:val="auto"/>
                <w:sz w:val="18"/>
                <w:szCs w:val="18"/>
                <w:lang w:eastAsia="zh-CN"/>
              </w:rPr>
              <w:t>，</w:t>
            </w:r>
            <w:r>
              <w:rPr>
                <w:rFonts w:hint="eastAsia"/>
                <w:b/>
                <w:bCs/>
                <w:color w:val="auto"/>
                <w:sz w:val="18"/>
                <w:szCs w:val="18"/>
              </w:rPr>
              <w:t>0</w:t>
            </w:r>
            <w:r>
              <w:rPr>
                <w:rFonts w:hint="eastAsia"/>
                <w:b/>
                <w:bCs/>
                <w:color w:val="auto"/>
                <w:sz w:val="18"/>
                <w:szCs w:val="18"/>
                <w:lang w:eastAsia="zh-CN"/>
              </w:rPr>
              <w:t>，</w:t>
            </w:r>
            <w:r>
              <w:rPr>
                <w:rFonts w:hint="eastAsia"/>
                <w:b/>
                <w:bCs/>
                <w:color w:val="auto"/>
                <w:sz w:val="18"/>
                <w:szCs w:val="18"/>
              </w:rPr>
              <w:t>0）</w:t>
            </w:r>
            <w:r>
              <w:rPr>
                <w:b/>
                <w:bCs/>
                <w:color w:val="auto"/>
                <w:sz w:val="18"/>
                <w:szCs w:val="18"/>
              </w:rPr>
              <w:t>，</w:t>
            </w:r>
            <w:r>
              <w:rPr>
                <w:rFonts w:hint="eastAsia"/>
                <w:b/>
                <w:bCs/>
                <w:color w:val="auto"/>
                <w:sz w:val="18"/>
                <w:szCs w:val="18"/>
              </w:rPr>
              <w:t>正</w:t>
            </w:r>
            <w:r>
              <w:rPr>
                <w:b/>
                <w:bCs/>
                <w:color w:val="auto"/>
                <w:sz w:val="18"/>
                <w:szCs w:val="18"/>
              </w:rPr>
              <w:t>东</w:t>
            </w:r>
            <w:r>
              <w:rPr>
                <w:rFonts w:hint="eastAsia"/>
                <w:b/>
                <w:bCs/>
                <w:color w:val="auto"/>
                <w:sz w:val="18"/>
                <w:szCs w:val="18"/>
              </w:rPr>
              <w:t>方</w:t>
            </w:r>
            <w:r>
              <w:rPr>
                <w:b/>
                <w:bCs/>
                <w:color w:val="auto"/>
                <w:sz w:val="18"/>
                <w:szCs w:val="18"/>
              </w:rPr>
              <w:t>向为X轴方向，</w:t>
            </w:r>
            <w:r>
              <w:rPr>
                <w:rFonts w:hint="eastAsia"/>
                <w:b/>
                <w:bCs/>
                <w:color w:val="auto"/>
                <w:sz w:val="18"/>
                <w:szCs w:val="18"/>
              </w:rPr>
              <w:t>正北方</w:t>
            </w:r>
            <w:r>
              <w:rPr>
                <w:b/>
                <w:bCs/>
                <w:color w:val="auto"/>
                <w:sz w:val="18"/>
                <w:szCs w:val="18"/>
              </w:rPr>
              <w:t>向为Y轴方向。</w:t>
            </w:r>
          </w:p>
        </w:tc>
      </w:tr>
    </w:tbl>
    <w:p>
      <w:pPr>
        <w:pStyle w:val="16"/>
        <w:jc w:val="center"/>
        <w:outlineLvl w:val="0"/>
        <w:rPr>
          <w:rFonts w:hint="eastAsia" w:ascii="黑体" w:hAnsi="黑体" w:eastAsia="黑体"/>
          <w:snapToGrid w:val="0"/>
          <w:sz w:val="30"/>
          <w:szCs w:val="30"/>
        </w:rPr>
        <w:sectPr>
          <w:pgSz w:w="16838" w:h="11906" w:orient="landscape"/>
          <w:pgMar w:top="1417" w:right="1474" w:bottom="1417" w:left="1474"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1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7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35" w:hRule="atLeast"/>
          <w:jc w:val="center"/>
        </w:trPr>
        <w:tc>
          <w:tcPr>
            <w:tcW w:w="247" w:type="pct"/>
            <w:tcBorders>
              <w:tl2br w:val="nil"/>
              <w:tr2bl w:val="nil"/>
            </w:tcBorders>
            <w:tcMar>
              <w:left w:w="28" w:type="dxa"/>
              <w:right w:w="28" w:type="dxa"/>
            </w:tcMar>
            <w:vAlign w:val="center"/>
          </w:tcPr>
          <w:p>
            <w:pPr>
              <w:adjustRightInd w:val="0"/>
              <w:snapToGrid w:val="0"/>
              <w:jc w:val="center"/>
              <w:rPr>
                <w:rFonts w:ascii="宋体" w:hAnsi="宋体" w:cs="宋体"/>
                <w:bCs/>
                <w:sz w:val="24"/>
              </w:rPr>
            </w:pPr>
            <w:r>
              <w:rPr>
                <w:rFonts w:hint="eastAsia" w:ascii="宋体" w:hAnsi="宋体" w:cs="宋体"/>
                <w:bCs/>
                <w:sz w:val="24"/>
              </w:rPr>
              <w:t>运营</w:t>
            </w:r>
          </w:p>
          <w:p>
            <w:pPr>
              <w:adjustRightInd w:val="0"/>
              <w:snapToGrid w:val="0"/>
              <w:jc w:val="center"/>
              <w:rPr>
                <w:rFonts w:ascii="宋体" w:hAnsi="宋体" w:cs="宋体"/>
                <w:bCs/>
                <w:sz w:val="24"/>
              </w:rPr>
            </w:pPr>
            <w:r>
              <w:rPr>
                <w:rFonts w:hint="eastAsia" w:ascii="宋体" w:hAnsi="宋体" w:cs="宋体"/>
                <w:bCs/>
                <w:sz w:val="24"/>
              </w:rPr>
              <w:t>期环</w:t>
            </w:r>
          </w:p>
          <w:p>
            <w:pPr>
              <w:adjustRightInd w:val="0"/>
              <w:snapToGrid w:val="0"/>
              <w:jc w:val="center"/>
              <w:rPr>
                <w:rFonts w:ascii="宋体" w:hAnsi="宋体" w:cs="宋体"/>
                <w:bCs/>
                <w:sz w:val="24"/>
              </w:rPr>
            </w:pPr>
            <w:r>
              <w:rPr>
                <w:rFonts w:hint="eastAsia" w:ascii="宋体" w:hAnsi="宋体" w:cs="宋体"/>
                <w:bCs/>
                <w:sz w:val="24"/>
              </w:rPr>
              <w:t>境影</w:t>
            </w:r>
          </w:p>
          <w:p>
            <w:pPr>
              <w:adjustRightInd w:val="0"/>
              <w:snapToGrid w:val="0"/>
              <w:jc w:val="center"/>
              <w:rPr>
                <w:rFonts w:ascii="宋体" w:hAnsi="宋体" w:cs="宋体"/>
                <w:bCs/>
                <w:sz w:val="24"/>
              </w:rPr>
            </w:pPr>
            <w:r>
              <w:rPr>
                <w:rFonts w:hint="eastAsia" w:ascii="宋体" w:hAnsi="宋体" w:cs="宋体"/>
                <w:bCs/>
                <w:sz w:val="24"/>
              </w:rPr>
              <w:t>响和</w:t>
            </w:r>
          </w:p>
          <w:p>
            <w:pPr>
              <w:adjustRightInd w:val="0"/>
              <w:snapToGrid w:val="0"/>
              <w:jc w:val="center"/>
              <w:rPr>
                <w:rFonts w:ascii="宋体" w:hAnsi="宋体" w:cs="宋体"/>
                <w:bCs/>
                <w:sz w:val="24"/>
              </w:rPr>
            </w:pPr>
            <w:r>
              <w:rPr>
                <w:rFonts w:hint="eastAsia" w:ascii="宋体" w:hAnsi="宋体" w:cs="宋体"/>
                <w:bCs/>
                <w:sz w:val="24"/>
              </w:rPr>
              <w:t>保护</w:t>
            </w:r>
          </w:p>
          <w:p>
            <w:pPr>
              <w:adjustRightInd w:val="0"/>
              <w:snapToGrid w:val="0"/>
              <w:jc w:val="center"/>
              <w:rPr>
                <w:rFonts w:ascii="宋体" w:hAnsi="宋体" w:cs="宋体"/>
                <w:bCs/>
                <w:sz w:val="24"/>
              </w:rPr>
            </w:pPr>
            <w:r>
              <w:rPr>
                <w:rFonts w:hint="eastAsia" w:ascii="宋体" w:hAnsi="宋体" w:cs="宋体"/>
                <w:bCs/>
                <w:sz w:val="24"/>
              </w:rPr>
              <w:t>措施</w:t>
            </w:r>
          </w:p>
        </w:tc>
        <w:tc>
          <w:tcPr>
            <w:tcW w:w="4752" w:type="pct"/>
            <w:tcBorders>
              <w:tl2br w:val="nil"/>
              <w:tr2bl w:val="nil"/>
            </w:tcBorders>
            <w:vAlign w:val="center"/>
          </w:tcPr>
          <w:p>
            <w:pPr>
              <w:spacing w:line="500" w:lineRule="exact"/>
              <w:jc w:val="center"/>
              <w:rPr>
                <w:rFonts w:ascii="Times New Roman" w:hAnsi="Times New Roman" w:eastAsia="宋体" w:cs="Times New Roman"/>
                <w:b/>
                <w:color w:val="auto"/>
                <w:kern w:val="2"/>
                <w:sz w:val="24"/>
                <w:szCs w:val="24"/>
                <w:lang w:val="en-US" w:eastAsia="zh-CN" w:bidi="ar-SA"/>
              </w:rPr>
            </w:pPr>
            <w:r>
              <w:rPr>
                <w:rFonts w:ascii="Times New Roman" w:hAnsi="Times New Roman"/>
                <w:b/>
                <w:bCs/>
                <w:color w:val="000000"/>
                <w:sz w:val="24"/>
                <w:szCs w:val="24"/>
              </w:rPr>
              <w:t>表</w:t>
            </w:r>
            <w:r>
              <w:rPr>
                <w:rFonts w:hint="eastAsia" w:ascii="Times New Roman" w:hAnsi="Times New Roman"/>
                <w:b/>
                <w:bCs/>
                <w:color w:val="000000"/>
                <w:sz w:val="24"/>
                <w:szCs w:val="24"/>
              </w:rPr>
              <w:t>4-</w:t>
            </w:r>
            <w:r>
              <w:rPr>
                <w:rFonts w:hint="eastAsia" w:ascii="Times New Roman" w:hAnsi="Times New Roman"/>
                <w:b/>
                <w:bCs/>
                <w:color w:val="000000"/>
                <w:sz w:val="24"/>
                <w:szCs w:val="24"/>
                <w:lang w:val="en-US" w:eastAsia="zh-CN"/>
              </w:rPr>
              <w:t>1</w:t>
            </w:r>
            <w:r>
              <w:rPr>
                <w:rFonts w:hint="eastAsia"/>
                <w:b/>
                <w:bCs/>
                <w:color w:val="000000"/>
                <w:sz w:val="24"/>
                <w:szCs w:val="24"/>
                <w:lang w:val="en-US" w:eastAsia="zh-CN"/>
              </w:rPr>
              <w:t>9</w:t>
            </w:r>
            <w:r>
              <w:rPr>
                <w:rFonts w:ascii="Times New Roman" w:hAnsi="Times New Roman"/>
                <w:b/>
                <w:bCs/>
                <w:color w:val="000000"/>
                <w:sz w:val="24"/>
                <w:szCs w:val="24"/>
              </w:rPr>
              <w:t xml:space="preserve"> </w:t>
            </w:r>
            <w:r>
              <w:rPr>
                <w:rFonts w:ascii="Times New Roman" w:hAnsi="Times New Roman"/>
                <w:b/>
                <w:bCs/>
                <w:color w:val="000000"/>
              </w:rPr>
              <w:t xml:space="preserve"> </w:t>
            </w:r>
            <w:r>
              <w:rPr>
                <w:rFonts w:ascii="Times New Roman" w:hAnsi="Times New Roman" w:eastAsia="宋体" w:cs="Times New Roman"/>
                <w:b/>
                <w:color w:val="auto"/>
                <w:kern w:val="2"/>
                <w:sz w:val="24"/>
                <w:szCs w:val="24"/>
                <w:lang w:val="en-US" w:eastAsia="zh-CN" w:bidi="ar-SA"/>
              </w:rPr>
              <w:t xml:space="preserve">本项目各测点噪声预测结果表  </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074"/>
              <w:gridCol w:w="2274"/>
              <w:gridCol w:w="2162"/>
              <w:gridCol w:w="12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21" w:type="dxa"/>
                  <w:tcBorders>
                    <w:tl2br w:val="nil"/>
                    <w:tr2bl w:val="nil"/>
                  </w:tcBorders>
                  <w:noWrap w:val="0"/>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b/>
                      <w:color w:val="auto"/>
                      <w:sz w:val="21"/>
                      <w:szCs w:val="21"/>
                      <w:highlight w:val="none"/>
                    </w:rPr>
                    <w:t>预测方位</w:t>
                  </w:r>
                </w:p>
              </w:tc>
              <w:tc>
                <w:tcPr>
                  <w:tcW w:w="1074" w:type="dxa"/>
                  <w:tcBorders>
                    <w:tl2br w:val="nil"/>
                    <w:tr2bl w:val="nil"/>
                  </w:tcBorders>
                  <w:noWrap w:val="0"/>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b/>
                      <w:color w:val="auto"/>
                      <w:sz w:val="21"/>
                      <w:szCs w:val="21"/>
                      <w:highlight w:val="none"/>
                    </w:rPr>
                    <w:t>时段</w:t>
                  </w:r>
                </w:p>
              </w:tc>
              <w:tc>
                <w:tcPr>
                  <w:tcW w:w="2274" w:type="dxa"/>
                  <w:tcBorders>
                    <w:tl2br w:val="nil"/>
                    <w:tr2bl w:val="nil"/>
                  </w:tcBorders>
                  <w:noWrap w:val="0"/>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b/>
                      <w:color w:val="auto"/>
                      <w:sz w:val="21"/>
                      <w:szCs w:val="21"/>
                      <w:highlight w:val="none"/>
                    </w:rPr>
                    <w:t>预测</w:t>
                  </w:r>
                  <w:r>
                    <w:rPr>
                      <w:rFonts w:hint="eastAsia" w:ascii="Times New Roman" w:hAnsi="Times New Roman" w:eastAsia="宋体" w:cs="Times New Roman"/>
                      <w:b/>
                      <w:color w:val="auto"/>
                      <w:sz w:val="21"/>
                      <w:szCs w:val="21"/>
                      <w:highlight w:val="none"/>
                      <w:lang w:val="en-US" w:eastAsia="zh-CN"/>
                    </w:rPr>
                    <w:t>贡献</w:t>
                  </w:r>
                  <w:r>
                    <w:rPr>
                      <w:rFonts w:ascii="Times New Roman" w:hAnsi="Times New Roman" w:eastAsia="宋体" w:cs="Times New Roman"/>
                      <w:b/>
                      <w:color w:val="auto"/>
                      <w:sz w:val="21"/>
                      <w:szCs w:val="21"/>
                      <w:highlight w:val="none"/>
                    </w:rPr>
                    <w:t>值（dB(A)）</w:t>
                  </w:r>
                </w:p>
              </w:tc>
              <w:tc>
                <w:tcPr>
                  <w:tcW w:w="2162" w:type="dxa"/>
                  <w:tcBorders>
                    <w:tl2br w:val="nil"/>
                    <w:tr2bl w:val="nil"/>
                  </w:tcBorders>
                  <w:noWrap w:val="0"/>
                  <w:vAlign w:val="center"/>
                </w:tcPr>
                <w:p>
                  <w:pPr>
                    <w:jc w:val="center"/>
                    <w:rPr>
                      <w:rFonts w:ascii="Times New Roman" w:hAnsi="Times New Roman" w:eastAsia="宋体" w:cs="Times New Roman"/>
                      <w:b/>
                      <w:color w:val="auto"/>
                      <w:sz w:val="21"/>
                      <w:szCs w:val="21"/>
                      <w:highlight w:val="none"/>
                    </w:rPr>
                  </w:pPr>
                  <w:r>
                    <w:rPr>
                      <w:rFonts w:ascii="Times New Roman" w:hAnsi="Times New Roman" w:eastAsia="宋体" w:cs="Times New Roman"/>
                      <w:b/>
                      <w:color w:val="auto"/>
                      <w:sz w:val="21"/>
                      <w:szCs w:val="21"/>
                      <w:highlight w:val="none"/>
                    </w:rPr>
                    <w:t>标准限值（dB(A)）</w:t>
                  </w:r>
                </w:p>
              </w:tc>
              <w:tc>
                <w:tcPr>
                  <w:tcW w:w="1273" w:type="dxa"/>
                  <w:tcBorders>
                    <w:tl2br w:val="nil"/>
                    <w:tr2bl w:val="nil"/>
                  </w:tcBorders>
                  <w:noWrap w:val="0"/>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b/>
                      <w:color w:val="auto"/>
                      <w:sz w:val="21"/>
                      <w:szCs w:val="21"/>
                      <w:highlight w:val="none"/>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21" w:type="dxa"/>
                  <w:tcBorders>
                    <w:tl2br w:val="nil"/>
                    <w:tr2bl w:val="nil"/>
                  </w:tcBorders>
                  <w:noWrap w:val="0"/>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东侧</w:t>
                  </w:r>
                </w:p>
              </w:tc>
              <w:tc>
                <w:tcPr>
                  <w:tcW w:w="1074" w:type="dxa"/>
                  <w:tcBorders>
                    <w:tl2br w:val="nil"/>
                    <w:tr2bl w:val="nil"/>
                  </w:tcBorders>
                  <w:noWrap w:val="0"/>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昼间</w:t>
                  </w:r>
                </w:p>
              </w:tc>
              <w:tc>
                <w:tcPr>
                  <w:tcW w:w="227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53.8</w:t>
                  </w:r>
                </w:p>
              </w:tc>
              <w:tc>
                <w:tcPr>
                  <w:tcW w:w="2162" w:type="dxa"/>
                  <w:tcBorders>
                    <w:tl2br w:val="nil"/>
                    <w:tr2bl w:val="nil"/>
                  </w:tcBorders>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65</w:t>
                  </w:r>
                </w:p>
              </w:tc>
              <w:tc>
                <w:tcPr>
                  <w:tcW w:w="1273" w:type="dxa"/>
                  <w:tcBorders>
                    <w:tl2br w:val="nil"/>
                    <w:tr2bl w:val="nil"/>
                  </w:tcBorders>
                  <w:noWrap w:val="0"/>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21" w:type="dxa"/>
                  <w:tcBorders>
                    <w:tl2br w:val="nil"/>
                    <w:tr2bl w:val="nil"/>
                  </w:tcBorders>
                  <w:noWrap w:val="0"/>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南侧</w:t>
                  </w:r>
                </w:p>
              </w:tc>
              <w:tc>
                <w:tcPr>
                  <w:tcW w:w="1074" w:type="dxa"/>
                  <w:tcBorders>
                    <w:tl2br w:val="nil"/>
                    <w:tr2bl w:val="nil"/>
                  </w:tcBorders>
                  <w:noWrap w:val="0"/>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昼间</w:t>
                  </w:r>
                </w:p>
              </w:tc>
              <w:tc>
                <w:tcPr>
                  <w:tcW w:w="227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49.4</w:t>
                  </w:r>
                </w:p>
              </w:tc>
              <w:tc>
                <w:tcPr>
                  <w:tcW w:w="2162" w:type="dxa"/>
                  <w:tcBorders>
                    <w:tl2br w:val="nil"/>
                    <w:tr2bl w:val="nil"/>
                  </w:tcBorders>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65</w:t>
                  </w:r>
                </w:p>
              </w:tc>
              <w:tc>
                <w:tcPr>
                  <w:tcW w:w="1273" w:type="dxa"/>
                  <w:tcBorders>
                    <w:tl2br w:val="nil"/>
                    <w:tr2bl w:val="nil"/>
                  </w:tcBorders>
                  <w:noWrap w:val="0"/>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21" w:type="dxa"/>
                  <w:tcBorders>
                    <w:tl2br w:val="nil"/>
                    <w:tr2bl w:val="nil"/>
                  </w:tcBorders>
                  <w:noWrap w:val="0"/>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西侧</w:t>
                  </w:r>
                </w:p>
              </w:tc>
              <w:tc>
                <w:tcPr>
                  <w:tcW w:w="1074" w:type="dxa"/>
                  <w:tcBorders>
                    <w:tl2br w:val="nil"/>
                    <w:tr2bl w:val="nil"/>
                  </w:tcBorders>
                  <w:noWrap w:val="0"/>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昼间</w:t>
                  </w:r>
                </w:p>
              </w:tc>
              <w:tc>
                <w:tcPr>
                  <w:tcW w:w="227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52.5</w:t>
                  </w:r>
                </w:p>
              </w:tc>
              <w:tc>
                <w:tcPr>
                  <w:tcW w:w="2162" w:type="dxa"/>
                  <w:tcBorders>
                    <w:tl2br w:val="nil"/>
                    <w:tr2bl w:val="nil"/>
                  </w:tcBorders>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65</w:t>
                  </w:r>
                </w:p>
              </w:tc>
              <w:tc>
                <w:tcPr>
                  <w:tcW w:w="1273" w:type="dxa"/>
                  <w:tcBorders>
                    <w:tl2br w:val="nil"/>
                    <w:tr2bl w:val="nil"/>
                  </w:tcBorders>
                  <w:noWrap w:val="0"/>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21" w:type="dxa"/>
                  <w:tcBorders>
                    <w:tl2br w:val="nil"/>
                    <w:tr2bl w:val="nil"/>
                  </w:tcBorders>
                  <w:noWrap w:val="0"/>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北侧</w:t>
                  </w:r>
                </w:p>
              </w:tc>
              <w:tc>
                <w:tcPr>
                  <w:tcW w:w="1074" w:type="dxa"/>
                  <w:tcBorders>
                    <w:tl2br w:val="nil"/>
                    <w:tr2bl w:val="nil"/>
                  </w:tcBorders>
                  <w:noWrap w:val="0"/>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昼间</w:t>
                  </w:r>
                </w:p>
              </w:tc>
              <w:tc>
                <w:tcPr>
                  <w:tcW w:w="227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50.3</w:t>
                  </w:r>
                </w:p>
              </w:tc>
              <w:tc>
                <w:tcPr>
                  <w:tcW w:w="2162" w:type="dxa"/>
                  <w:tcBorders>
                    <w:tl2br w:val="nil"/>
                    <w:tr2bl w:val="nil"/>
                  </w:tcBorders>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5</w:t>
                  </w:r>
                </w:p>
              </w:tc>
              <w:tc>
                <w:tcPr>
                  <w:tcW w:w="1273" w:type="dxa"/>
                  <w:tcBorders>
                    <w:tl2br w:val="nil"/>
                    <w:tr2bl w:val="nil"/>
                  </w:tcBorders>
                  <w:noWrap w:val="0"/>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达标</w:t>
                  </w:r>
                </w:p>
              </w:tc>
            </w:tr>
          </w:tbl>
          <w:p>
            <w:pPr>
              <w:pStyle w:val="9"/>
              <w:tabs>
                <w:tab w:val="left" w:pos="892"/>
              </w:tabs>
              <w:snapToGrid w:val="0"/>
              <w:spacing w:before="0" w:after="0" w:line="500" w:lineRule="exact"/>
              <w:ind w:right="0"/>
              <w:jc w:val="center"/>
              <w:rPr>
                <w:rFonts w:hint="default" w:ascii="Times New Roman" w:hAnsi="Times New Roman" w:eastAsia="宋体" w:cs="Times New Roman"/>
                <w:color w:val="000000"/>
                <w:kern w:val="2"/>
                <w:sz w:val="24"/>
                <w:szCs w:val="24"/>
                <w:lang w:val="en-US" w:eastAsia="zh-CN" w:bidi="ar-SA"/>
              </w:rPr>
            </w:pPr>
            <w:r>
              <w:rPr>
                <w:rFonts w:ascii="Times New Roman" w:hAnsi="Times New Roman" w:eastAsia="宋体" w:cs="Times New Roman"/>
                <w:b/>
                <w:color w:val="auto"/>
                <w:kern w:val="2"/>
                <w:sz w:val="24"/>
                <w:szCs w:val="24"/>
                <w:lang w:val="en-US" w:eastAsia="zh-CN" w:bidi="ar-SA"/>
              </w:rPr>
              <w:t>表</w:t>
            </w:r>
            <w:r>
              <w:rPr>
                <w:rFonts w:hint="eastAsia" w:ascii="Times New Roman" w:hAnsi="Times New Roman" w:eastAsia="宋体" w:cs="Times New Roman"/>
                <w:b/>
                <w:color w:val="auto"/>
                <w:kern w:val="2"/>
                <w:sz w:val="24"/>
                <w:szCs w:val="24"/>
                <w:lang w:val="en-US" w:eastAsia="zh-CN" w:bidi="ar-SA"/>
              </w:rPr>
              <w:t>4-</w:t>
            </w:r>
            <w:r>
              <w:rPr>
                <w:rFonts w:hint="eastAsia" w:cs="Times New Roman"/>
                <w:b/>
                <w:color w:val="auto"/>
                <w:kern w:val="2"/>
                <w:sz w:val="24"/>
                <w:szCs w:val="24"/>
                <w:lang w:val="en-US" w:eastAsia="zh-CN" w:bidi="ar-SA"/>
              </w:rPr>
              <w:t>20</w:t>
            </w:r>
            <w:r>
              <w:rPr>
                <w:rFonts w:ascii="Times New Roman" w:hAnsi="Times New Roman" w:eastAsia="宋体" w:cs="Times New Roman"/>
                <w:b/>
                <w:color w:val="auto"/>
                <w:kern w:val="2"/>
                <w:sz w:val="24"/>
                <w:szCs w:val="24"/>
                <w:lang w:val="en-US" w:eastAsia="zh-CN" w:bidi="ar-SA"/>
              </w:rPr>
              <w:tab/>
            </w:r>
            <w:r>
              <w:rPr>
                <w:rFonts w:ascii="Times New Roman" w:hAnsi="Times New Roman" w:eastAsia="宋体" w:cs="Times New Roman"/>
                <w:b/>
                <w:color w:val="auto"/>
                <w:kern w:val="2"/>
                <w:sz w:val="24"/>
                <w:szCs w:val="24"/>
                <w:lang w:val="en-US" w:eastAsia="zh-CN" w:bidi="ar-SA"/>
              </w:rPr>
              <w:t>工业企业声环境保护目标噪声预测结果与达标分析表</w:t>
            </w:r>
            <w:r>
              <w:rPr>
                <w:rFonts w:hint="eastAsia" w:cs="Times New Roman"/>
                <w:b/>
                <w:color w:val="auto"/>
                <w:kern w:val="2"/>
                <w:sz w:val="24"/>
                <w:szCs w:val="24"/>
                <w:lang w:val="en-US" w:eastAsia="zh-CN" w:bidi="ar-SA"/>
              </w:rPr>
              <w:t xml:space="preserve">  </w:t>
            </w:r>
            <w:r>
              <w:rPr>
                <w:rFonts w:hint="eastAsia" w:ascii="Times New Roman" w:hAnsi="Times New Roman" w:eastAsia="宋体" w:cs="Times New Roman"/>
                <w:b/>
                <w:bCs/>
                <w:color w:val="000000"/>
                <w:kern w:val="2"/>
                <w:sz w:val="24"/>
                <w:szCs w:val="24"/>
                <w:lang w:val="en-US" w:eastAsia="zh-CN" w:bidi="ar-SA"/>
              </w:rPr>
              <w:t>单位</w:t>
            </w:r>
            <w:r>
              <w:rPr>
                <w:rFonts w:ascii="Times New Roman" w:hAnsi="Times New Roman" w:eastAsia="宋体" w:cs="Times New Roman"/>
                <w:b/>
                <w:bCs/>
                <w:color w:val="000000"/>
                <w:kern w:val="2"/>
                <w:sz w:val="24"/>
                <w:szCs w:val="24"/>
                <w:lang w:val="en-US" w:eastAsia="zh-CN" w:bidi="ar-SA"/>
              </w:rPr>
              <w:t>dB(A)</w:t>
            </w:r>
          </w:p>
          <w:tbl>
            <w:tblPr>
              <w:tblStyle w:val="18"/>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728"/>
              <w:gridCol w:w="752"/>
              <w:gridCol w:w="752"/>
              <w:gridCol w:w="505"/>
              <w:gridCol w:w="752"/>
              <w:gridCol w:w="752"/>
              <w:gridCol w:w="1247"/>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5" w:type="pct"/>
                  <w:tcBorders>
                    <w:tl2br w:val="nil"/>
                    <w:tr2bl w:val="nil"/>
                  </w:tcBorders>
                  <w:noWrap w:val="0"/>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声环境保护目标名称</w:t>
                  </w:r>
                </w:p>
              </w:tc>
              <w:tc>
                <w:tcPr>
                  <w:tcW w:w="442" w:type="pct"/>
                  <w:tcBorders>
                    <w:tl2br w:val="nil"/>
                    <w:tr2bl w:val="nil"/>
                  </w:tcBorders>
                  <w:noWrap w:val="0"/>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背景值</w:t>
                  </w:r>
                </w:p>
              </w:tc>
              <w:tc>
                <w:tcPr>
                  <w:tcW w:w="442" w:type="pct"/>
                  <w:tcBorders>
                    <w:tl2br w:val="nil"/>
                    <w:tr2bl w:val="nil"/>
                  </w:tcBorders>
                  <w:noWrap w:val="0"/>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现状值</w:t>
                  </w:r>
                </w:p>
              </w:tc>
              <w:tc>
                <w:tcPr>
                  <w:tcW w:w="297" w:type="pct"/>
                  <w:tcBorders>
                    <w:tl2br w:val="nil"/>
                    <w:tr2bl w:val="nil"/>
                  </w:tcBorders>
                  <w:noWrap w:val="0"/>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标准</w:t>
                  </w:r>
                </w:p>
              </w:tc>
              <w:tc>
                <w:tcPr>
                  <w:tcW w:w="442" w:type="pct"/>
                  <w:tcBorders>
                    <w:tl2br w:val="nil"/>
                    <w:tr2bl w:val="nil"/>
                  </w:tcBorders>
                  <w:noWrap w:val="0"/>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贡献值</w:t>
                  </w:r>
                </w:p>
              </w:tc>
              <w:tc>
                <w:tcPr>
                  <w:tcW w:w="442" w:type="pct"/>
                  <w:tcBorders>
                    <w:tl2br w:val="nil"/>
                    <w:tr2bl w:val="nil"/>
                  </w:tcBorders>
                  <w:noWrap w:val="0"/>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预测值</w:t>
                  </w:r>
                </w:p>
              </w:tc>
              <w:tc>
                <w:tcPr>
                  <w:tcW w:w="733" w:type="pct"/>
                  <w:tcBorders>
                    <w:tl2br w:val="nil"/>
                    <w:tr2bl w:val="nil"/>
                  </w:tcBorders>
                  <w:noWrap w:val="0"/>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较现状增量</w:t>
                  </w:r>
                </w:p>
              </w:tc>
              <w:tc>
                <w:tcPr>
                  <w:tcW w:w="594" w:type="pct"/>
                  <w:tcBorders>
                    <w:tl2br w:val="nil"/>
                    <w:tr2bl w:val="nil"/>
                  </w:tcBorders>
                  <w:noWrap w:val="0"/>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5"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sz w:val="21"/>
                      <w:szCs w:val="21"/>
                      <w:lang w:val="en-US" w:eastAsia="zh-CN"/>
                    </w:rPr>
                    <w:t>于坝村二十五组（散户）</w:t>
                  </w:r>
                </w:p>
              </w:tc>
              <w:tc>
                <w:tcPr>
                  <w:tcW w:w="442"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47.5</w:t>
                  </w:r>
                </w:p>
              </w:tc>
              <w:tc>
                <w:tcPr>
                  <w:tcW w:w="442" w:type="pct"/>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47</w:t>
                  </w:r>
                  <w:r>
                    <w:rPr>
                      <w:rFonts w:hint="eastAsia" w:cs="Times New Roman"/>
                      <w:color w:val="auto"/>
                      <w:sz w:val="21"/>
                      <w:szCs w:val="21"/>
                      <w:lang w:val="en-US" w:eastAsia="zh-CN"/>
                    </w:rPr>
                    <w:t>.5</w:t>
                  </w:r>
                </w:p>
              </w:tc>
              <w:tc>
                <w:tcPr>
                  <w:tcW w:w="297" w:type="pct"/>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60</w:t>
                  </w:r>
                </w:p>
              </w:tc>
              <w:tc>
                <w:tcPr>
                  <w:tcW w:w="442"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40.6</w:t>
                  </w:r>
                </w:p>
              </w:tc>
              <w:tc>
                <w:tcPr>
                  <w:tcW w:w="442"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48.3</w:t>
                  </w:r>
                </w:p>
              </w:tc>
              <w:tc>
                <w:tcPr>
                  <w:tcW w:w="733" w:type="pct"/>
                  <w:tcBorders>
                    <w:tl2br w:val="nil"/>
                    <w:tr2bl w:val="nil"/>
                  </w:tcBorders>
                  <w:noWrap w:val="0"/>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0.8</w:t>
                  </w:r>
                </w:p>
              </w:tc>
              <w:tc>
                <w:tcPr>
                  <w:tcW w:w="594" w:type="pct"/>
                  <w:tcBorders>
                    <w:tl2br w:val="nil"/>
                    <w:tr2bl w:val="nil"/>
                  </w:tcBorders>
                  <w:noWrap w:val="0"/>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5" w:type="pct"/>
                  <w:tcBorders>
                    <w:tl2br w:val="nil"/>
                    <w:tr2bl w:val="nil"/>
                  </w:tcBorders>
                  <w:noWrap w:val="0"/>
                  <w:vAlign w:val="center"/>
                </w:tcPr>
                <w:p>
                  <w:pPr>
                    <w:jc w:val="center"/>
                    <w:rPr>
                      <w:rFonts w:hint="default" w:eastAsia="宋体"/>
                      <w:lang w:val="en-US" w:eastAsia="zh-CN"/>
                    </w:rPr>
                  </w:pPr>
                  <w:r>
                    <w:rPr>
                      <w:rFonts w:hint="eastAsia"/>
                      <w:lang w:val="en-US" w:eastAsia="zh-CN"/>
                    </w:rPr>
                    <w:t>于坝村二十九组</w:t>
                  </w:r>
                </w:p>
              </w:tc>
              <w:tc>
                <w:tcPr>
                  <w:tcW w:w="442"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45.3</w:t>
                  </w:r>
                </w:p>
              </w:tc>
              <w:tc>
                <w:tcPr>
                  <w:tcW w:w="442" w:type="pct"/>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45.3</w:t>
                  </w:r>
                </w:p>
              </w:tc>
              <w:tc>
                <w:tcPr>
                  <w:tcW w:w="297" w:type="pct"/>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60</w:t>
                  </w:r>
                </w:p>
              </w:tc>
              <w:tc>
                <w:tcPr>
                  <w:tcW w:w="442"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25.3</w:t>
                  </w:r>
                </w:p>
              </w:tc>
              <w:tc>
                <w:tcPr>
                  <w:tcW w:w="442"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45.3</w:t>
                  </w:r>
                </w:p>
              </w:tc>
              <w:tc>
                <w:tcPr>
                  <w:tcW w:w="733" w:type="pct"/>
                  <w:tcBorders>
                    <w:tl2br w:val="nil"/>
                    <w:tr2bl w:val="nil"/>
                  </w:tcBorders>
                  <w:noWrap w:val="0"/>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594" w:type="pct"/>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达标</w:t>
                  </w: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0" w:firstLineChars="200"/>
              <w:jc w:val="both"/>
              <w:textAlignment w:val="auto"/>
              <w:rPr>
                <w:rFonts w:hint="eastAsia" w:eastAsia="宋体" w:cs="Times New Roman"/>
                <w:b/>
                <w:bCs/>
                <w:sz w:val="24"/>
                <w:szCs w:val="24"/>
                <w:lang w:val="en-US" w:eastAsia="zh-CN"/>
              </w:rPr>
            </w:pPr>
            <w:r>
              <w:rPr>
                <w:rFonts w:hint="eastAsia" w:ascii="Times New Roman" w:hAnsi="Times New Roman"/>
                <w:color w:val="auto"/>
                <w:sz w:val="24"/>
                <w:szCs w:val="24"/>
              </w:rPr>
              <w:t>本项目夜间不生产</w:t>
            </w:r>
            <w:r>
              <w:rPr>
                <w:rFonts w:hint="eastAsia" w:ascii="Times New Roman" w:hAnsi="Times New Roman"/>
                <w:color w:val="auto"/>
                <w:sz w:val="24"/>
                <w:szCs w:val="24"/>
                <w:lang w:eastAsia="zh-CN"/>
              </w:rPr>
              <w:t>，</w:t>
            </w:r>
            <w:r>
              <w:rPr>
                <w:rFonts w:ascii="Times New Roman" w:hAnsi="Times New Roman"/>
                <w:color w:val="auto"/>
                <w:sz w:val="24"/>
                <w:szCs w:val="24"/>
              </w:rPr>
              <w:t>由上表可知，各高噪声设备经过采取有效控制措施后，项目厂界外1米昼间噪声排放可达到《工业企业厂界环境噪声排放标准》（GB12348-2008）</w:t>
            </w:r>
            <w:r>
              <w:rPr>
                <w:rFonts w:hint="eastAsia"/>
                <w:color w:val="auto"/>
                <w:sz w:val="24"/>
                <w:szCs w:val="24"/>
                <w:lang w:val="en-US" w:eastAsia="zh-CN"/>
              </w:rPr>
              <w:t>3</w:t>
            </w:r>
            <w:r>
              <w:rPr>
                <w:rFonts w:ascii="Times New Roman" w:hAnsi="Times New Roman"/>
                <w:color w:val="auto"/>
                <w:sz w:val="24"/>
                <w:szCs w:val="24"/>
              </w:rPr>
              <w:t>类标准限值</w:t>
            </w:r>
            <w:r>
              <w:rPr>
                <w:rFonts w:hint="eastAsia" w:ascii="Times New Roman" w:hAnsi="Times New Roman"/>
                <w:color w:val="auto"/>
                <w:sz w:val="24"/>
                <w:szCs w:val="24"/>
              </w:rPr>
              <w:t>的</w:t>
            </w:r>
            <w:r>
              <w:rPr>
                <w:rFonts w:ascii="Times New Roman" w:hAnsi="Times New Roman"/>
                <w:color w:val="auto"/>
                <w:sz w:val="24"/>
                <w:szCs w:val="24"/>
              </w:rPr>
              <w:t>要求</w:t>
            </w:r>
            <w:r>
              <w:rPr>
                <w:rFonts w:hint="eastAsia" w:ascii="Times New Roman" w:hAnsi="Times New Roman"/>
                <w:color w:val="auto"/>
                <w:sz w:val="24"/>
                <w:szCs w:val="24"/>
              </w:rPr>
              <w:t>，</w:t>
            </w:r>
            <w:r>
              <w:rPr>
                <w:rFonts w:hint="eastAsia" w:ascii="Times New Roman" w:hAnsi="Times New Roman" w:eastAsia="宋体" w:cs="宋体"/>
                <w:color w:val="auto"/>
                <w:kern w:val="2"/>
                <w:sz w:val="24"/>
                <w:szCs w:val="24"/>
                <w:lang w:val="en-US" w:eastAsia="zh-CN" w:bidi="ar"/>
              </w:rPr>
              <w:t>附近敏感点叠加背景值后满足</w:t>
            </w:r>
            <w:r>
              <w:rPr>
                <w:rFonts w:hint="default" w:ascii="Times New Roman" w:hAnsi="Times New Roman" w:eastAsia="宋体" w:cs="Times New Roman"/>
                <w:color w:val="auto"/>
                <w:sz w:val="24"/>
                <w:szCs w:val="24"/>
                <w:lang w:val="en-US" w:eastAsia="zh-CN"/>
              </w:rPr>
              <w:t>《声环境质量标准》（GB3096-2008）中的</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类标准要求</w:t>
            </w:r>
            <w:r>
              <w:rPr>
                <w:rFonts w:hint="eastAsia" w:cs="Times New Roman"/>
                <w:color w:val="auto"/>
                <w:sz w:val="24"/>
                <w:szCs w:val="24"/>
                <w:lang w:val="en-US" w:eastAsia="zh-CN"/>
              </w:rPr>
              <w:t>，</w:t>
            </w:r>
            <w:r>
              <w:rPr>
                <w:rFonts w:hint="eastAsia" w:ascii="Times New Roman" w:hAnsi="Times New Roman"/>
                <w:color w:val="auto"/>
                <w:sz w:val="24"/>
                <w:szCs w:val="24"/>
              </w:rPr>
              <w:t>对周边环境影响较小</w:t>
            </w:r>
            <w:r>
              <w:rPr>
                <w:rFonts w:hint="eastAsia"/>
                <w:color w:val="auto"/>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（3）噪声监测计划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eastAsia="宋体" w:cs="Times New Roman"/>
                <w:b w:val="0"/>
                <w:bCs w:val="0"/>
                <w:sz w:val="24"/>
                <w:szCs w:val="24"/>
                <w:lang w:val="en-US" w:eastAsia="zh-CN"/>
              </w:rPr>
            </w:pPr>
            <w:r>
              <w:rPr>
                <w:rFonts w:ascii="Times New Roman" w:hAnsi="Times New Roman"/>
                <w:color w:val="000000"/>
                <w:sz w:val="24"/>
                <w:szCs w:val="24"/>
              </w:rPr>
              <w:t>根据</w:t>
            </w:r>
            <w:r>
              <w:rPr>
                <w:rFonts w:hint="eastAsia" w:ascii="Times New Roman" w:hAnsi="Times New Roman" w:eastAsia="宋体" w:cs="Times New Roman"/>
                <w:b w:val="0"/>
                <w:bCs w:val="0"/>
                <w:color w:val="auto"/>
                <w:spacing w:val="0"/>
                <w:kern w:val="2"/>
                <w:sz w:val="24"/>
                <w:szCs w:val="24"/>
                <w:lang w:val="en-US" w:eastAsia="zh-CN" w:bidi="ar-SA"/>
              </w:rPr>
              <w:t>《排污单位自行监测技术指南 总则》（HJ819-2017）、</w:t>
            </w:r>
            <w:r>
              <w:rPr>
                <w:rFonts w:hint="eastAsia" w:cs="Times New Roman"/>
                <w:color w:val="auto"/>
                <w:spacing w:val="0"/>
                <w:sz w:val="24"/>
                <w:szCs w:val="24"/>
                <w:lang w:val="en-US" w:eastAsia="zh-CN"/>
              </w:rPr>
              <w:t>《</w:t>
            </w:r>
            <w:r>
              <w:rPr>
                <w:rFonts w:hint="eastAsia" w:ascii="Times New Roman" w:hAnsi="Times New Roman" w:eastAsia="宋体" w:cs="Times New Roman"/>
                <w:color w:val="auto"/>
                <w:spacing w:val="0"/>
                <w:sz w:val="24"/>
                <w:szCs w:val="24"/>
                <w:lang w:val="en-US" w:eastAsia="zh-CN"/>
              </w:rPr>
              <w:t>排污单位自行监测技术指南 橡胶和塑料制品</w:t>
            </w:r>
            <w:r>
              <w:rPr>
                <w:rFonts w:hint="eastAsia" w:cs="Times New Roman"/>
                <w:color w:val="auto"/>
                <w:spacing w:val="0"/>
                <w:sz w:val="24"/>
                <w:szCs w:val="24"/>
                <w:lang w:val="en-US" w:eastAsia="zh-CN"/>
              </w:rPr>
              <w:t>》（</w:t>
            </w:r>
            <w:r>
              <w:rPr>
                <w:rFonts w:hint="eastAsia" w:ascii="Times New Roman" w:hAnsi="Times New Roman" w:eastAsia="宋体" w:cs="Times New Roman"/>
                <w:color w:val="auto"/>
                <w:spacing w:val="0"/>
                <w:sz w:val="24"/>
                <w:szCs w:val="24"/>
                <w:lang w:val="en-US" w:eastAsia="zh-CN"/>
              </w:rPr>
              <w:t>HJ 1207-2021</w:t>
            </w:r>
            <w:r>
              <w:rPr>
                <w:rFonts w:hint="eastAsia" w:cs="Times New Roman"/>
                <w:color w:val="auto"/>
                <w:spacing w:val="0"/>
                <w:sz w:val="24"/>
                <w:szCs w:val="24"/>
                <w:lang w:val="en-US" w:eastAsia="zh-CN"/>
              </w:rPr>
              <w:t>）《排污单位自行监测技术指南 造纸业》（HJ 821-2017）</w:t>
            </w:r>
            <w:r>
              <w:rPr>
                <w:rFonts w:hint="eastAsia" w:ascii="Times New Roman" w:hAnsi="Times New Roman" w:eastAsia="宋体" w:cs="Times New Roman"/>
                <w:color w:val="auto"/>
                <w:spacing w:val="0"/>
                <w:sz w:val="24"/>
                <w:szCs w:val="24"/>
                <w:lang w:val="en-US" w:eastAsia="zh-CN"/>
              </w:rPr>
              <w:t>和《排污单位自行监测技术指南</w:t>
            </w:r>
            <w:r>
              <w:rPr>
                <w:rFonts w:hint="eastAsia" w:cs="Times New Roman"/>
                <w:color w:val="auto"/>
                <w:spacing w:val="0"/>
                <w:sz w:val="24"/>
                <w:szCs w:val="24"/>
                <w:lang w:val="en-US" w:eastAsia="zh-CN"/>
              </w:rPr>
              <w:t xml:space="preserve"> </w:t>
            </w:r>
            <w:r>
              <w:rPr>
                <w:rFonts w:hint="eastAsia" w:ascii="Times New Roman" w:hAnsi="Times New Roman" w:eastAsia="宋体" w:cs="Times New Roman"/>
                <w:color w:val="auto"/>
                <w:spacing w:val="0"/>
                <w:sz w:val="24"/>
                <w:szCs w:val="24"/>
                <w:lang w:val="en-US" w:eastAsia="zh-CN"/>
              </w:rPr>
              <w:t>印刷工业》（HJ 1246-2022）</w:t>
            </w:r>
            <w:r>
              <w:rPr>
                <w:rFonts w:hint="eastAsia" w:ascii="Times New Roman" w:hAnsi="Times New Roman" w:eastAsia="宋体" w:cs="Times New Roman"/>
                <w:b w:val="0"/>
                <w:bCs w:val="0"/>
                <w:sz w:val="24"/>
                <w:szCs w:val="24"/>
                <w:lang w:val="en-US" w:eastAsia="zh-CN"/>
              </w:rPr>
              <w:t>中相关要求，厂界噪声最低监测频次为季度，厂界噪声监测频次为一季度开展一次，并在噪声监测点附近醒目处设置环境保护图形标志牌。</w:t>
            </w:r>
          </w:p>
          <w:p>
            <w:pPr>
              <w:pStyle w:val="24"/>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b/>
                <w:bCs/>
                <w:snapToGrid w:val="0"/>
                <w:color w:val="auto"/>
                <w:kern w:val="0"/>
                <w:sz w:val="24"/>
                <w:szCs w:val="24"/>
              </w:rPr>
              <w:t>表4-</w:t>
            </w:r>
            <w:r>
              <w:rPr>
                <w:rFonts w:hint="eastAsia" w:eastAsia="宋体" w:cs="Times New Roman"/>
                <w:b/>
                <w:bCs/>
                <w:snapToGrid w:val="0"/>
                <w:color w:val="auto"/>
                <w:kern w:val="0"/>
                <w:sz w:val="24"/>
                <w:szCs w:val="24"/>
                <w:lang w:val="en-US" w:eastAsia="zh-CN"/>
              </w:rPr>
              <w:t xml:space="preserve">21 </w:t>
            </w:r>
            <w:r>
              <w:rPr>
                <w:rFonts w:hint="default" w:ascii="Times New Roman" w:hAnsi="Times New Roman" w:eastAsia="宋体" w:cs="Times New Roman"/>
                <w:b/>
                <w:bCs/>
                <w:snapToGrid w:val="0"/>
                <w:color w:val="auto"/>
                <w:kern w:val="0"/>
                <w:sz w:val="24"/>
                <w:szCs w:val="24"/>
              </w:rPr>
              <w:t xml:space="preserve">  噪声环境监测计划</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63"/>
              <w:gridCol w:w="1637"/>
              <w:gridCol w:w="1637"/>
              <w:gridCol w:w="1337"/>
              <w:gridCol w:w="32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5"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类别</w:t>
                  </w:r>
                </w:p>
              </w:tc>
              <w:tc>
                <w:tcPr>
                  <w:tcW w:w="1703"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监测位置</w:t>
                  </w:r>
                </w:p>
              </w:tc>
              <w:tc>
                <w:tcPr>
                  <w:tcW w:w="1706"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监测项目</w:t>
                  </w:r>
                </w:p>
              </w:tc>
              <w:tc>
                <w:tcPr>
                  <w:tcW w:w="1391"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监测频次</w:t>
                  </w:r>
                </w:p>
              </w:tc>
              <w:tc>
                <w:tcPr>
                  <w:tcW w:w="3302"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5"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噪声</w:t>
                  </w:r>
                </w:p>
              </w:tc>
              <w:tc>
                <w:tcPr>
                  <w:tcW w:w="1703"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厂界</w:t>
                  </w:r>
                  <w:r>
                    <w:rPr>
                      <w:rFonts w:hint="default" w:ascii="Times New Roman" w:hAnsi="Times New Roman" w:eastAsia="宋体" w:cs="Times New Roman"/>
                      <w:snapToGrid w:val="0"/>
                      <w:color w:val="auto"/>
                      <w:kern w:val="0"/>
                      <w:sz w:val="21"/>
                      <w:szCs w:val="21"/>
                      <w:lang w:val="en-US" w:eastAsia="zh-CN"/>
                    </w:rPr>
                    <w:t>四周</w:t>
                  </w:r>
                  <w:r>
                    <w:rPr>
                      <w:rFonts w:hint="default" w:ascii="Times New Roman" w:hAnsi="Times New Roman" w:eastAsia="宋体" w:cs="Times New Roman"/>
                      <w:snapToGrid w:val="0"/>
                      <w:color w:val="auto"/>
                      <w:kern w:val="0"/>
                      <w:sz w:val="21"/>
                      <w:szCs w:val="21"/>
                    </w:rPr>
                    <w:t>外1m</w:t>
                  </w:r>
                </w:p>
              </w:tc>
              <w:tc>
                <w:tcPr>
                  <w:tcW w:w="1706" w:type="dxa"/>
                  <w:tcBorders>
                    <w:tl2br w:val="nil"/>
                    <w:tr2bl w:val="nil"/>
                  </w:tcBorders>
                  <w:noWrap w:val="0"/>
                  <w:vAlign w:val="center"/>
                </w:tcPr>
                <w:p>
                  <w:pPr>
                    <w:pStyle w:val="17"/>
                    <w:keepNext w:val="0"/>
                    <w:keepLines w:val="0"/>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cs="Times New Roman"/>
                      <w:snapToGrid w:val="0"/>
                      <w:color w:val="auto"/>
                      <w:kern w:val="0"/>
                      <w:sz w:val="21"/>
                      <w:szCs w:val="21"/>
                    </w:rPr>
                  </w:pPr>
                  <w:r>
                    <w:rPr>
                      <w:rFonts w:hint="eastAsia" w:cs="Times New Roman"/>
                      <w:snapToGrid w:val="0"/>
                      <w:color w:val="auto"/>
                      <w:kern w:val="0"/>
                      <w:sz w:val="21"/>
                      <w:szCs w:val="21"/>
                      <w:lang w:val="en-US" w:eastAsia="zh-CN"/>
                    </w:rPr>
                    <w:t>等效</w:t>
                  </w:r>
                  <w:r>
                    <w:rPr>
                      <w:rFonts w:hint="default" w:ascii="Times New Roman" w:hAnsi="Times New Roman" w:cs="Times New Roman"/>
                      <w:snapToGrid w:val="0"/>
                      <w:color w:val="auto"/>
                      <w:kern w:val="0"/>
                      <w:sz w:val="21"/>
                      <w:szCs w:val="21"/>
                    </w:rPr>
                    <w:t>连续A声级</w:t>
                  </w:r>
                </w:p>
              </w:tc>
              <w:tc>
                <w:tcPr>
                  <w:tcW w:w="1391"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一季一次</w:t>
                  </w:r>
                </w:p>
              </w:tc>
              <w:tc>
                <w:tcPr>
                  <w:tcW w:w="3302"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rPr>
                  </w:pPr>
                  <w:r>
                    <w:rPr>
                      <w:rFonts w:hint="default" w:ascii="Times New Roman" w:hAnsi="Times New Roman" w:eastAsia="宋体" w:cs="Times New Roman"/>
                      <w:snapToGrid w:val="0"/>
                      <w:color w:val="auto"/>
                      <w:kern w:val="0"/>
                      <w:sz w:val="21"/>
                      <w:szCs w:val="21"/>
                    </w:rPr>
                    <w:t>《工业企业厂界环境噪声排放标准》（GB12348-2008）</w:t>
                  </w:r>
                  <w:r>
                    <w:rPr>
                      <w:rFonts w:hint="default" w:ascii="Times New Roman" w:hAnsi="Times New Roman" w:eastAsia="宋体" w:cs="Times New Roman"/>
                      <w:snapToGrid w:val="0"/>
                      <w:color w:val="auto"/>
                      <w:kern w:val="0"/>
                      <w:sz w:val="21"/>
                      <w:szCs w:val="21"/>
                      <w:lang w:val="en-US" w:eastAsia="zh-CN"/>
                    </w:rPr>
                    <w:t>中</w:t>
                  </w:r>
                  <w:r>
                    <w:rPr>
                      <w:rFonts w:hint="eastAsia" w:eastAsia="宋体" w:cs="Times New Roman"/>
                      <w:snapToGrid w:val="0"/>
                      <w:color w:val="auto"/>
                      <w:kern w:val="0"/>
                      <w:sz w:val="21"/>
                      <w:szCs w:val="21"/>
                      <w:lang w:val="en-US" w:eastAsia="zh-CN"/>
                    </w:rPr>
                    <w:t>3</w:t>
                  </w:r>
                  <w:r>
                    <w:rPr>
                      <w:rFonts w:hint="eastAsia" w:ascii="Times New Roman" w:hAnsi="Times New Roman" w:eastAsia="宋体" w:cs="Times New Roman"/>
                      <w:snapToGrid w:val="0"/>
                      <w:color w:val="auto"/>
                      <w:kern w:val="0"/>
                      <w:sz w:val="21"/>
                      <w:szCs w:val="21"/>
                      <w:lang w:val="en-US" w:eastAsia="zh-CN"/>
                    </w:rPr>
                    <w:t>类</w:t>
                  </w:r>
                  <w:r>
                    <w:rPr>
                      <w:rFonts w:hint="default" w:ascii="Times New Roman" w:hAnsi="Times New Roman" w:eastAsia="宋体" w:cs="Times New Roman"/>
                      <w:snapToGrid w:val="0"/>
                      <w:color w:val="auto"/>
                      <w:kern w:val="0"/>
                      <w:sz w:val="21"/>
                      <w:szCs w:val="21"/>
                      <w:lang w:val="en-US" w:eastAsia="zh-CN"/>
                    </w:rPr>
                    <w:t>标准</w:t>
                  </w: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4、固体废物</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（1）建设项目副产物产生情况分析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480"/>
              <w:jc w:val="both"/>
              <w:textAlignment w:val="auto"/>
              <w:rPr>
                <w:rFonts w:hint="eastAsia" w:cs="Times New Roman"/>
                <w:b w:val="0"/>
                <w:bCs w:val="0"/>
                <w:sz w:val="24"/>
                <w:szCs w:val="24"/>
                <w:lang w:val="en-US" w:eastAsia="zh-CN"/>
              </w:rPr>
            </w:pPr>
            <w:r>
              <w:rPr>
                <w:rFonts w:hint="eastAsia" w:cs="Times New Roman"/>
                <w:b w:val="0"/>
                <w:bCs w:val="0"/>
                <w:sz w:val="24"/>
                <w:szCs w:val="24"/>
                <w:lang w:val="en-US" w:eastAsia="zh-CN"/>
              </w:rPr>
              <w:t>本项目固体废物主要有废边角料、一般废包装材料、除尘灰、废布袋、含油废液、废包装桶、废润滑油、废润滑油桶、废活性炭、清洗废液、废劳保用品及生活垃圾等。</w:t>
            </w:r>
          </w:p>
          <w:p>
            <w:pPr>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firstLine="480" w:firstLineChars="200"/>
              <w:jc w:val="both"/>
              <w:textAlignment w:val="auto"/>
              <w:rPr>
                <w:rFonts w:hint="eastAsia" w:cs="Times New Roman"/>
                <w:b w:val="0"/>
                <w:bCs w:val="0"/>
                <w:sz w:val="24"/>
                <w:szCs w:val="24"/>
                <w:lang w:val="en-US" w:eastAsia="zh-CN"/>
              </w:rPr>
            </w:pPr>
            <w:r>
              <w:rPr>
                <w:rFonts w:hint="eastAsia" w:cs="Times New Roman"/>
                <w:b w:val="0"/>
                <w:bCs w:val="0"/>
                <w:sz w:val="24"/>
                <w:szCs w:val="24"/>
                <w:lang w:val="en-US" w:eastAsia="zh-CN"/>
              </w:rPr>
              <w:t>废边角料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eastAsia" w:cs="Times New Roman"/>
                <w:b w:val="0"/>
                <w:bCs w:val="0"/>
                <w:color w:val="auto"/>
                <w:sz w:val="24"/>
                <w:szCs w:val="24"/>
                <w:lang w:val="en-US" w:eastAsia="zh-CN"/>
              </w:rPr>
            </w:pPr>
            <w:r>
              <w:rPr>
                <w:rFonts w:hint="eastAsia" w:cs="Times New Roman"/>
                <w:b w:val="0"/>
                <w:bCs w:val="0"/>
                <w:sz w:val="24"/>
                <w:szCs w:val="24"/>
                <w:lang w:val="en-US" w:eastAsia="zh-CN"/>
              </w:rPr>
              <w:t>本项目包装生产过程中废边角料产生量约为原料的1%左右，则产生纸板边角料约1.5t/a</w:t>
            </w:r>
            <w:r>
              <w:rPr>
                <w:rFonts w:hint="eastAsia" w:cs="Times New Roman"/>
                <w:b w:val="0"/>
                <w:bCs w:val="0"/>
                <w:color w:val="auto"/>
                <w:sz w:val="24"/>
                <w:szCs w:val="24"/>
                <w:lang w:val="en-US" w:eastAsia="zh-CN"/>
              </w:rPr>
              <w:t>，纸片边角料0.05</w:t>
            </w:r>
            <w:r>
              <w:rPr>
                <w:rFonts w:hint="eastAsia" w:cs="Times New Roman"/>
                <w:b w:val="0"/>
                <w:bCs w:val="0"/>
                <w:sz w:val="24"/>
                <w:szCs w:val="24"/>
                <w:lang w:val="en-US" w:eastAsia="zh-CN"/>
              </w:rPr>
              <w:t>t/a，</w:t>
            </w:r>
            <w:r>
              <w:rPr>
                <w:rFonts w:hint="eastAsia" w:cs="Times New Roman"/>
                <w:b w:val="0"/>
                <w:bCs w:val="0"/>
                <w:color w:val="auto"/>
                <w:sz w:val="24"/>
                <w:szCs w:val="24"/>
                <w:lang w:val="en-US" w:eastAsia="zh-CN"/>
              </w:rPr>
              <w:t>木板边角料约4t/a，中空板边角料（塑料）约7.5t/a，EPE珍珠棉边角料（塑料）0.4t/a，收集后暂存于一般固废仓库，定期外售处置。</w:t>
            </w:r>
          </w:p>
          <w:p>
            <w:pPr>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一般废包装材料</w:t>
            </w:r>
          </w:p>
          <w:p>
            <w:pPr>
              <w:pStyle w:val="4"/>
              <w:pageBreakBefore w:val="0"/>
              <w:widowControl w:val="0"/>
              <w:kinsoku/>
              <w:wordWrap/>
              <w:overflowPunct/>
              <w:topLinePunct w:val="0"/>
              <w:autoSpaceDE/>
              <w:autoSpaceDN/>
              <w:bidi w:val="0"/>
              <w:spacing w:before="0" w:after="0" w:line="500" w:lineRule="exact"/>
              <w:ind w:firstLine="480" w:firstLineChars="200"/>
              <w:textAlignment w:val="auto"/>
              <w:rPr>
                <w:rFonts w:hint="default"/>
                <w:lang w:val="en-US" w:eastAsia="zh-CN"/>
              </w:rPr>
            </w:pPr>
            <w:r>
              <w:rPr>
                <w:rFonts w:hint="eastAsia"/>
                <w:b w:val="0"/>
                <w:bCs w:val="0"/>
                <w:sz w:val="24"/>
                <w:szCs w:val="24"/>
                <w:lang w:val="en-US" w:eastAsia="zh-CN"/>
              </w:rPr>
              <w:t>本项目原辅材料纸板、木板、热熔胶、珍珠棉等泡沫材料、中空板材料等的包装材料年使用量约1.5t，即产生一般废包装材料1.5t/a，建设单位收集后暂存于一般固废仓库，由原料厂商回收利用。</w:t>
            </w:r>
          </w:p>
          <w:p>
            <w:pPr>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cs="Times New Roman"/>
                <w:b w:val="0"/>
                <w:bCs w:val="0"/>
                <w:sz w:val="24"/>
                <w:szCs w:val="24"/>
                <w:lang w:val="en-US" w:eastAsia="zh-CN"/>
              </w:rPr>
              <w:t>除尘灰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cs="Times New Roman"/>
                <w:b w:val="0"/>
                <w:bCs w:val="0"/>
                <w:sz w:val="24"/>
                <w:szCs w:val="24"/>
                <w:lang w:val="en-US" w:eastAsia="zh-CN"/>
              </w:rPr>
              <w:t>本项目布袋除尘产生除尘灰0.5198t/a，主要为木粉尘颗粒，收集后外售处理。</w:t>
            </w:r>
          </w:p>
          <w:p>
            <w:pPr>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cs="Times New Roman"/>
                <w:b w:val="0"/>
                <w:bCs w:val="0"/>
                <w:sz w:val="24"/>
                <w:szCs w:val="24"/>
                <w:lang w:val="en-US" w:eastAsia="zh-CN"/>
              </w:rPr>
              <w:t>废布袋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cs="Times New Roman"/>
                <w:b w:val="0"/>
                <w:bCs w:val="0"/>
                <w:sz w:val="24"/>
                <w:szCs w:val="24"/>
                <w:lang w:val="en-US" w:eastAsia="zh-CN"/>
              </w:rPr>
              <w:t>本项目布袋除尘</w:t>
            </w:r>
            <w:r>
              <w:rPr>
                <w:rFonts w:hint="eastAsia" w:cs="Times New Roman"/>
                <w:b w:val="0"/>
                <w:bCs w:val="0"/>
                <w:sz w:val="24"/>
                <w:szCs w:val="24"/>
                <w:lang w:val="en-US" w:eastAsia="zh-CN"/>
              </w:rPr>
              <w:t>器维护保养会产生废布袋，约0.05t/a，收集后外售处理。</w:t>
            </w:r>
          </w:p>
          <w:p>
            <w:pPr>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cs="Times New Roman"/>
                <w:b w:val="0"/>
                <w:bCs w:val="0"/>
                <w:sz w:val="24"/>
                <w:szCs w:val="24"/>
                <w:lang w:val="en-US" w:eastAsia="zh-CN"/>
              </w:rPr>
              <w:t>含油废液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ascii="Times New Roman" w:hAnsi="Times New Roman"/>
                <w:color w:val="000000"/>
              </w:rPr>
            </w:pPr>
            <w:r>
              <w:rPr>
                <w:rFonts w:hint="eastAsia" w:ascii="宋体" w:hAnsi="宋体" w:eastAsia="宋体" w:cs="宋体"/>
                <w:b w:val="0"/>
                <w:bCs w:val="0"/>
                <w:color w:val="auto"/>
                <w:sz w:val="24"/>
                <w:szCs w:val="24"/>
              </w:rPr>
              <w:t>本项目空压机工作过程中，空压机油被压缩空气挟带，与空气冷凝水一道由排泄阀排出，形成空压机含油废</w:t>
            </w:r>
            <w:r>
              <w:rPr>
                <w:rFonts w:hint="eastAsia" w:ascii="宋体" w:hAnsi="宋体" w:eastAsia="宋体" w:cs="宋体"/>
                <w:b w:val="0"/>
                <w:bCs w:val="0"/>
                <w:color w:val="auto"/>
                <w:sz w:val="24"/>
                <w:szCs w:val="24"/>
                <w:lang w:val="en-US" w:eastAsia="zh-CN"/>
              </w:rPr>
              <w:t>液</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项目</w:t>
            </w:r>
            <w:r>
              <w:rPr>
                <w:rFonts w:hint="default" w:ascii="Times New Roman" w:hAnsi="Times New Roman" w:eastAsia="宋体" w:cs="Times New Roman"/>
                <w:color w:val="auto"/>
                <w:sz w:val="24"/>
                <w:szCs w:val="24"/>
              </w:rPr>
              <w:t>正常使用</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台</w:t>
            </w:r>
            <w:r>
              <w:rPr>
                <w:rFonts w:hint="eastAsia"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/min空压机，本项目年供气量</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万Nm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，平均湿度30g/m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空气，压缩后除湿约15%左右，以冷凝水量4.5g/m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空气计，</w:t>
            </w:r>
            <w:r>
              <w:rPr>
                <w:rFonts w:hint="eastAsia" w:ascii="Times New Roman" w:hAnsi="Times New Roman" w:eastAsia="宋体" w:cs="Times New Roman"/>
                <w:color w:val="auto"/>
                <w:sz w:val="24"/>
                <w:szCs w:val="24"/>
                <w:lang w:val="en-US" w:eastAsia="zh-CN"/>
              </w:rPr>
              <w:t>则含油废液</w:t>
            </w:r>
            <w:r>
              <w:rPr>
                <w:rFonts w:hint="default" w:ascii="Times New Roman" w:hAnsi="Times New Roman" w:eastAsia="宋体" w:cs="Times New Roman"/>
                <w:color w:val="auto"/>
                <w:sz w:val="24"/>
                <w:szCs w:val="24"/>
              </w:rPr>
              <w:t>产生量约</w:t>
            </w:r>
            <w:r>
              <w:rPr>
                <w:rFonts w:hint="eastAsia" w:cs="Times New Roman"/>
                <w:color w:val="auto"/>
                <w:sz w:val="24"/>
                <w:szCs w:val="24"/>
                <w:lang w:val="en-US" w:eastAsia="zh-CN"/>
              </w:rPr>
              <w:t>0.27</w:t>
            </w:r>
            <w:r>
              <w:rPr>
                <w:rFonts w:hint="default" w:ascii="Times New Roman" w:hAnsi="Times New Roman" w:eastAsia="宋体" w:cs="Times New Roman"/>
                <w:color w:val="auto"/>
                <w:sz w:val="24"/>
                <w:szCs w:val="24"/>
              </w:rPr>
              <w:t>t/a</w:t>
            </w:r>
            <w:r>
              <w:rPr>
                <w:rFonts w:ascii="Times New Roman" w:hAnsi="Times New Roman"/>
                <w:color w:val="000000"/>
              </w:rPr>
              <w:t>，</w:t>
            </w:r>
            <w:r>
              <w:rPr>
                <w:rFonts w:ascii="Times New Roman" w:hAnsi="Times New Roman"/>
                <w:color w:val="000000"/>
                <w:sz w:val="24"/>
                <w:szCs w:val="24"/>
              </w:rPr>
              <w:t>委托有资质单位处置</w:t>
            </w:r>
            <w:r>
              <w:rPr>
                <w:rFonts w:ascii="Times New Roman" w:hAnsi="Times New Roman"/>
                <w:color w:val="000000"/>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firstLine="480" w:firstLineChars="200"/>
              <w:jc w:val="both"/>
              <w:textAlignment w:val="auto"/>
              <w:rPr>
                <w:rFonts w:hint="default"/>
                <w:b w:val="0"/>
                <w:bCs w:val="0"/>
                <w:sz w:val="24"/>
                <w:szCs w:val="24"/>
                <w:lang w:val="en-US" w:eastAsia="zh-CN"/>
              </w:rPr>
            </w:pPr>
            <w:r>
              <w:rPr>
                <w:rFonts w:hint="eastAsia" w:cs="Times New Roman"/>
                <w:b w:val="0"/>
                <w:bCs w:val="0"/>
                <w:sz w:val="24"/>
                <w:szCs w:val="24"/>
                <w:lang w:val="en-US" w:eastAsia="zh-CN"/>
              </w:rPr>
              <w:t>废包装桶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default"/>
                <w:lang w:val="en-US" w:eastAsia="zh-CN"/>
              </w:rPr>
            </w:pPr>
            <w:r>
              <w:rPr>
                <w:rFonts w:hint="eastAsia" w:cs="Times New Roman"/>
                <w:b w:val="0"/>
                <w:bCs w:val="0"/>
                <w:sz w:val="24"/>
                <w:szCs w:val="24"/>
                <w:lang w:val="en-US" w:eastAsia="zh-CN"/>
              </w:rPr>
              <w:t>本项目水性油墨的包装规格为25kg/桶，包装桶重量约0.5kg/个，年使用水性油墨2t，产生废包装桶80个，其重量为0.04t/a；本项目白乳胶包装规格为20kg/桶，包装桶重量约0.5kg/个，年使用白乳胶0.3吨，产生废包装桶约15个，其重量约0.0475t/a，则废包装桶产生量共0.0875t/a，废物类别为HW49，应委托有资质的单位处置。</w:t>
            </w:r>
          </w:p>
          <w:p>
            <w:pPr>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 xml:space="preserve">废润滑油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项目年使用润滑油0.002t，其中约10%的润滑油粘在劳保用品上，因此废润滑油量为0.0018t/a，废物类别为HW08，应委托有资质单位处理。</w:t>
            </w:r>
          </w:p>
          <w:p>
            <w:pPr>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废润滑油桶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本项目每年使用润滑油0.002t，润滑油桶规格为2kg/桶，则产生1个废润滑油桶，包装桶重量约0.5kg/个，则废润滑油桶产生量0.0005t/a，收集后暂存于危废贮存点，定期委托资质单位处理。</w:t>
            </w:r>
          </w:p>
          <w:p>
            <w:pPr>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废活性炭</w:t>
            </w:r>
          </w:p>
          <w:p>
            <w:pPr>
              <w:pStyle w:val="36"/>
              <w:spacing w:line="500" w:lineRule="exact"/>
              <w:ind w:firstLine="480"/>
              <w:rPr>
                <w:rFonts w:hint="eastAsia" w:ascii="Times New Roman" w:hAnsi="Times New Roman"/>
                <w:color w:val="auto"/>
                <w:spacing w:val="0"/>
                <w:highlight w:val="none"/>
              </w:rPr>
            </w:pPr>
            <w:r>
              <w:rPr>
                <w:rFonts w:hint="default" w:ascii="Times New Roman" w:hAnsi="Times New Roman" w:cs="Times New Roman"/>
                <w:color w:val="auto"/>
                <w:spacing w:val="0"/>
                <w:sz w:val="24"/>
                <w:szCs w:val="24"/>
                <w:highlight w:val="none"/>
              </w:rPr>
              <w:t>根据《省生态环境厅关</w:t>
            </w:r>
            <w:r>
              <w:rPr>
                <w:rFonts w:hint="eastAsia" w:ascii="Times New Roman" w:hAnsi="Times New Roman"/>
                <w:color w:val="auto"/>
                <w:spacing w:val="0"/>
                <w:highlight w:val="none"/>
              </w:rPr>
              <w:t>于将排污单位活性炭使用更换纳入排污许可管理的通知》 （苏环办〔2021〕218号）文中《涉活性炭吸附排污单位的排污许可管理要求》参照以下公式计算活性炭更换周期：</w:t>
            </w:r>
          </w:p>
          <w:p>
            <w:pPr>
              <w:pStyle w:val="36"/>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ascii="Times New Roman" w:hAnsi="Times New Roman"/>
                <w:color w:val="auto"/>
                <w:spacing w:val="0"/>
                <w:highlight w:val="none"/>
              </w:rPr>
            </w:pPr>
            <w:r>
              <w:rPr>
                <w:rFonts w:hint="eastAsia" w:ascii="Times New Roman" w:hAnsi="Times New Roman"/>
                <w:color w:val="auto"/>
                <w:spacing w:val="0"/>
                <w:position w:val="-10"/>
                <w:highlight w:val="none"/>
              </w:rPr>
              <w:object>
                <v:shape id="_x0000_i1036" o:spt="75" type="#_x0000_t75" style="height:18pt;width:129pt;" o:ole="t" filled="f" o:preferrelative="t" stroked="f" coordsize="21600,21600">
                  <v:path/>
                  <v:fill on="f" focussize="0,0"/>
                  <v:stroke on="f"/>
                  <v:imagedata r:id="rId38" o:title=""/>
                  <o:lock v:ext="edit" aspectratio="t"/>
                  <w10:wrap type="none"/>
                  <w10:anchorlock/>
                </v:shape>
                <o:OLEObject Type="Embed" ProgID="Equation.KSEE3" ShapeID="_x0000_i1036" DrawAspect="Content" ObjectID="_1468075736" r:id="rId37">
                  <o:LockedField>false</o:LockedField>
                </o:OLEObject>
              </w:object>
            </w:r>
          </w:p>
          <w:p>
            <w:pPr>
              <w:pStyle w:val="36"/>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Times New Roman" w:hAnsi="Times New Roman"/>
                <w:color w:val="auto"/>
                <w:spacing w:val="0"/>
                <w:highlight w:val="none"/>
              </w:rPr>
            </w:pPr>
            <w:r>
              <w:rPr>
                <w:rFonts w:hint="eastAsia" w:ascii="Times New Roman" w:hAnsi="Times New Roman"/>
                <w:color w:val="auto"/>
                <w:spacing w:val="0"/>
                <w:highlight w:val="none"/>
              </w:rPr>
              <w:t>式中：T—更换周期，天；</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Times New Roman" w:hAnsi="Times New Roman"/>
                <w:color w:val="auto"/>
                <w:spacing w:val="0"/>
                <w:sz w:val="24"/>
                <w:szCs w:val="24"/>
                <w:highlight w:val="none"/>
              </w:rPr>
            </w:pPr>
            <w:r>
              <w:rPr>
                <w:rFonts w:hint="eastAsia" w:ascii="Times New Roman" w:hAnsi="Times New Roman"/>
                <w:color w:val="auto"/>
                <w:spacing w:val="0"/>
                <w:sz w:val="24"/>
                <w:szCs w:val="24"/>
                <w:highlight w:val="none"/>
              </w:rPr>
              <w:t xml:space="preserve">          m—活性炭用量，kg；</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1200" w:firstLineChars="500"/>
              <w:jc w:val="left"/>
              <w:textAlignment w:val="auto"/>
              <w:rPr>
                <w:rFonts w:hint="default" w:ascii="Times New Roman" w:hAnsi="Times New Roman" w:cs="Times New Roman"/>
                <w:sz w:val="24"/>
                <w:szCs w:val="24"/>
                <w:lang w:val="en-US"/>
              </w:rPr>
            </w:pPr>
            <w:r>
              <w:rPr>
                <w:rFonts w:hint="eastAsia" w:ascii="Times New Roman" w:hAnsi="Times New Roman"/>
                <w:color w:val="auto"/>
                <w:spacing w:val="0"/>
                <w:sz w:val="24"/>
                <w:szCs w:val="24"/>
                <w:highlight w:val="none"/>
              </w:rPr>
              <w:t>s—动态吸附量，%（一般取10%）</w:t>
            </w:r>
            <w:r>
              <w:rPr>
                <w:rFonts w:hint="eastAsia"/>
                <w:color w:val="auto"/>
                <w:spacing w:val="0"/>
                <w:sz w:val="24"/>
                <w:szCs w:val="24"/>
                <w:highlight w:val="none"/>
                <w:lang w:eastAsia="zh-CN"/>
              </w:rPr>
              <w:t>。</w:t>
            </w:r>
          </w:p>
          <w:p>
            <w:pPr>
              <w:pStyle w:val="36"/>
              <w:keepNext w:val="0"/>
              <w:keepLines w:val="0"/>
              <w:pageBreakBefore w:val="0"/>
              <w:kinsoku/>
              <w:wordWrap/>
              <w:overflowPunct/>
              <w:topLinePunct w:val="0"/>
              <w:autoSpaceDE/>
              <w:autoSpaceDN/>
              <w:bidi w:val="0"/>
              <w:adjustRightInd/>
              <w:snapToGrid/>
              <w:spacing w:line="500" w:lineRule="exact"/>
              <w:ind w:firstLine="1200" w:firstLineChars="500"/>
              <w:textAlignment w:val="auto"/>
              <w:rPr>
                <w:rFonts w:hint="eastAsia" w:ascii="Times New Roman" w:hAnsi="Times New Roman"/>
                <w:color w:val="auto"/>
                <w:spacing w:val="0"/>
                <w:highlight w:val="none"/>
              </w:rPr>
            </w:pPr>
            <w:r>
              <w:rPr>
                <w:rFonts w:hint="eastAsia" w:ascii="Times New Roman" w:hAnsi="Times New Roman"/>
                <w:color w:val="auto"/>
                <w:spacing w:val="0"/>
                <w:highlight w:val="none"/>
              </w:rPr>
              <w:t>c—活性炭削减的VOCs浓度，mg/m</w:t>
            </w:r>
            <w:r>
              <w:rPr>
                <w:rFonts w:hint="eastAsia" w:ascii="Times New Roman" w:hAnsi="Times New Roman"/>
                <w:color w:val="auto"/>
                <w:spacing w:val="0"/>
                <w:highlight w:val="none"/>
                <w:vertAlign w:val="superscript"/>
              </w:rPr>
              <w:t>3</w:t>
            </w:r>
            <w:r>
              <w:rPr>
                <w:rFonts w:hint="eastAsia" w:ascii="Times New Roman" w:hAnsi="Times New Roman"/>
                <w:color w:val="auto"/>
                <w:spacing w:val="0"/>
                <w:highlight w:val="none"/>
              </w:rPr>
              <w:t>；</w:t>
            </w:r>
          </w:p>
          <w:p>
            <w:pPr>
              <w:pStyle w:val="36"/>
              <w:keepNext w:val="0"/>
              <w:keepLines w:val="0"/>
              <w:pageBreakBefore w:val="0"/>
              <w:kinsoku/>
              <w:wordWrap/>
              <w:overflowPunct/>
              <w:topLinePunct w:val="0"/>
              <w:autoSpaceDE/>
              <w:autoSpaceDN/>
              <w:bidi w:val="0"/>
              <w:adjustRightInd/>
              <w:snapToGrid/>
              <w:spacing w:line="500" w:lineRule="exact"/>
              <w:ind w:firstLine="1200" w:firstLineChars="500"/>
              <w:textAlignment w:val="auto"/>
              <w:rPr>
                <w:rFonts w:hint="eastAsia" w:ascii="Times New Roman" w:hAnsi="Times New Roman"/>
                <w:color w:val="auto"/>
                <w:spacing w:val="0"/>
                <w:highlight w:val="none"/>
              </w:rPr>
            </w:pPr>
            <w:r>
              <w:rPr>
                <w:rFonts w:hint="eastAsia" w:ascii="Times New Roman" w:hAnsi="Times New Roman"/>
                <w:color w:val="auto"/>
                <w:spacing w:val="0"/>
                <w:highlight w:val="none"/>
              </w:rPr>
              <w:t>Q—风量，单位m</w:t>
            </w:r>
            <w:r>
              <w:rPr>
                <w:rFonts w:hint="eastAsia" w:ascii="Times New Roman" w:hAnsi="Times New Roman"/>
                <w:color w:val="auto"/>
                <w:spacing w:val="0"/>
                <w:highlight w:val="none"/>
                <w:vertAlign w:val="superscript"/>
              </w:rPr>
              <w:t>3</w:t>
            </w:r>
            <w:r>
              <w:rPr>
                <w:rFonts w:hint="eastAsia" w:ascii="Times New Roman" w:hAnsi="Times New Roman"/>
                <w:color w:val="auto"/>
                <w:spacing w:val="0"/>
                <w:highlight w:val="none"/>
              </w:rPr>
              <w:t>/h；</w:t>
            </w:r>
          </w:p>
          <w:p>
            <w:pPr>
              <w:pStyle w:val="36"/>
              <w:keepNext w:val="0"/>
              <w:keepLines w:val="0"/>
              <w:pageBreakBefore w:val="0"/>
              <w:kinsoku/>
              <w:wordWrap/>
              <w:overflowPunct/>
              <w:topLinePunct w:val="0"/>
              <w:autoSpaceDE/>
              <w:autoSpaceDN/>
              <w:bidi w:val="0"/>
              <w:adjustRightInd/>
              <w:snapToGrid/>
              <w:spacing w:line="500" w:lineRule="exact"/>
              <w:ind w:firstLine="1200" w:firstLineChars="500"/>
              <w:textAlignment w:val="auto"/>
              <w:rPr>
                <w:rFonts w:ascii="Times New Roman" w:hAnsi="Times New Roman"/>
                <w:color w:val="auto"/>
                <w:spacing w:val="0"/>
                <w:highlight w:val="none"/>
              </w:rPr>
            </w:pPr>
            <w:r>
              <w:rPr>
                <w:rFonts w:hint="eastAsia" w:ascii="Times New Roman" w:hAnsi="Times New Roman"/>
                <w:color w:val="auto"/>
                <w:spacing w:val="0"/>
                <w:highlight w:val="none"/>
              </w:rPr>
              <w:t>t—运行时间，单位h/d。</w:t>
            </w:r>
          </w:p>
          <w:p>
            <w:pPr>
              <w:adjustRightInd w:val="0"/>
              <w:snapToGrid w:val="0"/>
              <w:spacing w:line="500" w:lineRule="exact"/>
              <w:ind w:left="420" w:leftChars="200"/>
              <w:jc w:val="center"/>
              <w:rPr>
                <w:rFonts w:hint="eastAsia" w:ascii="Times New Roman" w:hAnsi="Times New Roman"/>
                <w:b/>
                <w:bCs/>
                <w:color w:val="auto"/>
                <w:spacing w:val="0"/>
                <w:kern w:val="0"/>
                <w:sz w:val="24"/>
                <w:highlight w:val="none"/>
              </w:rPr>
            </w:pPr>
            <w:r>
              <w:rPr>
                <w:rFonts w:hint="eastAsia"/>
                <w:b/>
                <w:bCs/>
                <w:color w:val="auto"/>
                <w:spacing w:val="0"/>
                <w:kern w:val="0"/>
                <w:sz w:val="24"/>
                <w:highlight w:val="none"/>
              </w:rPr>
              <w:t>表4-</w:t>
            </w:r>
            <w:r>
              <w:rPr>
                <w:rFonts w:hint="eastAsia"/>
                <w:b/>
                <w:bCs/>
                <w:color w:val="auto"/>
                <w:spacing w:val="0"/>
                <w:kern w:val="0"/>
                <w:sz w:val="24"/>
                <w:highlight w:val="none"/>
                <w:lang w:val="en-US" w:eastAsia="zh-CN"/>
              </w:rPr>
              <w:t>22</w:t>
            </w:r>
            <w:r>
              <w:rPr>
                <w:rFonts w:hint="eastAsia"/>
                <w:b/>
                <w:bCs/>
                <w:color w:val="auto"/>
                <w:spacing w:val="0"/>
                <w:kern w:val="0"/>
                <w:sz w:val="24"/>
                <w:highlight w:val="none"/>
              </w:rPr>
              <w:t xml:space="preserve"> </w:t>
            </w:r>
            <w:r>
              <w:rPr>
                <w:rFonts w:hint="eastAsia"/>
                <w:b/>
                <w:bCs/>
                <w:color w:val="auto"/>
                <w:spacing w:val="0"/>
                <w:kern w:val="0"/>
                <w:sz w:val="24"/>
                <w:highlight w:val="none"/>
                <w:lang w:val="en-US" w:eastAsia="zh-CN"/>
              </w:rPr>
              <w:t xml:space="preserve"> </w:t>
            </w:r>
            <w:r>
              <w:rPr>
                <w:rFonts w:hint="eastAsia" w:ascii="Times New Roman" w:hAnsi="Times New Roman"/>
                <w:b/>
                <w:bCs/>
                <w:color w:val="auto"/>
                <w:spacing w:val="0"/>
                <w:kern w:val="0"/>
                <w:sz w:val="24"/>
                <w:highlight w:val="none"/>
              </w:rPr>
              <w:t>活性炭更换周期计算表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92"/>
              <w:gridCol w:w="1246"/>
              <w:gridCol w:w="1079"/>
              <w:gridCol w:w="2328"/>
              <w:gridCol w:w="1111"/>
              <w:gridCol w:w="1064"/>
              <w:gridCol w:w="10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8" w:type="pct"/>
                  <w:tcBorders>
                    <w:tl2br w:val="nil"/>
                    <w:tr2bl w:val="nil"/>
                  </w:tcBorders>
                  <w:noWrap w:val="0"/>
                  <w:vAlign w:val="center"/>
                </w:tcPr>
                <w:p>
                  <w:pPr>
                    <w:pStyle w:val="44"/>
                    <w:snapToGrid w:val="0"/>
                    <w:jc w:val="center"/>
                    <w:textAlignment w:val="auto"/>
                    <w:rPr>
                      <w:rFonts w:hint="default" w:ascii="Times New Roman" w:hAnsi="Times New Roman" w:eastAsia="宋体" w:cs="Times New Roman"/>
                      <w:b/>
                      <w:bCs/>
                      <w:snapToGrid w:val="0"/>
                      <w:color w:val="000000"/>
                      <w:kern w:val="0"/>
                      <w:sz w:val="21"/>
                      <w:szCs w:val="21"/>
                    </w:rPr>
                  </w:pPr>
                  <w:r>
                    <w:rPr>
                      <w:rFonts w:hint="default" w:ascii="Times New Roman" w:hAnsi="Times New Roman" w:eastAsia="宋体" w:cs="Times New Roman"/>
                      <w:b/>
                      <w:bCs/>
                      <w:snapToGrid w:val="0"/>
                      <w:color w:val="000000"/>
                      <w:kern w:val="0"/>
                      <w:sz w:val="21"/>
                      <w:szCs w:val="21"/>
                    </w:rPr>
                    <w:t>序号</w:t>
                  </w:r>
                </w:p>
              </w:tc>
              <w:tc>
                <w:tcPr>
                  <w:tcW w:w="732" w:type="pct"/>
                  <w:tcBorders>
                    <w:tl2br w:val="nil"/>
                    <w:tr2bl w:val="nil"/>
                  </w:tcBorders>
                  <w:noWrap w:val="0"/>
                  <w:vAlign w:val="center"/>
                </w:tcPr>
                <w:p>
                  <w:pPr>
                    <w:pStyle w:val="44"/>
                    <w:snapToGrid w:val="0"/>
                    <w:jc w:val="center"/>
                    <w:textAlignment w:val="auto"/>
                    <w:rPr>
                      <w:rFonts w:hint="default" w:ascii="Times New Roman" w:hAnsi="Times New Roman" w:eastAsia="宋体" w:cs="Times New Roman"/>
                      <w:b/>
                      <w:bCs/>
                      <w:snapToGrid w:val="0"/>
                      <w:color w:val="000000"/>
                      <w:kern w:val="0"/>
                      <w:sz w:val="21"/>
                      <w:szCs w:val="21"/>
                    </w:rPr>
                  </w:pPr>
                  <w:r>
                    <w:rPr>
                      <w:rFonts w:hint="default" w:ascii="Times New Roman" w:hAnsi="Times New Roman" w:eastAsia="宋体" w:cs="Times New Roman"/>
                      <w:b/>
                      <w:bCs/>
                      <w:snapToGrid w:val="0"/>
                      <w:color w:val="000000"/>
                      <w:kern w:val="0"/>
                      <w:sz w:val="21"/>
                      <w:szCs w:val="21"/>
                    </w:rPr>
                    <w:t>活性炭用量</w:t>
                  </w:r>
                </w:p>
                <w:p>
                  <w:pPr>
                    <w:pStyle w:val="44"/>
                    <w:snapToGrid w:val="0"/>
                    <w:jc w:val="center"/>
                    <w:textAlignment w:val="auto"/>
                    <w:rPr>
                      <w:rFonts w:hint="default" w:ascii="Times New Roman" w:hAnsi="Times New Roman" w:eastAsia="宋体" w:cs="Times New Roman"/>
                      <w:b/>
                      <w:bCs/>
                      <w:snapToGrid w:val="0"/>
                      <w:color w:val="000000"/>
                      <w:kern w:val="0"/>
                      <w:sz w:val="21"/>
                      <w:szCs w:val="21"/>
                    </w:rPr>
                  </w:pPr>
                  <w:r>
                    <w:rPr>
                      <w:rFonts w:hint="default" w:ascii="Times New Roman" w:hAnsi="Times New Roman" w:eastAsia="宋体" w:cs="Times New Roman"/>
                      <w:b/>
                      <w:bCs/>
                      <w:snapToGrid w:val="0"/>
                      <w:color w:val="000000"/>
                      <w:kern w:val="0"/>
                      <w:sz w:val="21"/>
                      <w:szCs w:val="21"/>
                    </w:rPr>
                    <w:t>（kg）</w:t>
                  </w:r>
                </w:p>
              </w:tc>
              <w:tc>
                <w:tcPr>
                  <w:tcW w:w="634" w:type="pct"/>
                  <w:tcBorders>
                    <w:tl2br w:val="nil"/>
                    <w:tr2bl w:val="nil"/>
                  </w:tcBorders>
                  <w:noWrap w:val="0"/>
                  <w:vAlign w:val="center"/>
                </w:tcPr>
                <w:p>
                  <w:pPr>
                    <w:pStyle w:val="44"/>
                    <w:snapToGrid w:val="0"/>
                    <w:jc w:val="center"/>
                    <w:textAlignment w:val="auto"/>
                    <w:rPr>
                      <w:rFonts w:hint="default" w:ascii="Times New Roman" w:hAnsi="Times New Roman" w:eastAsia="宋体" w:cs="Times New Roman"/>
                      <w:b/>
                      <w:bCs/>
                      <w:snapToGrid w:val="0"/>
                      <w:color w:val="000000"/>
                      <w:kern w:val="0"/>
                      <w:sz w:val="21"/>
                      <w:szCs w:val="21"/>
                    </w:rPr>
                  </w:pPr>
                  <w:r>
                    <w:rPr>
                      <w:rFonts w:hint="default" w:ascii="Times New Roman" w:hAnsi="Times New Roman" w:eastAsia="宋体" w:cs="Times New Roman"/>
                      <w:b/>
                      <w:bCs/>
                      <w:snapToGrid w:val="0"/>
                      <w:color w:val="000000"/>
                      <w:kern w:val="0"/>
                      <w:sz w:val="21"/>
                      <w:szCs w:val="21"/>
                    </w:rPr>
                    <w:t>动态吸附量</w:t>
                  </w:r>
                </w:p>
                <w:p>
                  <w:pPr>
                    <w:pStyle w:val="44"/>
                    <w:snapToGrid w:val="0"/>
                    <w:jc w:val="center"/>
                    <w:textAlignment w:val="auto"/>
                    <w:rPr>
                      <w:rFonts w:hint="default" w:ascii="Times New Roman" w:hAnsi="Times New Roman" w:eastAsia="宋体" w:cs="Times New Roman"/>
                      <w:b/>
                      <w:bCs/>
                      <w:snapToGrid w:val="0"/>
                      <w:color w:val="000000"/>
                      <w:kern w:val="0"/>
                      <w:sz w:val="21"/>
                      <w:szCs w:val="21"/>
                    </w:rPr>
                  </w:pPr>
                  <w:r>
                    <w:rPr>
                      <w:rFonts w:hint="default" w:ascii="Times New Roman" w:hAnsi="Times New Roman" w:eastAsia="宋体" w:cs="Times New Roman"/>
                      <w:b/>
                      <w:bCs/>
                      <w:snapToGrid w:val="0"/>
                      <w:color w:val="000000"/>
                      <w:kern w:val="0"/>
                      <w:sz w:val="21"/>
                      <w:szCs w:val="21"/>
                    </w:rPr>
                    <w:t>（%）</w:t>
                  </w:r>
                </w:p>
              </w:tc>
              <w:tc>
                <w:tcPr>
                  <w:tcW w:w="1368" w:type="pct"/>
                  <w:tcBorders>
                    <w:tl2br w:val="nil"/>
                    <w:tr2bl w:val="nil"/>
                  </w:tcBorders>
                  <w:noWrap w:val="0"/>
                  <w:vAlign w:val="center"/>
                </w:tcPr>
                <w:p>
                  <w:pPr>
                    <w:pStyle w:val="44"/>
                    <w:snapToGrid w:val="0"/>
                    <w:jc w:val="center"/>
                    <w:textAlignment w:val="auto"/>
                    <w:rPr>
                      <w:rFonts w:hint="default" w:ascii="Times New Roman" w:hAnsi="Times New Roman" w:eastAsia="宋体" w:cs="Times New Roman"/>
                      <w:b/>
                      <w:bCs/>
                      <w:snapToGrid w:val="0"/>
                      <w:color w:val="000000"/>
                      <w:kern w:val="0"/>
                      <w:sz w:val="21"/>
                      <w:szCs w:val="21"/>
                    </w:rPr>
                  </w:pPr>
                  <w:r>
                    <w:rPr>
                      <w:rFonts w:hint="default" w:ascii="Times New Roman" w:hAnsi="Times New Roman" w:eastAsia="宋体" w:cs="Times New Roman"/>
                      <w:b/>
                      <w:bCs/>
                      <w:snapToGrid w:val="0"/>
                      <w:color w:val="000000"/>
                      <w:kern w:val="0"/>
                      <w:sz w:val="21"/>
                      <w:szCs w:val="21"/>
                    </w:rPr>
                    <w:t>活性炭削减VOCs浓度(mg/m</w:t>
                  </w:r>
                  <w:r>
                    <w:rPr>
                      <w:rFonts w:hint="default" w:ascii="Times New Roman" w:hAnsi="Times New Roman" w:eastAsia="宋体" w:cs="Times New Roman"/>
                      <w:b/>
                      <w:bCs/>
                      <w:snapToGrid w:val="0"/>
                      <w:color w:val="000000"/>
                      <w:kern w:val="0"/>
                      <w:sz w:val="21"/>
                      <w:szCs w:val="21"/>
                      <w:vertAlign w:val="superscript"/>
                    </w:rPr>
                    <w:t>3</w:t>
                  </w:r>
                  <w:r>
                    <w:rPr>
                      <w:rFonts w:hint="default" w:ascii="Times New Roman" w:hAnsi="Times New Roman" w:eastAsia="宋体" w:cs="Times New Roman"/>
                      <w:b/>
                      <w:bCs/>
                      <w:snapToGrid w:val="0"/>
                      <w:color w:val="000000"/>
                      <w:kern w:val="0"/>
                      <w:sz w:val="21"/>
                      <w:szCs w:val="21"/>
                    </w:rPr>
                    <w:t>)</w:t>
                  </w:r>
                </w:p>
              </w:tc>
              <w:tc>
                <w:tcPr>
                  <w:tcW w:w="653" w:type="pct"/>
                  <w:tcBorders>
                    <w:tl2br w:val="nil"/>
                    <w:tr2bl w:val="nil"/>
                  </w:tcBorders>
                  <w:noWrap w:val="0"/>
                  <w:vAlign w:val="center"/>
                </w:tcPr>
                <w:p>
                  <w:pPr>
                    <w:pStyle w:val="44"/>
                    <w:snapToGrid w:val="0"/>
                    <w:jc w:val="center"/>
                    <w:textAlignment w:val="auto"/>
                    <w:rPr>
                      <w:rFonts w:hint="default" w:ascii="Times New Roman" w:hAnsi="Times New Roman" w:eastAsia="宋体" w:cs="Times New Roman"/>
                      <w:b/>
                      <w:bCs/>
                      <w:snapToGrid w:val="0"/>
                      <w:color w:val="000000"/>
                      <w:kern w:val="0"/>
                      <w:sz w:val="21"/>
                      <w:szCs w:val="21"/>
                    </w:rPr>
                  </w:pPr>
                  <w:r>
                    <w:rPr>
                      <w:rFonts w:hint="default" w:ascii="Times New Roman" w:hAnsi="Times New Roman" w:eastAsia="宋体" w:cs="Times New Roman"/>
                      <w:b/>
                      <w:bCs/>
                      <w:snapToGrid w:val="0"/>
                      <w:color w:val="000000"/>
                      <w:kern w:val="0"/>
                      <w:sz w:val="21"/>
                      <w:szCs w:val="21"/>
                    </w:rPr>
                    <w:t>风量</w:t>
                  </w:r>
                </w:p>
                <w:p>
                  <w:pPr>
                    <w:pStyle w:val="44"/>
                    <w:snapToGrid w:val="0"/>
                    <w:jc w:val="center"/>
                    <w:textAlignment w:val="auto"/>
                    <w:rPr>
                      <w:rFonts w:hint="default" w:ascii="Times New Roman" w:hAnsi="Times New Roman" w:eastAsia="宋体" w:cs="Times New Roman"/>
                      <w:b/>
                      <w:bCs/>
                      <w:snapToGrid w:val="0"/>
                      <w:color w:val="000000"/>
                      <w:kern w:val="0"/>
                      <w:sz w:val="21"/>
                      <w:szCs w:val="21"/>
                    </w:rPr>
                  </w:pPr>
                  <w:r>
                    <w:rPr>
                      <w:rFonts w:hint="default" w:ascii="Times New Roman" w:hAnsi="Times New Roman" w:eastAsia="宋体" w:cs="Times New Roman"/>
                      <w:b/>
                      <w:bCs/>
                      <w:snapToGrid w:val="0"/>
                      <w:color w:val="000000"/>
                      <w:kern w:val="0"/>
                      <w:sz w:val="21"/>
                      <w:szCs w:val="21"/>
                    </w:rPr>
                    <w:t>（m</w:t>
                  </w:r>
                  <w:r>
                    <w:rPr>
                      <w:rFonts w:hint="default" w:ascii="Times New Roman" w:hAnsi="Times New Roman" w:eastAsia="宋体" w:cs="Times New Roman"/>
                      <w:b/>
                      <w:bCs/>
                      <w:snapToGrid w:val="0"/>
                      <w:color w:val="000000"/>
                      <w:kern w:val="0"/>
                      <w:sz w:val="21"/>
                      <w:szCs w:val="21"/>
                      <w:vertAlign w:val="superscript"/>
                    </w:rPr>
                    <w:t>3</w:t>
                  </w:r>
                  <w:r>
                    <w:rPr>
                      <w:rFonts w:hint="default" w:ascii="Times New Roman" w:hAnsi="Times New Roman" w:eastAsia="宋体" w:cs="Times New Roman"/>
                      <w:b/>
                      <w:bCs/>
                      <w:snapToGrid w:val="0"/>
                      <w:color w:val="000000"/>
                      <w:kern w:val="0"/>
                      <w:sz w:val="21"/>
                      <w:szCs w:val="21"/>
                    </w:rPr>
                    <w:t>/h）</w:t>
                  </w:r>
                </w:p>
              </w:tc>
              <w:tc>
                <w:tcPr>
                  <w:tcW w:w="625" w:type="pct"/>
                  <w:tcBorders>
                    <w:tl2br w:val="nil"/>
                    <w:tr2bl w:val="nil"/>
                  </w:tcBorders>
                  <w:noWrap w:val="0"/>
                  <w:vAlign w:val="center"/>
                </w:tcPr>
                <w:p>
                  <w:pPr>
                    <w:jc w:val="center"/>
                    <w:rPr>
                      <w:rFonts w:hint="default" w:ascii="Times New Roman" w:hAnsi="Times New Roman" w:cs="Times New Roman"/>
                      <w:b/>
                      <w:bCs/>
                      <w:snapToGrid w:val="0"/>
                      <w:color w:val="000000"/>
                      <w:kern w:val="0"/>
                      <w:sz w:val="21"/>
                      <w:szCs w:val="21"/>
                    </w:rPr>
                  </w:pPr>
                  <w:r>
                    <w:rPr>
                      <w:rFonts w:hint="default" w:ascii="Times New Roman" w:hAnsi="Times New Roman" w:cs="Times New Roman"/>
                      <w:b/>
                      <w:bCs/>
                      <w:snapToGrid w:val="0"/>
                      <w:color w:val="000000"/>
                      <w:kern w:val="0"/>
                      <w:sz w:val="21"/>
                      <w:szCs w:val="21"/>
                    </w:rPr>
                    <w:t>运行时间（h/d）</w:t>
                  </w:r>
                </w:p>
              </w:tc>
              <w:tc>
                <w:tcPr>
                  <w:tcW w:w="637" w:type="pct"/>
                  <w:tcBorders>
                    <w:tl2br w:val="nil"/>
                    <w:tr2bl w:val="nil"/>
                  </w:tcBorders>
                  <w:noWrap w:val="0"/>
                  <w:vAlign w:val="center"/>
                </w:tcPr>
                <w:p>
                  <w:pPr>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更换周期（天）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8" w:type="pct"/>
                  <w:tcBorders>
                    <w:tl2br w:val="nil"/>
                    <w:tr2bl w:val="nil"/>
                  </w:tcBorders>
                  <w:noWrap w:val="0"/>
                  <w:vAlign w:val="center"/>
                </w:tcPr>
                <w:p>
                  <w:pPr>
                    <w:snapToGrid w:val="0"/>
                    <w:jc w:val="center"/>
                    <w:rPr>
                      <w:rFonts w:hint="default" w:ascii="Times New Roman" w:hAnsi="Times New Roman" w:eastAsia="宋体" w:cs="Times New Roman"/>
                      <w:snapToGrid w:val="0"/>
                      <w:color w:val="000000"/>
                      <w:kern w:val="0"/>
                      <w:sz w:val="21"/>
                      <w:szCs w:val="21"/>
                      <w:lang w:val="en-US" w:eastAsia="zh-CN"/>
                    </w:rPr>
                  </w:pPr>
                  <w:r>
                    <w:rPr>
                      <w:rFonts w:hint="eastAsia" w:cs="Times New Roman"/>
                      <w:snapToGrid w:val="0"/>
                      <w:color w:val="000000"/>
                      <w:kern w:val="0"/>
                      <w:sz w:val="21"/>
                      <w:szCs w:val="21"/>
                      <w:lang w:val="en-US" w:eastAsia="zh-CN"/>
                    </w:rPr>
                    <w:t>1</w:t>
                  </w:r>
                </w:p>
              </w:tc>
              <w:tc>
                <w:tcPr>
                  <w:tcW w:w="732" w:type="pct"/>
                  <w:tcBorders>
                    <w:tl2br w:val="nil"/>
                    <w:tr2bl w:val="nil"/>
                  </w:tcBorders>
                  <w:noWrap w:val="0"/>
                  <w:vAlign w:val="center"/>
                </w:tcPr>
                <w:p>
                  <w:pPr>
                    <w:jc w:val="center"/>
                    <w:rPr>
                      <w:rFonts w:hint="default" w:ascii="Times New Roman" w:hAnsi="Times New Roman" w:eastAsia="宋体" w:cs="Times New Roman"/>
                      <w:bCs/>
                      <w:color w:val="000000"/>
                      <w:sz w:val="21"/>
                      <w:szCs w:val="21"/>
                      <w:lang w:val="en-US" w:eastAsia="zh-CN"/>
                    </w:rPr>
                  </w:pPr>
                  <w:r>
                    <w:rPr>
                      <w:rFonts w:hint="eastAsia" w:cs="Times New Roman"/>
                      <w:bCs/>
                      <w:color w:val="000000"/>
                      <w:sz w:val="21"/>
                      <w:szCs w:val="21"/>
                      <w:lang w:val="en-US" w:eastAsia="zh-CN"/>
                    </w:rPr>
                    <w:t>960</w:t>
                  </w:r>
                </w:p>
              </w:tc>
              <w:tc>
                <w:tcPr>
                  <w:tcW w:w="634" w:type="pct"/>
                  <w:tcBorders>
                    <w:tl2br w:val="nil"/>
                    <w:tr2bl w:val="nil"/>
                  </w:tcBorders>
                  <w:noWrap w:val="0"/>
                  <w:vAlign w:val="center"/>
                </w:tcPr>
                <w:p>
                  <w:pPr>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10</w:t>
                  </w:r>
                </w:p>
              </w:tc>
              <w:tc>
                <w:tcPr>
                  <w:tcW w:w="1368" w:type="pct"/>
                  <w:tcBorders>
                    <w:tl2br w:val="nil"/>
                    <w:tr2bl w:val="nil"/>
                  </w:tcBorders>
                  <w:noWrap w:val="0"/>
                  <w:vAlign w:val="center"/>
                </w:tcPr>
                <w:p>
                  <w:pPr>
                    <w:jc w:val="center"/>
                    <w:rPr>
                      <w:rFonts w:hint="default" w:ascii="Times New Roman" w:hAnsi="Times New Roman" w:eastAsia="宋体" w:cs="Times New Roman"/>
                      <w:bCs/>
                      <w:color w:val="C00000"/>
                      <w:sz w:val="21"/>
                      <w:szCs w:val="21"/>
                      <w:lang w:val="en-US" w:eastAsia="zh-CN"/>
                    </w:rPr>
                  </w:pPr>
                  <w:r>
                    <w:rPr>
                      <w:rFonts w:hint="eastAsia" w:cs="Times New Roman"/>
                      <w:bCs/>
                      <w:color w:val="auto"/>
                      <w:sz w:val="21"/>
                      <w:szCs w:val="21"/>
                      <w:lang w:val="en-US" w:eastAsia="zh-CN"/>
                    </w:rPr>
                    <w:t>1.863</w:t>
                  </w:r>
                </w:p>
              </w:tc>
              <w:tc>
                <w:tcPr>
                  <w:tcW w:w="653" w:type="pct"/>
                  <w:tcBorders>
                    <w:tl2br w:val="nil"/>
                    <w:tr2bl w:val="nil"/>
                  </w:tcBorders>
                  <w:noWrap w:val="0"/>
                  <w:vAlign w:val="center"/>
                </w:tcPr>
                <w:p>
                  <w:pPr>
                    <w:jc w:val="center"/>
                    <w:rPr>
                      <w:rFonts w:hint="default" w:ascii="Times New Roman" w:hAnsi="Times New Roman" w:eastAsia="宋体" w:cs="Times New Roman"/>
                      <w:bCs/>
                      <w:color w:val="000000"/>
                      <w:sz w:val="21"/>
                      <w:szCs w:val="21"/>
                      <w:lang w:val="en-US" w:eastAsia="zh-CN"/>
                    </w:rPr>
                  </w:pPr>
                  <w:r>
                    <w:rPr>
                      <w:rFonts w:hint="eastAsia" w:cs="Times New Roman"/>
                      <w:bCs/>
                      <w:color w:val="000000"/>
                      <w:sz w:val="21"/>
                      <w:szCs w:val="21"/>
                      <w:lang w:val="en-US" w:eastAsia="zh-CN"/>
                    </w:rPr>
                    <w:t>7000</w:t>
                  </w:r>
                </w:p>
              </w:tc>
              <w:tc>
                <w:tcPr>
                  <w:tcW w:w="625" w:type="pct"/>
                  <w:tcBorders>
                    <w:tl2br w:val="nil"/>
                    <w:tr2bl w:val="nil"/>
                  </w:tcBorders>
                  <w:noWrap w:val="0"/>
                  <w:vAlign w:val="center"/>
                </w:tcPr>
                <w:p>
                  <w:pPr>
                    <w:jc w:val="center"/>
                    <w:rPr>
                      <w:rFonts w:hint="default" w:ascii="Times New Roman" w:hAnsi="Times New Roman" w:eastAsia="宋体" w:cs="Times New Roman"/>
                      <w:bCs/>
                      <w:color w:val="000000"/>
                      <w:sz w:val="21"/>
                      <w:szCs w:val="21"/>
                      <w:lang w:val="en-US" w:eastAsia="zh-CN"/>
                    </w:rPr>
                  </w:pPr>
                  <w:r>
                    <w:rPr>
                      <w:rFonts w:hint="eastAsia" w:cs="Times New Roman"/>
                      <w:bCs/>
                      <w:color w:val="000000"/>
                      <w:sz w:val="21"/>
                      <w:szCs w:val="21"/>
                      <w:lang w:val="en-US" w:eastAsia="zh-CN"/>
                    </w:rPr>
                    <w:t>3</w:t>
                  </w:r>
                </w:p>
              </w:tc>
              <w:tc>
                <w:tcPr>
                  <w:tcW w:w="637" w:type="pct"/>
                  <w:tcBorders>
                    <w:tl2br w:val="nil"/>
                    <w:tr2bl w:val="nil"/>
                  </w:tcBorders>
                  <w:noWrap w:val="0"/>
                  <w:vAlign w:val="center"/>
                </w:tcPr>
                <w:p>
                  <w:pPr>
                    <w:jc w:val="center"/>
                    <w:rPr>
                      <w:rFonts w:hint="default" w:ascii="Times New Roman" w:hAnsi="Times New Roman" w:eastAsia="宋体" w:cs="Times New Roman"/>
                      <w:bCs/>
                      <w:color w:val="000000"/>
                      <w:sz w:val="21"/>
                      <w:szCs w:val="21"/>
                      <w:lang w:val="en-US" w:eastAsia="zh-CN"/>
                    </w:rPr>
                  </w:pPr>
                  <w:r>
                    <w:rPr>
                      <w:rFonts w:hint="eastAsia" w:cs="Times New Roman"/>
                      <w:bCs/>
                      <w:color w:val="000000"/>
                      <w:sz w:val="21"/>
                      <w:szCs w:val="21"/>
                      <w:lang w:val="en-US" w:eastAsia="zh-CN"/>
                    </w:rPr>
                    <w:t>2433</w:t>
                  </w:r>
                </w:p>
              </w:tc>
            </w:tr>
          </w:tbl>
          <w:p>
            <w:pPr>
              <w:keepNext w:val="0"/>
              <w:keepLines w:val="0"/>
              <w:suppressLineNumbers w:val="0"/>
              <w:spacing w:before="0" w:beforeAutospacing="0" w:after="0" w:afterAutospacing="0" w:line="460" w:lineRule="exact"/>
              <w:ind w:left="0" w:right="0" w:firstLine="480" w:firstLineChars="200"/>
              <w:rPr>
                <w:rFonts w:hint="eastAsia" w:ascii="Times New Roman" w:hAnsi="Times New Roman" w:eastAsia="宋体" w:cs="Times New Roman"/>
                <w:color w:val="auto"/>
                <w:spacing w:val="0"/>
                <w:kern w:val="2"/>
                <w:sz w:val="24"/>
                <w:szCs w:val="24"/>
                <w:lang w:val="en-US" w:eastAsia="zh-CN" w:bidi="ar-SA"/>
              </w:rPr>
            </w:pPr>
            <w:r>
              <w:rPr>
                <w:rFonts w:hint="eastAsia" w:ascii="Times New Roman" w:hAnsi="Times New Roman" w:eastAsia="宋体" w:cs="Times New Roman"/>
                <w:color w:val="auto"/>
                <w:spacing w:val="0"/>
                <w:kern w:val="2"/>
                <w:sz w:val="24"/>
                <w:szCs w:val="24"/>
                <w:lang w:val="en-US" w:eastAsia="zh-CN" w:bidi="ar-SA"/>
              </w:rPr>
              <w:t>根据《省生态环境厅关于将排污单位活性炭使用更换纳入排污许可管理的通知》（苏环办〔2021〕218号）文中“六、活性炭填充量：活性炭更换周期一般不应超过累计运行500小时或3个月”，本项目活性炭更换周期为</w:t>
            </w:r>
            <w:r>
              <w:rPr>
                <w:rFonts w:hint="eastAsia" w:cs="Times New Roman"/>
                <w:color w:val="auto"/>
                <w:spacing w:val="0"/>
                <w:kern w:val="2"/>
                <w:sz w:val="24"/>
                <w:szCs w:val="24"/>
                <w:lang w:val="en-US" w:eastAsia="zh-CN" w:bidi="ar-SA"/>
              </w:rPr>
              <w:t>一年4</w:t>
            </w:r>
            <w:r>
              <w:rPr>
                <w:rFonts w:hint="eastAsia" w:ascii="Times New Roman" w:hAnsi="Times New Roman" w:eastAsia="宋体" w:cs="Times New Roman"/>
                <w:color w:val="auto"/>
                <w:spacing w:val="0"/>
                <w:kern w:val="2"/>
                <w:sz w:val="24"/>
                <w:szCs w:val="24"/>
                <w:lang w:val="en-US" w:eastAsia="zh-CN" w:bidi="ar-SA"/>
              </w:rPr>
              <w:t>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default"/>
                <w:lang w:val="en-US" w:eastAsia="zh-CN"/>
              </w:rPr>
            </w:pPr>
            <w:r>
              <w:rPr>
                <w:rFonts w:hint="default" w:ascii="Times New Roman" w:hAnsi="Times New Roman" w:cs="Times New Roman"/>
                <w:color w:val="auto"/>
                <w:sz w:val="24"/>
                <w:szCs w:val="24"/>
                <w:highlight w:val="none"/>
              </w:rPr>
              <w:t>本项目使用</w:t>
            </w:r>
            <w:r>
              <w:rPr>
                <w:rFonts w:hint="default" w:ascii="Times New Roman" w:hAnsi="Times New Roman" w:cs="Times New Roman"/>
                <w:color w:val="auto"/>
                <w:sz w:val="24"/>
                <w:szCs w:val="24"/>
              </w:rPr>
              <w:t>活性炭吸附处理有机废气，吸附的有机废气约</w:t>
            </w:r>
            <w:r>
              <w:rPr>
                <w:rFonts w:hint="eastAsia" w:cs="Times New Roman"/>
                <w:color w:val="auto"/>
                <w:sz w:val="24"/>
                <w:szCs w:val="24"/>
                <w:lang w:val="en-US" w:eastAsia="zh-CN"/>
              </w:rPr>
              <w:t>0.009792</w:t>
            </w:r>
            <w:r>
              <w:rPr>
                <w:rFonts w:hint="default" w:ascii="Times New Roman" w:hAnsi="Times New Roman" w:cs="Times New Roman"/>
                <w:color w:val="auto"/>
                <w:sz w:val="24"/>
                <w:szCs w:val="24"/>
              </w:rPr>
              <w:t>t/a，根据废气处理效果可行性分析可知，</w:t>
            </w:r>
            <w:r>
              <w:rPr>
                <w:rFonts w:hint="eastAsia" w:ascii="Times New Roman" w:hAnsi="Times New Roman" w:cs="Times New Roman"/>
                <w:color w:val="auto"/>
                <w:sz w:val="24"/>
                <w:szCs w:val="24"/>
                <w:lang w:val="en-US" w:eastAsia="zh-CN"/>
              </w:rPr>
              <w:t>印刷、粘箱</w:t>
            </w:r>
            <w:r>
              <w:rPr>
                <w:rFonts w:hint="eastAsia" w:cs="Times New Roman"/>
                <w:color w:val="auto"/>
                <w:sz w:val="24"/>
                <w:szCs w:val="24"/>
                <w:lang w:val="en-US" w:eastAsia="zh-CN"/>
              </w:rPr>
              <w:t>、成型</w:t>
            </w:r>
            <w:r>
              <w:rPr>
                <w:rFonts w:hint="eastAsia" w:ascii="Times New Roman" w:hAnsi="Times New Roman" w:cs="Times New Roman"/>
                <w:color w:val="auto"/>
                <w:sz w:val="24"/>
                <w:szCs w:val="24"/>
                <w:lang w:val="en-US" w:eastAsia="zh-CN"/>
              </w:rPr>
              <w:t>工序</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套二级活性炭</w:t>
            </w:r>
            <w:r>
              <w:rPr>
                <w:rFonts w:hint="default" w:ascii="Times New Roman" w:hAnsi="Times New Roman" w:cs="Times New Roman"/>
                <w:color w:val="auto"/>
                <w:sz w:val="24"/>
                <w:szCs w:val="24"/>
                <w:highlight w:val="none"/>
              </w:rPr>
              <w:t>吸附箱装填量</w:t>
            </w:r>
            <w:r>
              <w:rPr>
                <w:rFonts w:hint="eastAsia" w:cs="Times New Roman"/>
                <w:color w:val="auto"/>
                <w:sz w:val="24"/>
                <w:szCs w:val="24"/>
                <w:highlight w:val="none"/>
                <w:lang w:val="en-US" w:eastAsia="zh-CN"/>
              </w:rPr>
              <w:t>约</w:t>
            </w:r>
            <w:r>
              <w:rPr>
                <w:rFonts w:hint="default" w:ascii="Times New Roman" w:hAnsi="Times New Roman" w:cs="Times New Roman"/>
                <w:color w:val="auto"/>
                <w:sz w:val="24"/>
                <w:szCs w:val="24"/>
                <w:highlight w:val="none"/>
              </w:rPr>
              <w:t>为</w:t>
            </w:r>
            <w:r>
              <w:rPr>
                <w:rFonts w:hint="eastAsia" w:cs="Times New Roman"/>
                <w:color w:val="auto"/>
                <w:sz w:val="24"/>
                <w:szCs w:val="24"/>
                <w:highlight w:val="none"/>
                <w:lang w:val="en-US" w:eastAsia="zh-CN"/>
              </w:rPr>
              <w:t>0.96吨</w:t>
            </w:r>
            <w:r>
              <w:rPr>
                <w:rFonts w:hint="default" w:ascii="Times New Roman" w:hAnsi="Times New Roman" w:cs="Times New Roman"/>
                <w:color w:val="auto"/>
                <w:sz w:val="24"/>
                <w:szCs w:val="24"/>
                <w:highlight w:val="none"/>
              </w:rPr>
              <w:t>/次，</w:t>
            </w:r>
            <w:r>
              <w:rPr>
                <w:rFonts w:hint="eastAsia" w:cs="Times New Roman"/>
                <w:color w:val="auto"/>
                <w:sz w:val="24"/>
                <w:szCs w:val="24"/>
                <w:highlight w:val="none"/>
                <w:lang w:val="en-US" w:eastAsia="zh-CN"/>
              </w:rPr>
              <w:t>一年更换4次</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则废活性炭产生量</w:t>
            </w:r>
            <w:r>
              <w:rPr>
                <w:rFonts w:hint="eastAsia" w:cs="Times New Roman"/>
                <w:color w:val="auto"/>
                <w:sz w:val="24"/>
                <w:szCs w:val="24"/>
                <w:highlight w:val="none"/>
                <w:lang w:val="en-US" w:eastAsia="zh-CN"/>
              </w:rPr>
              <w:t>约</w:t>
            </w:r>
            <w:r>
              <w:rPr>
                <w:rFonts w:hint="default" w:ascii="Times New Roman" w:hAnsi="Times New Roman" w:cs="Times New Roman"/>
                <w:color w:val="auto"/>
                <w:sz w:val="24"/>
                <w:szCs w:val="24"/>
                <w:highlight w:val="none"/>
              </w:rPr>
              <w:t>为</w:t>
            </w:r>
            <w:r>
              <w:rPr>
                <w:rFonts w:hint="eastAsia" w:cs="Times New Roman"/>
                <w:color w:val="auto"/>
                <w:sz w:val="24"/>
                <w:szCs w:val="24"/>
                <w:highlight w:val="none"/>
                <w:lang w:val="en-US" w:eastAsia="zh-CN"/>
              </w:rPr>
              <w:t>3.8498</w:t>
            </w:r>
            <w:r>
              <w:rPr>
                <w:rFonts w:hint="default" w:ascii="Times New Roman" w:hAnsi="Times New Roman" w:cs="Times New Roman"/>
                <w:color w:val="auto"/>
                <w:sz w:val="24"/>
                <w:szCs w:val="24"/>
                <w:highlight w:val="none"/>
              </w:rPr>
              <w:t>t/a</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废物类</w:t>
            </w:r>
            <w:r>
              <w:rPr>
                <w:rFonts w:hint="default" w:ascii="Times New Roman" w:hAnsi="Times New Roman" w:cs="Times New Roman"/>
                <w:color w:val="auto"/>
                <w:sz w:val="24"/>
                <w:szCs w:val="24"/>
              </w:rPr>
              <w:t>别为HW49，应委托有资质单位处置。</w:t>
            </w:r>
          </w:p>
          <w:p>
            <w:pPr>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firstLine="480" w:firstLineChars="200"/>
              <w:jc w:val="both"/>
              <w:textAlignment w:val="auto"/>
              <w:rPr>
                <w:rFonts w:hint="eastAsia" w:cs="Times New Roman"/>
                <w:b w:val="0"/>
                <w:bCs w:val="0"/>
                <w:sz w:val="24"/>
                <w:szCs w:val="24"/>
                <w:lang w:val="en-US" w:eastAsia="zh-CN"/>
              </w:rPr>
            </w:pPr>
            <w:r>
              <w:rPr>
                <w:rFonts w:hint="eastAsia" w:cs="Times New Roman"/>
                <w:b w:val="0"/>
                <w:bCs w:val="0"/>
                <w:sz w:val="24"/>
                <w:szCs w:val="24"/>
                <w:lang w:val="en-US" w:eastAsia="zh-CN"/>
              </w:rPr>
              <w:t>清洗废液</w:t>
            </w:r>
          </w:p>
          <w:p>
            <w:pPr>
              <w:keepNext w:val="0"/>
              <w:keepLines w:val="0"/>
              <w:pageBreakBefore w:val="0"/>
              <w:widowControl w:val="0"/>
              <w:suppressLineNumbers w:val="0"/>
              <w:kinsoku/>
              <w:wordWrap/>
              <w:overflowPunct/>
              <w:topLinePunct w:val="0"/>
              <w:autoSpaceDE/>
              <w:autoSpaceDN/>
              <w:bidi w:val="0"/>
              <w:spacing w:line="500" w:lineRule="exact"/>
              <w:ind w:firstLine="480" w:firstLineChars="200"/>
              <w:jc w:val="both"/>
              <w:textAlignment w:val="auto"/>
              <w:rPr>
                <w:rFonts w:hint="eastAsia" w:ascii="Times New Roman" w:hAnsi="Times New Roman" w:eastAsia="宋体" w:cs="Times New Roman"/>
                <w:b w:val="0"/>
                <w:bCs w:val="0"/>
                <w:sz w:val="24"/>
                <w:szCs w:val="24"/>
                <w:lang w:val="en-US" w:eastAsia="zh-CN"/>
              </w:rPr>
            </w:pPr>
            <w:r>
              <w:rPr>
                <w:rFonts w:hint="eastAsia" w:cs="Times New Roman"/>
                <w:b w:val="0"/>
                <w:bCs w:val="0"/>
                <w:sz w:val="24"/>
                <w:szCs w:val="24"/>
                <w:lang w:val="en-US" w:eastAsia="zh-CN"/>
              </w:rPr>
              <w:t>本项目一台印刷设备清洗用水约20kg/d，则需清洗水5t/a，</w:t>
            </w:r>
            <w:r>
              <w:rPr>
                <w:rFonts w:hint="eastAsia" w:ascii="Times New Roman" w:hAnsi="Times New Roman" w:eastAsia="宋体" w:cs="Times New Roman"/>
                <w:b w:val="0"/>
                <w:bCs w:val="0"/>
                <w:sz w:val="24"/>
                <w:szCs w:val="24"/>
              </w:rPr>
              <w:t>清洗废</w:t>
            </w:r>
            <w:r>
              <w:rPr>
                <w:rFonts w:hint="eastAsia" w:cs="Times New Roman"/>
                <w:b w:val="0"/>
                <w:bCs w:val="0"/>
                <w:sz w:val="24"/>
                <w:szCs w:val="24"/>
                <w:lang w:val="en-US" w:eastAsia="zh-CN"/>
              </w:rPr>
              <w:t>液作为危废桶装密闭暂存于危废贮存点，废物类别为HW49，委托有资质单位处理。</w:t>
            </w:r>
          </w:p>
          <w:p>
            <w:pPr>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firstLine="480" w:firstLineChars="200"/>
              <w:jc w:val="both"/>
              <w:textAlignment w:val="auto"/>
              <w:rPr>
                <w:rFonts w:hint="default"/>
                <w:lang w:val="en-US" w:eastAsia="zh-CN"/>
              </w:rPr>
            </w:pPr>
            <w:r>
              <w:rPr>
                <w:rFonts w:hint="eastAsia" w:cs="Times New Roman"/>
                <w:b w:val="0"/>
                <w:bCs w:val="0"/>
                <w:sz w:val="24"/>
                <w:szCs w:val="24"/>
                <w:lang w:val="en-US" w:eastAsia="zh-CN"/>
              </w:rPr>
              <w:t>废劳保用品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default"/>
                <w:lang w:val="en-US" w:eastAsia="zh-CN"/>
              </w:rPr>
            </w:pPr>
            <w:r>
              <w:rPr>
                <w:rFonts w:hint="eastAsia" w:cs="Times New Roman"/>
                <w:b w:val="0"/>
                <w:bCs w:val="0"/>
                <w:sz w:val="24"/>
                <w:szCs w:val="24"/>
                <w:lang w:val="en-US" w:eastAsia="zh-CN"/>
              </w:rPr>
              <w:t>本项目在生产过程中产生废劳保用品，约为0.2t/a，对照</w:t>
            </w:r>
            <w:r>
              <w:rPr>
                <w:rFonts w:hint="eastAsia" w:ascii="宋体" w:hAnsi="宋体" w:eastAsia="宋体" w:cs="宋体"/>
                <w:b w:val="0"/>
                <w:bCs w:val="0"/>
                <w:sz w:val="24"/>
                <w:szCs w:val="24"/>
                <w:lang w:val="en-US" w:eastAsia="zh-CN"/>
              </w:rPr>
              <w:t>《国家危险废物名录》（</w:t>
            </w:r>
            <w:r>
              <w:rPr>
                <w:rFonts w:hint="default" w:ascii="Times New Roman" w:hAnsi="Times New Roman" w:eastAsia="宋体" w:cs="Times New Roman"/>
                <w:b w:val="0"/>
                <w:bCs w:val="0"/>
                <w:sz w:val="24"/>
                <w:szCs w:val="24"/>
                <w:lang w:val="en-US" w:eastAsia="zh-CN"/>
              </w:rPr>
              <w:t>202</w:t>
            </w:r>
            <w:r>
              <w:rPr>
                <w:rFonts w:hint="eastAsia" w:cs="Times New Roman"/>
                <w:b w:val="0"/>
                <w:bCs w:val="0"/>
                <w:sz w:val="24"/>
                <w:szCs w:val="24"/>
                <w:lang w:val="en-US" w:eastAsia="zh-CN"/>
              </w:rPr>
              <w:t>1</w:t>
            </w:r>
            <w:r>
              <w:rPr>
                <w:rFonts w:hint="eastAsia" w:ascii="Times New Roman" w:hAnsi="Times New Roman" w:eastAsia="宋体" w:cs="Times New Roman"/>
                <w:b w:val="0"/>
                <w:bCs w:val="0"/>
                <w:sz w:val="24"/>
                <w:szCs w:val="24"/>
                <w:lang w:val="en-US" w:eastAsia="zh-CN"/>
              </w:rPr>
              <w:t>年版</w:t>
            </w:r>
            <w:r>
              <w:rPr>
                <w:rFonts w:hint="eastAsia" w:ascii="宋体" w:hAnsi="宋体" w:eastAsia="宋体" w:cs="宋体"/>
                <w:b w:val="0"/>
                <w:bCs w:val="0"/>
                <w:sz w:val="24"/>
                <w:szCs w:val="24"/>
                <w:lang w:val="en-US" w:eastAsia="zh-CN"/>
              </w:rPr>
              <w:t>），废劳保用品属于危险废物，废物类别为</w:t>
            </w:r>
            <w:r>
              <w:rPr>
                <w:rFonts w:hint="default" w:ascii="Times New Roman" w:hAnsi="Times New Roman" w:eastAsia="宋体" w:cs="Times New Roman"/>
                <w:b w:val="0"/>
                <w:bCs w:val="0"/>
                <w:sz w:val="24"/>
                <w:szCs w:val="24"/>
                <w:lang w:val="en-US" w:eastAsia="zh-CN"/>
              </w:rPr>
              <w:t>HW49</w:t>
            </w:r>
            <w:r>
              <w:rPr>
                <w:rFonts w:hint="eastAsia"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委托有资质单位处置。</w:t>
            </w:r>
          </w:p>
          <w:p>
            <w:pPr>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firstLine="480" w:firstLineChars="200"/>
              <w:jc w:val="both"/>
              <w:textAlignment w:val="auto"/>
              <w:rPr>
                <w:rFonts w:hint="default"/>
                <w:lang w:val="en-US" w:eastAsia="zh-CN"/>
              </w:rPr>
            </w:pPr>
            <w:r>
              <w:rPr>
                <w:rFonts w:hint="eastAsia" w:eastAsia="宋体"/>
                <w:b w:val="0"/>
                <w:bCs w:val="0"/>
                <w:sz w:val="24"/>
                <w:szCs w:val="24"/>
                <w:lang w:val="en-US" w:eastAsia="zh-CN"/>
              </w:rPr>
              <w:t>生活</w:t>
            </w:r>
            <w:r>
              <w:rPr>
                <w:rFonts w:hint="eastAsia" w:cs="Times New Roman"/>
                <w:b w:val="0"/>
                <w:bCs w:val="0"/>
                <w:sz w:val="24"/>
                <w:szCs w:val="24"/>
                <w:lang w:val="en-US" w:eastAsia="zh-CN"/>
              </w:rPr>
              <w:t>垃圾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both"/>
              <w:textAlignment w:val="auto"/>
              <w:rPr>
                <w:rFonts w:hint="default"/>
                <w:lang w:val="en-US" w:eastAsia="zh-CN"/>
              </w:rPr>
            </w:pPr>
            <w:r>
              <w:rPr>
                <w:rFonts w:hint="eastAsia" w:cs="Times New Roman"/>
                <w:b w:val="0"/>
                <w:bCs w:val="0"/>
                <w:sz w:val="24"/>
                <w:szCs w:val="24"/>
                <w:lang w:val="en-US" w:eastAsia="zh-CN"/>
              </w:rPr>
              <w:t>生活垃圾产生量以每人0.5kg/d估算，本项目职工25人，全年工作250天，共产生生活垃圾3.125t/a，委托环卫部门清运。</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（2）固体废物属性判定</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根据《中华人民共和国固体废物污染环境防治法》、《固体废物鉴别标准 通则》（GB34330-2017）的规定，判断建设项目生产过程中产生的副产物是否属于固体废物，判定依据及结果见</w:t>
            </w:r>
            <w:r>
              <w:rPr>
                <w:rFonts w:hint="default" w:ascii="Times New Roman" w:hAnsi="Times New Roman" w:cs="Times New Roman"/>
                <w:color w:val="auto"/>
                <w:sz w:val="24"/>
                <w:szCs w:val="24"/>
                <w:lang w:val="en-US" w:eastAsia="zh-CN"/>
              </w:rPr>
              <w:t>下</w:t>
            </w:r>
            <w:r>
              <w:rPr>
                <w:rFonts w:hint="default" w:ascii="Times New Roman" w:hAnsi="Times New Roman" w:cs="Times New Roman"/>
                <w:color w:val="auto"/>
                <w:sz w:val="24"/>
                <w:szCs w:val="24"/>
              </w:rPr>
              <w:t>表。</w:t>
            </w:r>
          </w:p>
          <w:p>
            <w:pPr>
              <w:adjustRightInd w:val="0"/>
              <w:snapToGrid w:val="0"/>
              <w:spacing w:line="500" w:lineRule="exact"/>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highlight w:val="none"/>
              </w:rPr>
              <w:t>表4-</w:t>
            </w:r>
            <w:r>
              <w:rPr>
                <w:rFonts w:hint="eastAsia" w:cs="Times New Roman"/>
                <w:b/>
                <w:bCs/>
                <w:color w:val="auto"/>
                <w:sz w:val="24"/>
                <w:szCs w:val="24"/>
                <w:highlight w:val="none"/>
                <w:lang w:val="en-US" w:eastAsia="zh-CN"/>
              </w:rPr>
              <w:t>23</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rPr>
              <w:t xml:space="preserve"> 本项目固</w:t>
            </w:r>
            <w:r>
              <w:rPr>
                <w:rFonts w:hint="eastAsia" w:ascii="Times New Roman" w:hAnsi="Times New Roman" w:cs="Times New Roman"/>
                <w:b/>
                <w:bCs/>
                <w:color w:val="auto"/>
                <w:sz w:val="24"/>
                <w:szCs w:val="24"/>
                <w:highlight w:val="none"/>
                <w:lang w:val="en-US" w:eastAsia="zh-CN"/>
              </w:rPr>
              <w:t>体</w:t>
            </w:r>
            <w:r>
              <w:rPr>
                <w:rFonts w:hint="default" w:ascii="Times New Roman" w:hAnsi="Times New Roman" w:cs="Times New Roman"/>
                <w:b/>
                <w:bCs/>
                <w:color w:val="auto"/>
                <w:sz w:val="24"/>
                <w:szCs w:val="24"/>
                <w:highlight w:val="none"/>
              </w:rPr>
              <w:t>废物产生情况汇总表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49"/>
              <w:gridCol w:w="1311"/>
              <w:gridCol w:w="941"/>
              <w:gridCol w:w="641"/>
              <w:gridCol w:w="1609"/>
              <w:gridCol w:w="846"/>
              <w:gridCol w:w="859"/>
              <w:gridCol w:w="70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49" w:type="dxa"/>
                  <w:vMerge w:val="restar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311" w:type="dxa"/>
                  <w:vMerge w:val="restar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w:t>
                  </w:r>
                </w:p>
              </w:tc>
              <w:tc>
                <w:tcPr>
                  <w:tcW w:w="941" w:type="dxa"/>
                  <w:vMerge w:val="restar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产生工序</w:t>
                  </w:r>
                </w:p>
              </w:tc>
              <w:tc>
                <w:tcPr>
                  <w:tcW w:w="641" w:type="dxa"/>
                  <w:vMerge w:val="restar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形态</w:t>
                  </w:r>
                </w:p>
              </w:tc>
              <w:tc>
                <w:tcPr>
                  <w:tcW w:w="1609" w:type="dxa"/>
                  <w:vMerge w:val="restar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主要成分</w:t>
                  </w:r>
                </w:p>
              </w:tc>
              <w:tc>
                <w:tcPr>
                  <w:tcW w:w="846" w:type="dxa"/>
                  <w:vMerge w:val="restar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预测产生量（t/a）</w:t>
                  </w:r>
                </w:p>
              </w:tc>
              <w:tc>
                <w:tcPr>
                  <w:tcW w:w="2707" w:type="dxa"/>
                  <w:gridSpan w:val="3"/>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种类判断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49" w:type="dxa"/>
                  <w:vMerge w:val="continue"/>
                  <w:tcBorders>
                    <w:tl2br w:val="nil"/>
                    <w:tr2bl w:val="nil"/>
                  </w:tcBorders>
                  <w:noWrap w:val="0"/>
                  <w:vAlign w:val="center"/>
                </w:tcPr>
                <w:p>
                  <w:pPr>
                    <w:jc w:val="center"/>
                    <w:rPr>
                      <w:rFonts w:hint="default" w:ascii="Times New Roman" w:hAnsi="Times New Roman" w:cs="Times New Roman"/>
                      <w:b/>
                      <w:bCs/>
                      <w:color w:val="auto"/>
                      <w:sz w:val="21"/>
                      <w:szCs w:val="21"/>
                    </w:rPr>
                  </w:pPr>
                </w:p>
              </w:tc>
              <w:tc>
                <w:tcPr>
                  <w:tcW w:w="1311" w:type="dxa"/>
                  <w:vMerge w:val="continue"/>
                  <w:tcBorders>
                    <w:tl2br w:val="nil"/>
                    <w:tr2bl w:val="nil"/>
                  </w:tcBorders>
                  <w:noWrap w:val="0"/>
                  <w:vAlign w:val="center"/>
                </w:tcPr>
                <w:p>
                  <w:pPr>
                    <w:jc w:val="center"/>
                    <w:rPr>
                      <w:rFonts w:hint="default" w:ascii="Times New Roman" w:hAnsi="Times New Roman" w:cs="Times New Roman"/>
                      <w:b/>
                      <w:bCs/>
                      <w:color w:val="auto"/>
                      <w:sz w:val="21"/>
                      <w:szCs w:val="21"/>
                    </w:rPr>
                  </w:pPr>
                </w:p>
              </w:tc>
              <w:tc>
                <w:tcPr>
                  <w:tcW w:w="941" w:type="dxa"/>
                  <w:vMerge w:val="continue"/>
                  <w:tcBorders>
                    <w:tl2br w:val="nil"/>
                    <w:tr2bl w:val="nil"/>
                  </w:tcBorders>
                  <w:noWrap w:val="0"/>
                  <w:vAlign w:val="center"/>
                </w:tcPr>
                <w:p>
                  <w:pPr>
                    <w:jc w:val="center"/>
                    <w:rPr>
                      <w:rFonts w:hint="default" w:ascii="Times New Roman" w:hAnsi="Times New Roman" w:cs="Times New Roman"/>
                      <w:b/>
                      <w:bCs/>
                      <w:color w:val="auto"/>
                      <w:sz w:val="21"/>
                      <w:szCs w:val="21"/>
                    </w:rPr>
                  </w:pPr>
                </w:p>
              </w:tc>
              <w:tc>
                <w:tcPr>
                  <w:tcW w:w="641" w:type="dxa"/>
                  <w:vMerge w:val="continue"/>
                  <w:tcBorders>
                    <w:tl2br w:val="nil"/>
                    <w:tr2bl w:val="nil"/>
                  </w:tcBorders>
                  <w:noWrap w:val="0"/>
                  <w:vAlign w:val="center"/>
                </w:tcPr>
                <w:p>
                  <w:pPr>
                    <w:jc w:val="center"/>
                    <w:rPr>
                      <w:rFonts w:hint="default" w:ascii="Times New Roman" w:hAnsi="Times New Roman" w:cs="Times New Roman"/>
                      <w:b/>
                      <w:bCs/>
                      <w:color w:val="auto"/>
                      <w:sz w:val="21"/>
                      <w:szCs w:val="21"/>
                    </w:rPr>
                  </w:pPr>
                </w:p>
              </w:tc>
              <w:tc>
                <w:tcPr>
                  <w:tcW w:w="1609" w:type="dxa"/>
                  <w:vMerge w:val="continue"/>
                  <w:tcBorders>
                    <w:tl2br w:val="nil"/>
                    <w:tr2bl w:val="nil"/>
                  </w:tcBorders>
                  <w:noWrap w:val="0"/>
                  <w:vAlign w:val="center"/>
                </w:tcPr>
                <w:p>
                  <w:pPr>
                    <w:jc w:val="center"/>
                    <w:rPr>
                      <w:rFonts w:hint="default" w:ascii="Times New Roman" w:hAnsi="Times New Roman" w:cs="Times New Roman"/>
                      <w:b/>
                      <w:bCs/>
                      <w:color w:val="auto"/>
                      <w:sz w:val="21"/>
                      <w:szCs w:val="21"/>
                    </w:rPr>
                  </w:pPr>
                </w:p>
              </w:tc>
              <w:tc>
                <w:tcPr>
                  <w:tcW w:w="846" w:type="dxa"/>
                  <w:vMerge w:val="continue"/>
                  <w:tcBorders>
                    <w:tl2br w:val="nil"/>
                    <w:tr2bl w:val="nil"/>
                  </w:tcBorders>
                  <w:noWrap w:val="0"/>
                  <w:vAlign w:val="center"/>
                </w:tcPr>
                <w:p>
                  <w:pPr>
                    <w:jc w:val="center"/>
                    <w:rPr>
                      <w:rFonts w:hint="default" w:ascii="Times New Roman" w:hAnsi="Times New Roman" w:cs="Times New Roman"/>
                      <w:b/>
                      <w:bCs/>
                      <w:color w:val="auto"/>
                      <w:sz w:val="21"/>
                      <w:szCs w:val="21"/>
                    </w:rPr>
                  </w:pPr>
                </w:p>
              </w:tc>
              <w:tc>
                <w:tcPr>
                  <w:tcW w:w="859" w:type="dxa"/>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固体废物</w:t>
                  </w:r>
                </w:p>
              </w:tc>
              <w:tc>
                <w:tcPr>
                  <w:tcW w:w="709" w:type="dxa"/>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副产品</w:t>
                  </w:r>
                </w:p>
              </w:tc>
              <w:tc>
                <w:tcPr>
                  <w:tcW w:w="1139" w:type="dxa"/>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判定依据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49" w:type="dxa"/>
                  <w:tcBorders>
                    <w:tl2br w:val="nil"/>
                    <w:tr2bl w:val="nil"/>
                  </w:tcBorders>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11" w:type="dxa"/>
                  <w:tcBorders>
                    <w:tl2br w:val="nil"/>
                    <w:tr2bl w:val="nil"/>
                  </w:tcBorders>
                  <w:noWrap w:val="0"/>
                  <w:vAlign w:val="center"/>
                </w:tcPr>
                <w:p>
                  <w:pPr>
                    <w:jc w:val="center"/>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废</w:t>
                  </w:r>
                  <w:r>
                    <w:rPr>
                      <w:rFonts w:hint="eastAsia" w:ascii="Times New Roman" w:hAnsi="Times New Roman" w:cs="Times New Roman"/>
                      <w:color w:val="auto"/>
                      <w:sz w:val="21"/>
                      <w:szCs w:val="21"/>
                      <w:lang w:val="en-US" w:eastAsia="zh-CN"/>
                    </w:rPr>
                    <w:t>边角料</w:t>
                  </w:r>
                </w:p>
              </w:tc>
              <w:tc>
                <w:tcPr>
                  <w:tcW w:w="941"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分切、开槽、板材加工、配件加工</w:t>
                  </w:r>
                </w:p>
              </w:tc>
              <w:tc>
                <w:tcPr>
                  <w:tcW w:w="641"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固态</w:t>
                  </w:r>
                </w:p>
              </w:tc>
              <w:tc>
                <w:tcPr>
                  <w:tcW w:w="1609" w:type="dxa"/>
                  <w:tcBorders>
                    <w:tl2br w:val="nil"/>
                    <w:tr2bl w:val="nil"/>
                  </w:tcBorders>
                  <w:noWrap w:val="0"/>
                  <w:vAlign w:val="center"/>
                </w:tcPr>
                <w:p>
                  <w:pPr>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废纸、废木板、中空板、EPE</w:t>
                  </w:r>
                </w:p>
              </w:tc>
              <w:tc>
                <w:tcPr>
                  <w:tcW w:w="846"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13.45</w:t>
                  </w:r>
                </w:p>
              </w:tc>
              <w:tc>
                <w:tcPr>
                  <w:tcW w:w="859"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7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olor w:val="auto"/>
                      <w:sz w:val="21"/>
                      <w:szCs w:val="21"/>
                    </w:rPr>
                    <w:t>-</w:t>
                  </w:r>
                </w:p>
              </w:tc>
              <w:tc>
                <w:tcPr>
                  <w:tcW w:w="1139" w:type="dxa"/>
                  <w:vMerge w:val="restar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鉴别标准</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通则》</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（GB34330</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49" w:type="dxa"/>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311"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废</w:t>
                  </w:r>
                  <w:r>
                    <w:rPr>
                      <w:rFonts w:hint="eastAsia" w:ascii="Times New Roman" w:hAnsi="Times New Roman" w:cs="Times New Roman"/>
                      <w:color w:val="auto"/>
                      <w:sz w:val="21"/>
                      <w:szCs w:val="21"/>
                      <w:lang w:val="en-US" w:eastAsia="zh-CN"/>
                    </w:rPr>
                    <w:t>包装桶</w:t>
                  </w:r>
                </w:p>
              </w:tc>
              <w:tc>
                <w:tcPr>
                  <w:tcW w:w="941"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物料使用</w:t>
                  </w:r>
                </w:p>
              </w:tc>
              <w:tc>
                <w:tcPr>
                  <w:tcW w:w="641" w:type="dxa"/>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固态</w:t>
                  </w:r>
                </w:p>
              </w:tc>
              <w:tc>
                <w:tcPr>
                  <w:tcW w:w="1609" w:type="dxa"/>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ascii="Times New Roman" w:hAnsi="Times New Roman"/>
                      <w:color w:val="auto"/>
                      <w:sz w:val="21"/>
                      <w:szCs w:val="21"/>
                    </w:rPr>
                    <w:t>铁、</w:t>
                  </w:r>
                  <w:r>
                    <w:rPr>
                      <w:rFonts w:hint="eastAsia" w:ascii="Times New Roman" w:hAnsi="Times New Roman"/>
                      <w:color w:val="auto"/>
                      <w:sz w:val="21"/>
                      <w:szCs w:val="21"/>
                      <w:lang w:val="en-US" w:eastAsia="zh-CN"/>
                    </w:rPr>
                    <w:t>塑料、</w:t>
                  </w:r>
                  <w:r>
                    <w:rPr>
                      <w:rFonts w:ascii="Times New Roman" w:hAnsi="Times New Roman"/>
                      <w:color w:val="auto"/>
                      <w:sz w:val="21"/>
                      <w:szCs w:val="21"/>
                    </w:rPr>
                    <w:t>有机物</w:t>
                  </w:r>
                </w:p>
              </w:tc>
              <w:tc>
                <w:tcPr>
                  <w:tcW w:w="846"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w:t>
                  </w:r>
                  <w:r>
                    <w:rPr>
                      <w:rFonts w:hint="eastAsia" w:cs="Times New Roman"/>
                      <w:color w:val="auto"/>
                      <w:sz w:val="21"/>
                      <w:szCs w:val="21"/>
                      <w:lang w:val="en-US" w:eastAsia="zh-CN"/>
                    </w:rPr>
                    <w:t>875</w:t>
                  </w:r>
                </w:p>
              </w:tc>
              <w:tc>
                <w:tcPr>
                  <w:tcW w:w="859"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7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olor w:val="auto"/>
                      <w:sz w:val="21"/>
                      <w:szCs w:val="21"/>
                    </w:rPr>
                    <w:t>-</w:t>
                  </w:r>
                </w:p>
              </w:tc>
              <w:tc>
                <w:tcPr>
                  <w:tcW w:w="1139"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49" w:type="dxa"/>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3</w:t>
                  </w:r>
                </w:p>
              </w:tc>
              <w:tc>
                <w:tcPr>
                  <w:tcW w:w="1311"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一般废包装材料</w:t>
                  </w:r>
                </w:p>
              </w:tc>
              <w:tc>
                <w:tcPr>
                  <w:tcW w:w="941"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原辅料包装</w:t>
                  </w:r>
                </w:p>
              </w:tc>
              <w:tc>
                <w:tcPr>
                  <w:tcW w:w="641" w:type="dxa"/>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固态</w:t>
                  </w:r>
                </w:p>
              </w:tc>
              <w:tc>
                <w:tcPr>
                  <w:tcW w:w="1609" w:type="dxa"/>
                  <w:tcBorders>
                    <w:tl2br w:val="nil"/>
                    <w:tr2bl w:val="nil"/>
                  </w:tcBorders>
                  <w:noWrap w:val="0"/>
                  <w:vAlign w:val="center"/>
                </w:tcPr>
                <w:p>
                  <w:pPr>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复合材料</w:t>
                  </w:r>
                </w:p>
              </w:tc>
              <w:tc>
                <w:tcPr>
                  <w:tcW w:w="846"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859"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7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olor w:val="auto"/>
                      <w:sz w:val="21"/>
                      <w:szCs w:val="21"/>
                      <w:lang w:val="en-US" w:eastAsia="zh-CN"/>
                    </w:rPr>
                  </w:pPr>
                  <w:r>
                    <w:rPr>
                      <w:rFonts w:hint="eastAsia"/>
                      <w:color w:val="auto"/>
                      <w:sz w:val="21"/>
                      <w:szCs w:val="21"/>
                      <w:lang w:val="en-US" w:eastAsia="zh-CN"/>
                    </w:rPr>
                    <w:t>-</w:t>
                  </w:r>
                </w:p>
              </w:tc>
              <w:tc>
                <w:tcPr>
                  <w:tcW w:w="1139"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49" w:type="dxa"/>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w:t>
                  </w:r>
                </w:p>
              </w:tc>
              <w:tc>
                <w:tcPr>
                  <w:tcW w:w="1311" w:type="dxa"/>
                  <w:tcBorders>
                    <w:tl2br w:val="nil"/>
                    <w:tr2bl w:val="nil"/>
                  </w:tcBorders>
                  <w:noWrap w:val="0"/>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除尘灰</w:t>
                  </w:r>
                </w:p>
              </w:tc>
              <w:tc>
                <w:tcPr>
                  <w:tcW w:w="941" w:type="dxa"/>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废气处理</w:t>
                  </w:r>
                </w:p>
              </w:tc>
              <w:tc>
                <w:tcPr>
                  <w:tcW w:w="641" w:type="dxa"/>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固态</w:t>
                  </w:r>
                </w:p>
              </w:tc>
              <w:tc>
                <w:tcPr>
                  <w:tcW w:w="1609" w:type="dxa"/>
                  <w:tcBorders>
                    <w:tl2br w:val="nil"/>
                    <w:tr2bl w:val="nil"/>
                  </w:tcBorders>
                  <w:noWrap w:val="0"/>
                  <w:vAlign w:val="center"/>
                </w:tcPr>
                <w:p>
                  <w:pPr>
                    <w:jc w:val="center"/>
                    <w:rPr>
                      <w:rFonts w:hint="default"/>
                      <w:color w:val="auto"/>
                      <w:sz w:val="21"/>
                      <w:szCs w:val="21"/>
                      <w:lang w:val="en-US" w:eastAsia="zh-CN"/>
                    </w:rPr>
                  </w:pPr>
                  <w:r>
                    <w:rPr>
                      <w:rFonts w:hint="eastAsia"/>
                      <w:color w:val="auto"/>
                      <w:sz w:val="21"/>
                      <w:szCs w:val="21"/>
                      <w:lang w:val="en-US" w:eastAsia="zh-CN"/>
                    </w:rPr>
                    <w:t>木粉尘</w:t>
                  </w:r>
                </w:p>
              </w:tc>
              <w:tc>
                <w:tcPr>
                  <w:tcW w:w="846" w:type="dxa"/>
                  <w:tcBorders>
                    <w:tl2br w:val="nil"/>
                    <w:tr2bl w:val="nil"/>
                  </w:tcBorders>
                  <w:noWrap w:val="0"/>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0.5198</w:t>
                  </w:r>
                </w:p>
              </w:tc>
              <w:tc>
                <w:tcPr>
                  <w:tcW w:w="859"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7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color w:val="auto"/>
                      <w:sz w:val="21"/>
                      <w:szCs w:val="21"/>
                      <w:lang w:val="en-US" w:eastAsia="zh-CN"/>
                    </w:rPr>
                  </w:pPr>
                  <w:r>
                    <w:rPr>
                      <w:rFonts w:hint="eastAsia"/>
                      <w:color w:val="auto"/>
                      <w:sz w:val="21"/>
                      <w:szCs w:val="21"/>
                      <w:lang w:val="en-US" w:eastAsia="zh-CN"/>
                    </w:rPr>
                    <w:t>-</w:t>
                  </w:r>
                </w:p>
              </w:tc>
              <w:tc>
                <w:tcPr>
                  <w:tcW w:w="1139"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49" w:type="dxa"/>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5</w:t>
                  </w:r>
                </w:p>
              </w:tc>
              <w:tc>
                <w:tcPr>
                  <w:tcW w:w="1311" w:type="dxa"/>
                  <w:tcBorders>
                    <w:tl2br w:val="nil"/>
                    <w:tr2bl w:val="nil"/>
                  </w:tcBorders>
                  <w:noWrap w:val="0"/>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废布袋</w:t>
                  </w:r>
                </w:p>
              </w:tc>
              <w:tc>
                <w:tcPr>
                  <w:tcW w:w="941" w:type="dxa"/>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废气处理</w:t>
                  </w:r>
                </w:p>
              </w:tc>
              <w:tc>
                <w:tcPr>
                  <w:tcW w:w="641" w:type="dxa"/>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固态</w:t>
                  </w:r>
                </w:p>
              </w:tc>
              <w:tc>
                <w:tcPr>
                  <w:tcW w:w="1609" w:type="dxa"/>
                  <w:tcBorders>
                    <w:tl2br w:val="nil"/>
                    <w:tr2bl w:val="nil"/>
                  </w:tcBorders>
                  <w:noWrap w:val="0"/>
                  <w:vAlign w:val="center"/>
                </w:tcPr>
                <w:p>
                  <w:pPr>
                    <w:jc w:val="center"/>
                    <w:rPr>
                      <w:rFonts w:hint="default"/>
                      <w:color w:val="auto"/>
                      <w:sz w:val="21"/>
                      <w:szCs w:val="21"/>
                      <w:lang w:val="en-US" w:eastAsia="zh-CN"/>
                    </w:rPr>
                  </w:pPr>
                  <w:r>
                    <w:rPr>
                      <w:rFonts w:hint="eastAsia"/>
                      <w:color w:val="auto"/>
                      <w:sz w:val="21"/>
                      <w:szCs w:val="21"/>
                      <w:lang w:val="en-US" w:eastAsia="zh-CN"/>
                    </w:rPr>
                    <w:t>纤维布</w:t>
                  </w:r>
                </w:p>
              </w:tc>
              <w:tc>
                <w:tcPr>
                  <w:tcW w:w="846" w:type="dxa"/>
                  <w:tcBorders>
                    <w:tl2br w:val="nil"/>
                    <w:tr2bl w:val="nil"/>
                  </w:tcBorders>
                  <w:noWrap w:val="0"/>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0.05</w:t>
                  </w:r>
                </w:p>
              </w:tc>
              <w:tc>
                <w:tcPr>
                  <w:tcW w:w="859"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7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color w:val="auto"/>
                      <w:sz w:val="21"/>
                      <w:szCs w:val="21"/>
                      <w:lang w:val="en-US" w:eastAsia="zh-CN"/>
                    </w:rPr>
                  </w:pPr>
                  <w:r>
                    <w:rPr>
                      <w:rFonts w:hint="eastAsia"/>
                      <w:color w:val="auto"/>
                      <w:sz w:val="21"/>
                      <w:szCs w:val="21"/>
                      <w:lang w:val="en-US" w:eastAsia="zh-CN"/>
                    </w:rPr>
                    <w:t>-</w:t>
                  </w:r>
                </w:p>
              </w:tc>
              <w:tc>
                <w:tcPr>
                  <w:tcW w:w="1139"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49"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6</w:t>
                  </w:r>
                </w:p>
              </w:tc>
              <w:tc>
                <w:tcPr>
                  <w:tcW w:w="1311" w:type="dxa"/>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废活性炭</w:t>
                  </w:r>
                </w:p>
              </w:tc>
              <w:tc>
                <w:tcPr>
                  <w:tcW w:w="941" w:type="dxa"/>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废气处理</w:t>
                  </w:r>
                </w:p>
              </w:tc>
              <w:tc>
                <w:tcPr>
                  <w:tcW w:w="641"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固态</w:t>
                  </w:r>
                </w:p>
              </w:tc>
              <w:tc>
                <w:tcPr>
                  <w:tcW w:w="1609" w:type="dxa"/>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ascii="Times New Roman" w:hAnsi="Times New Roman"/>
                      <w:color w:val="auto"/>
                      <w:sz w:val="21"/>
                      <w:szCs w:val="21"/>
                    </w:rPr>
                    <w:t>活性炭、有机物</w:t>
                  </w:r>
                </w:p>
              </w:tc>
              <w:tc>
                <w:tcPr>
                  <w:tcW w:w="846"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3.8498</w:t>
                  </w:r>
                </w:p>
              </w:tc>
              <w:tc>
                <w:tcPr>
                  <w:tcW w:w="859" w:type="dxa"/>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7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2"/>
                      <w:sz w:val="21"/>
                      <w:szCs w:val="21"/>
                      <w:lang w:val="en-US" w:eastAsia="zh-CN" w:bidi="ar-SA"/>
                    </w:rPr>
                  </w:pPr>
                  <w:r>
                    <w:rPr>
                      <w:rFonts w:ascii="Times New Roman" w:hAnsi="Times New Roman"/>
                      <w:color w:val="auto"/>
                      <w:sz w:val="21"/>
                      <w:szCs w:val="21"/>
                    </w:rPr>
                    <w:t>-</w:t>
                  </w:r>
                </w:p>
              </w:tc>
              <w:tc>
                <w:tcPr>
                  <w:tcW w:w="1139"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49"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7</w:t>
                  </w:r>
                </w:p>
              </w:tc>
              <w:tc>
                <w:tcPr>
                  <w:tcW w:w="131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olor w:val="auto"/>
                      <w:sz w:val="21"/>
                      <w:szCs w:val="21"/>
                      <w:lang w:val="en-US" w:eastAsia="zh-CN"/>
                    </w:rPr>
                    <w:t>含油废液</w:t>
                  </w:r>
                </w:p>
              </w:tc>
              <w:tc>
                <w:tcPr>
                  <w:tcW w:w="9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21"/>
                      <w:szCs w:val="21"/>
                      <w:lang w:val="en-US" w:eastAsia="zh-CN"/>
                    </w:rPr>
                  </w:pPr>
                  <w:r>
                    <w:rPr>
                      <w:rFonts w:ascii="Times New Roman" w:hAnsi="Times New Roman"/>
                      <w:color w:val="auto"/>
                      <w:sz w:val="21"/>
                      <w:szCs w:val="21"/>
                    </w:rPr>
                    <w:t>空压机</w:t>
                  </w:r>
                </w:p>
              </w:tc>
              <w:tc>
                <w:tcPr>
                  <w:tcW w:w="6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olor w:val="auto"/>
                      <w:sz w:val="21"/>
                      <w:szCs w:val="21"/>
                    </w:rPr>
                    <w:t>液态</w:t>
                  </w:r>
                </w:p>
              </w:tc>
              <w:tc>
                <w:tcPr>
                  <w:tcW w:w="16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21"/>
                      <w:szCs w:val="21"/>
                      <w:lang w:val="en-US" w:eastAsia="zh-CN"/>
                    </w:rPr>
                  </w:pPr>
                  <w:r>
                    <w:rPr>
                      <w:rFonts w:ascii="Times New Roman" w:hAnsi="Times New Roman"/>
                      <w:color w:val="auto"/>
                      <w:sz w:val="21"/>
                      <w:szCs w:val="21"/>
                    </w:rPr>
                    <w:t>油水混合物</w:t>
                  </w:r>
                </w:p>
              </w:tc>
              <w:tc>
                <w:tcPr>
                  <w:tcW w:w="84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olor w:val="auto"/>
                      <w:sz w:val="21"/>
                      <w:szCs w:val="21"/>
                      <w:lang w:val="en-US" w:eastAsia="zh-CN"/>
                    </w:rPr>
                    <w:t>0.</w:t>
                  </w:r>
                  <w:r>
                    <w:rPr>
                      <w:rFonts w:hint="eastAsia"/>
                      <w:color w:val="auto"/>
                      <w:sz w:val="21"/>
                      <w:szCs w:val="21"/>
                      <w:lang w:val="en-US" w:eastAsia="zh-CN"/>
                    </w:rPr>
                    <w:t>27</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olor w:val="auto"/>
                      <w:sz w:val="21"/>
                      <w:szCs w:val="21"/>
                    </w:rPr>
                    <w:t>√</w:t>
                  </w:r>
                </w:p>
              </w:tc>
              <w:tc>
                <w:tcPr>
                  <w:tcW w:w="7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olor w:val="auto"/>
                      <w:sz w:val="21"/>
                      <w:szCs w:val="21"/>
                    </w:rPr>
                    <w:t>-</w:t>
                  </w:r>
                </w:p>
              </w:tc>
              <w:tc>
                <w:tcPr>
                  <w:tcW w:w="1139"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49"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8</w:t>
                  </w:r>
                </w:p>
              </w:tc>
              <w:tc>
                <w:tcPr>
                  <w:tcW w:w="131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olor w:val="auto"/>
                      <w:sz w:val="21"/>
                      <w:szCs w:val="21"/>
                      <w:lang w:val="en-US" w:eastAsia="zh-CN"/>
                    </w:rPr>
                    <w:t>废劳保用品</w:t>
                  </w:r>
                </w:p>
              </w:tc>
              <w:tc>
                <w:tcPr>
                  <w:tcW w:w="9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21"/>
                      <w:szCs w:val="21"/>
                      <w:lang w:val="en-US" w:eastAsia="zh-CN"/>
                    </w:rPr>
                  </w:pPr>
                  <w:r>
                    <w:rPr>
                      <w:rFonts w:hint="eastAsia"/>
                      <w:color w:val="auto"/>
                      <w:sz w:val="21"/>
                      <w:szCs w:val="21"/>
                      <w:lang w:val="en-US" w:eastAsia="zh-CN"/>
                    </w:rPr>
                    <w:t>员工生产</w:t>
                  </w:r>
                </w:p>
              </w:tc>
              <w:tc>
                <w:tcPr>
                  <w:tcW w:w="6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olor w:val="auto"/>
                      <w:sz w:val="21"/>
                      <w:szCs w:val="21"/>
                    </w:rPr>
                    <w:t>固态</w:t>
                  </w:r>
                </w:p>
              </w:tc>
              <w:tc>
                <w:tcPr>
                  <w:tcW w:w="16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21"/>
                      <w:szCs w:val="21"/>
                      <w:lang w:val="en-US" w:eastAsia="zh-CN"/>
                    </w:rPr>
                  </w:pPr>
                  <w:r>
                    <w:rPr>
                      <w:rFonts w:ascii="Times New Roman" w:hAnsi="Times New Roman"/>
                      <w:color w:val="auto"/>
                      <w:sz w:val="21"/>
                      <w:szCs w:val="21"/>
                    </w:rPr>
                    <w:t>含油抹布、手套</w:t>
                  </w:r>
                </w:p>
              </w:tc>
              <w:tc>
                <w:tcPr>
                  <w:tcW w:w="84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olor w:val="auto"/>
                      <w:sz w:val="21"/>
                      <w:szCs w:val="21"/>
                      <w:lang w:val="en-US" w:eastAsia="zh-CN"/>
                    </w:rPr>
                    <w:t>0.2</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olor w:val="auto"/>
                      <w:sz w:val="21"/>
                      <w:szCs w:val="21"/>
                    </w:rPr>
                    <w:t>√</w:t>
                  </w:r>
                </w:p>
              </w:tc>
              <w:tc>
                <w:tcPr>
                  <w:tcW w:w="7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olor w:val="auto"/>
                      <w:sz w:val="21"/>
                      <w:szCs w:val="21"/>
                    </w:rPr>
                    <w:t>-</w:t>
                  </w:r>
                </w:p>
              </w:tc>
              <w:tc>
                <w:tcPr>
                  <w:tcW w:w="1139"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49"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9</w:t>
                  </w:r>
                </w:p>
              </w:tc>
              <w:tc>
                <w:tcPr>
                  <w:tcW w:w="131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21"/>
                      <w:szCs w:val="21"/>
                      <w:lang w:val="en-US" w:eastAsia="zh-CN"/>
                    </w:rPr>
                  </w:pPr>
                  <w:r>
                    <w:rPr>
                      <w:rFonts w:hint="eastAsia"/>
                      <w:color w:val="auto"/>
                      <w:sz w:val="21"/>
                      <w:szCs w:val="21"/>
                      <w:lang w:val="en-US" w:eastAsia="zh-CN"/>
                    </w:rPr>
                    <w:t>废润滑油</w:t>
                  </w:r>
                </w:p>
              </w:tc>
              <w:tc>
                <w:tcPr>
                  <w:tcW w:w="9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21"/>
                      <w:szCs w:val="21"/>
                      <w:lang w:val="en-US" w:eastAsia="zh-CN"/>
                    </w:rPr>
                  </w:pPr>
                  <w:r>
                    <w:rPr>
                      <w:rFonts w:hint="eastAsia"/>
                      <w:color w:val="auto"/>
                      <w:sz w:val="21"/>
                      <w:szCs w:val="21"/>
                      <w:lang w:val="en-US" w:eastAsia="zh-CN"/>
                    </w:rPr>
                    <w:t>维护保养</w:t>
                  </w:r>
                </w:p>
              </w:tc>
              <w:tc>
                <w:tcPr>
                  <w:tcW w:w="6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eastAsia"/>
                      <w:color w:val="auto"/>
                      <w:sz w:val="21"/>
                      <w:szCs w:val="21"/>
                      <w:lang w:val="en-US" w:eastAsia="zh-CN"/>
                    </w:rPr>
                    <w:t>液态</w:t>
                  </w:r>
                </w:p>
              </w:tc>
              <w:tc>
                <w:tcPr>
                  <w:tcW w:w="1609" w:type="dxa"/>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olor w:val="auto"/>
                      <w:kern w:val="2"/>
                      <w:sz w:val="21"/>
                      <w:szCs w:val="21"/>
                      <w:lang w:val="en-US" w:eastAsia="zh-CN" w:bidi="ar-SA"/>
                    </w:rPr>
                    <w:t>矿物油</w:t>
                  </w:r>
                </w:p>
              </w:tc>
              <w:tc>
                <w:tcPr>
                  <w:tcW w:w="84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0018</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olor w:val="auto"/>
                      <w:sz w:val="21"/>
                      <w:szCs w:val="21"/>
                    </w:rPr>
                    <w:t>√</w:t>
                  </w:r>
                </w:p>
              </w:tc>
              <w:tc>
                <w:tcPr>
                  <w:tcW w:w="7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olor w:val="auto"/>
                      <w:sz w:val="21"/>
                      <w:szCs w:val="21"/>
                    </w:rPr>
                    <w:t>-</w:t>
                  </w:r>
                </w:p>
              </w:tc>
              <w:tc>
                <w:tcPr>
                  <w:tcW w:w="1139"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49"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10</w:t>
                  </w:r>
                </w:p>
              </w:tc>
              <w:tc>
                <w:tcPr>
                  <w:tcW w:w="131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21"/>
                      <w:szCs w:val="21"/>
                      <w:lang w:val="en-US" w:eastAsia="zh-CN"/>
                    </w:rPr>
                  </w:pPr>
                  <w:r>
                    <w:rPr>
                      <w:rFonts w:hint="eastAsia"/>
                      <w:color w:val="auto"/>
                      <w:sz w:val="21"/>
                      <w:szCs w:val="21"/>
                      <w:lang w:val="en-US" w:eastAsia="zh-CN"/>
                    </w:rPr>
                    <w:t>废润滑油桶</w:t>
                  </w:r>
                </w:p>
              </w:tc>
              <w:tc>
                <w:tcPr>
                  <w:tcW w:w="9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21"/>
                      <w:szCs w:val="21"/>
                      <w:lang w:val="en-US" w:eastAsia="zh-CN"/>
                    </w:rPr>
                  </w:pPr>
                  <w:r>
                    <w:rPr>
                      <w:rFonts w:hint="eastAsia"/>
                      <w:color w:val="auto"/>
                      <w:sz w:val="21"/>
                      <w:szCs w:val="21"/>
                      <w:lang w:val="en-US" w:eastAsia="zh-CN"/>
                    </w:rPr>
                    <w:t>维护保养</w:t>
                  </w:r>
                </w:p>
              </w:tc>
              <w:tc>
                <w:tcPr>
                  <w:tcW w:w="6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eastAsia"/>
                      <w:color w:val="auto"/>
                      <w:sz w:val="21"/>
                      <w:szCs w:val="21"/>
                      <w:lang w:val="en-US" w:eastAsia="zh-CN"/>
                    </w:rPr>
                    <w:t>固态</w:t>
                  </w:r>
                </w:p>
              </w:tc>
              <w:tc>
                <w:tcPr>
                  <w:tcW w:w="1609" w:type="dxa"/>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olor w:val="auto"/>
                      <w:sz w:val="21"/>
                      <w:szCs w:val="21"/>
                      <w:lang w:val="en-US" w:eastAsia="zh-CN"/>
                    </w:rPr>
                    <w:t>塑料、矿物油</w:t>
                  </w:r>
                </w:p>
              </w:tc>
              <w:tc>
                <w:tcPr>
                  <w:tcW w:w="84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w:t>
                  </w:r>
                  <w:r>
                    <w:rPr>
                      <w:rFonts w:hint="eastAsia" w:ascii="Times New Roman" w:cs="Times New Roman"/>
                      <w:color w:val="auto"/>
                      <w:sz w:val="21"/>
                      <w:szCs w:val="21"/>
                      <w:lang w:val="en-US" w:eastAsia="zh-CN"/>
                    </w:rPr>
                    <w:t>0</w:t>
                  </w:r>
                  <w:r>
                    <w:rPr>
                      <w:rFonts w:hint="eastAsia" w:cs="Times New Roman"/>
                      <w:color w:val="auto"/>
                      <w:sz w:val="21"/>
                      <w:szCs w:val="21"/>
                      <w:lang w:val="en-US" w:eastAsia="zh-CN"/>
                    </w:rPr>
                    <w:t>05</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olor w:val="auto"/>
                      <w:sz w:val="21"/>
                      <w:szCs w:val="21"/>
                    </w:rPr>
                    <w:t>√</w:t>
                  </w:r>
                </w:p>
              </w:tc>
              <w:tc>
                <w:tcPr>
                  <w:tcW w:w="7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olor w:val="auto"/>
                      <w:sz w:val="21"/>
                      <w:szCs w:val="21"/>
                    </w:rPr>
                    <w:t>-</w:t>
                  </w:r>
                </w:p>
              </w:tc>
              <w:tc>
                <w:tcPr>
                  <w:tcW w:w="1139"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49" w:type="dxa"/>
                  <w:tcBorders>
                    <w:tl2br w:val="nil"/>
                    <w:tr2bl w:val="nil"/>
                  </w:tcBorders>
                  <w:noWrap w:val="0"/>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11</w:t>
                  </w:r>
                </w:p>
              </w:tc>
              <w:tc>
                <w:tcPr>
                  <w:tcW w:w="131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清洗废液</w:t>
                  </w:r>
                </w:p>
              </w:tc>
              <w:tc>
                <w:tcPr>
                  <w:tcW w:w="9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设备清洗</w:t>
                  </w:r>
                </w:p>
              </w:tc>
              <w:tc>
                <w:tcPr>
                  <w:tcW w:w="6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液态</w:t>
                  </w:r>
                </w:p>
              </w:tc>
              <w:tc>
                <w:tcPr>
                  <w:tcW w:w="1609" w:type="dxa"/>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default" w:ascii="Times New Roman" w:hAnsi="Times New Roman"/>
                      <w:color w:val="auto"/>
                      <w:sz w:val="21"/>
                      <w:szCs w:val="21"/>
                      <w:lang w:val="en-US" w:eastAsia="zh-CN"/>
                    </w:rPr>
                  </w:pPr>
                  <w:r>
                    <w:rPr>
                      <w:rFonts w:hint="eastAsia"/>
                      <w:color w:val="auto"/>
                      <w:sz w:val="21"/>
                      <w:szCs w:val="21"/>
                      <w:lang w:val="en-US" w:eastAsia="zh-CN"/>
                    </w:rPr>
                    <w:t>油墨</w:t>
                  </w:r>
                </w:p>
              </w:tc>
              <w:tc>
                <w:tcPr>
                  <w:tcW w:w="84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5</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color w:val="auto"/>
                      <w:sz w:val="21"/>
                      <w:szCs w:val="21"/>
                    </w:rPr>
                  </w:pPr>
                  <w:r>
                    <w:rPr>
                      <w:rFonts w:ascii="Times New Roman" w:hAnsi="Times New Roman"/>
                      <w:color w:val="auto"/>
                      <w:sz w:val="21"/>
                      <w:szCs w:val="21"/>
                    </w:rPr>
                    <w:t>√</w:t>
                  </w:r>
                </w:p>
              </w:tc>
              <w:tc>
                <w:tcPr>
                  <w:tcW w:w="7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olor w:val="auto"/>
                      <w:sz w:val="21"/>
                      <w:szCs w:val="21"/>
                      <w:lang w:val="en-US" w:eastAsia="zh-CN"/>
                    </w:rPr>
                  </w:pPr>
                  <w:r>
                    <w:rPr>
                      <w:rFonts w:hint="eastAsia"/>
                      <w:color w:val="auto"/>
                      <w:sz w:val="21"/>
                      <w:szCs w:val="21"/>
                      <w:lang w:val="en-US" w:eastAsia="zh-CN"/>
                    </w:rPr>
                    <w:t xml:space="preserve">- </w:t>
                  </w:r>
                </w:p>
              </w:tc>
              <w:tc>
                <w:tcPr>
                  <w:tcW w:w="1139"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49"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12</w:t>
                  </w:r>
                </w:p>
              </w:tc>
              <w:tc>
                <w:tcPr>
                  <w:tcW w:w="1311" w:type="dxa"/>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生活垃圾</w:t>
                  </w:r>
                </w:p>
              </w:tc>
              <w:tc>
                <w:tcPr>
                  <w:tcW w:w="941" w:type="dxa"/>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员工生活</w:t>
                  </w:r>
                </w:p>
              </w:tc>
              <w:tc>
                <w:tcPr>
                  <w:tcW w:w="641" w:type="dxa"/>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固态</w:t>
                  </w:r>
                </w:p>
              </w:tc>
              <w:tc>
                <w:tcPr>
                  <w:tcW w:w="1609" w:type="dxa"/>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纸屑、果皮等</w:t>
                  </w:r>
                </w:p>
              </w:tc>
              <w:tc>
                <w:tcPr>
                  <w:tcW w:w="846"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3.125</w:t>
                  </w:r>
                </w:p>
              </w:tc>
              <w:tc>
                <w:tcPr>
                  <w:tcW w:w="859"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7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olor w:val="auto"/>
                      <w:sz w:val="21"/>
                      <w:szCs w:val="21"/>
                    </w:rPr>
                    <w:t>-</w:t>
                  </w:r>
                </w:p>
              </w:tc>
              <w:tc>
                <w:tcPr>
                  <w:tcW w:w="1139"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（3）固体废物产生情况汇总</w:t>
            </w:r>
          </w:p>
          <w:p>
            <w:pPr>
              <w:spacing w:line="5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本项目运营期固体废物产生情况汇总如下。</w:t>
            </w:r>
          </w:p>
          <w:p>
            <w:pPr>
              <w:pStyle w:val="4"/>
              <w:rPr>
                <w:rFonts w:hint="default"/>
              </w:rPr>
            </w:pPr>
          </w:p>
          <w:p>
            <w:pPr>
              <w:spacing w:line="50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表4-</w:t>
            </w:r>
            <w:r>
              <w:rPr>
                <w:rFonts w:hint="default" w:ascii="Times New Roman" w:hAnsi="Times New Roman" w:cs="Times New Roman"/>
                <w:b/>
                <w:color w:val="auto"/>
                <w:sz w:val="24"/>
                <w:szCs w:val="24"/>
                <w:highlight w:val="none"/>
                <w:lang w:val="en-US" w:eastAsia="zh-CN"/>
              </w:rPr>
              <w:t>2</w:t>
            </w:r>
            <w:r>
              <w:rPr>
                <w:rFonts w:hint="eastAsia" w:cs="Times New Roman"/>
                <w:b/>
                <w:color w:val="auto"/>
                <w:sz w:val="24"/>
                <w:szCs w:val="24"/>
                <w:highlight w:val="none"/>
                <w:lang w:val="en-US" w:eastAsia="zh-CN"/>
              </w:rPr>
              <w:t>4</w:t>
            </w:r>
            <w:r>
              <w:rPr>
                <w:rFonts w:hint="default" w:ascii="Times New Roman" w:hAnsi="Times New Roman" w:cs="Times New Roman"/>
                <w:b/>
                <w:color w:val="auto"/>
                <w:sz w:val="24"/>
                <w:szCs w:val="24"/>
                <w:highlight w:val="none"/>
              </w:rPr>
              <w:t xml:space="preserve">  固体废物产生与处置情况汇总表</w:t>
            </w:r>
          </w:p>
          <w:tbl>
            <w:tblPr>
              <w:tblStyle w:val="18"/>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17"/>
              <w:gridCol w:w="944"/>
              <w:gridCol w:w="915"/>
              <w:gridCol w:w="859"/>
              <w:gridCol w:w="599"/>
              <w:gridCol w:w="1104"/>
              <w:gridCol w:w="572"/>
              <w:gridCol w:w="680"/>
              <w:gridCol w:w="1051"/>
              <w:gridCol w:w="696"/>
              <w:gridCol w:w="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555" w:type="pc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固废名称</w:t>
                  </w:r>
                </w:p>
              </w:tc>
              <w:tc>
                <w:tcPr>
                  <w:tcW w:w="538" w:type="pc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属性</w:t>
                  </w:r>
                </w:p>
              </w:tc>
              <w:tc>
                <w:tcPr>
                  <w:tcW w:w="505" w:type="pc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产生工序</w:t>
                  </w:r>
                </w:p>
              </w:tc>
              <w:tc>
                <w:tcPr>
                  <w:tcW w:w="352" w:type="pc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形态</w:t>
                  </w:r>
                </w:p>
              </w:tc>
              <w:tc>
                <w:tcPr>
                  <w:tcW w:w="649" w:type="pc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w:t>
                  </w:r>
                </w:p>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成分</w:t>
                  </w:r>
                </w:p>
              </w:tc>
              <w:tc>
                <w:tcPr>
                  <w:tcW w:w="336" w:type="pc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w:t>
                  </w:r>
                </w:p>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特性</w:t>
                  </w:r>
                </w:p>
              </w:tc>
              <w:tc>
                <w:tcPr>
                  <w:tcW w:w="400" w:type="pc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废物</w:t>
                  </w:r>
                </w:p>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618" w:type="pc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废物</w:t>
                  </w:r>
                </w:p>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代码</w:t>
                  </w:r>
                </w:p>
              </w:tc>
              <w:tc>
                <w:tcPr>
                  <w:tcW w:w="409" w:type="pc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产生量（t/a）</w:t>
                  </w:r>
                </w:p>
              </w:tc>
              <w:tc>
                <w:tcPr>
                  <w:tcW w:w="387" w:type="pct"/>
                  <w:tcBorders>
                    <w:tl2br w:val="nil"/>
                    <w:tr2bl w:val="nil"/>
                  </w:tcBorders>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处置</w:t>
                  </w:r>
                </w:p>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vMerge w:val="restart"/>
                  <w:tcBorders>
                    <w:tl2br w:val="nil"/>
                    <w:tr2bl w:val="nil"/>
                  </w:tcBorders>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555" w:type="pct"/>
                  <w:vMerge w:val="restar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w:t>
                  </w:r>
                  <w:r>
                    <w:rPr>
                      <w:rFonts w:hint="eastAsia" w:ascii="Times New Roman" w:hAnsi="Times New Roman" w:cs="Times New Roman"/>
                      <w:color w:val="auto"/>
                      <w:sz w:val="21"/>
                      <w:szCs w:val="21"/>
                      <w:lang w:val="en-US" w:eastAsia="zh-CN"/>
                    </w:rPr>
                    <w:t>边角料</w:t>
                  </w:r>
                </w:p>
              </w:tc>
              <w:tc>
                <w:tcPr>
                  <w:tcW w:w="538" w:type="pct"/>
                  <w:vMerge w:val="restar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w:t>
                  </w:r>
                  <w:r>
                    <w:rPr>
                      <w:rFonts w:hint="eastAsia" w:ascii="Times New Roman" w:hAnsi="Times New Roman" w:cs="Times New Roman"/>
                      <w:color w:val="auto"/>
                      <w:sz w:val="21"/>
                      <w:szCs w:val="21"/>
                      <w:lang w:val="en-US" w:eastAsia="zh-CN"/>
                    </w:rPr>
                    <w:t>工业</w:t>
                  </w:r>
                  <w:r>
                    <w:rPr>
                      <w:rFonts w:hint="default" w:ascii="Times New Roman" w:hAnsi="Times New Roman" w:cs="Times New Roman"/>
                      <w:color w:val="auto"/>
                      <w:sz w:val="21"/>
                      <w:szCs w:val="21"/>
                    </w:rPr>
                    <w:t>固废</w:t>
                  </w:r>
                </w:p>
              </w:tc>
              <w:tc>
                <w:tcPr>
                  <w:tcW w:w="505" w:type="pct"/>
                  <w:vMerge w:val="restart"/>
                  <w:tcBorders>
                    <w:tl2br w:val="nil"/>
                    <w:tr2bl w:val="nil"/>
                  </w:tcBorders>
                  <w:noWrap w:val="0"/>
                  <w:vAlign w:val="center"/>
                </w:tcPr>
                <w:p>
                  <w:pPr>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分切、开槽、板材加工、配件加工</w:t>
                  </w:r>
                </w:p>
              </w:tc>
              <w:tc>
                <w:tcPr>
                  <w:tcW w:w="352" w:type="pct"/>
                  <w:vMerge w:val="restar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固态</w:t>
                  </w:r>
                </w:p>
              </w:tc>
              <w:tc>
                <w:tcPr>
                  <w:tcW w:w="649" w:type="pct"/>
                  <w:tcBorders>
                    <w:tl2br w:val="nil"/>
                    <w:tr2bl w:val="nil"/>
                  </w:tcBorders>
                  <w:noWrap w:val="0"/>
                  <w:vAlign w:val="center"/>
                </w:tcPr>
                <w:p>
                  <w:pPr>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废纸</w:t>
                  </w:r>
                </w:p>
              </w:tc>
              <w:tc>
                <w:tcPr>
                  <w:tcW w:w="336" w:type="pct"/>
                  <w:vMerge w:val="restar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400"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04</w:t>
                  </w:r>
                </w:p>
              </w:tc>
              <w:tc>
                <w:tcPr>
                  <w:tcW w:w="618"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223-001-04</w:t>
                  </w:r>
                </w:p>
              </w:tc>
              <w:tc>
                <w:tcPr>
                  <w:tcW w:w="409" w:type="pct"/>
                  <w:vMerge w:val="restar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13.45</w:t>
                  </w:r>
                </w:p>
              </w:tc>
              <w:tc>
                <w:tcPr>
                  <w:tcW w:w="387"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收集后外售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vMerge w:val="continue"/>
                  <w:tcBorders>
                    <w:tl2br w:val="nil"/>
                    <w:tr2bl w:val="nil"/>
                  </w:tcBorders>
                  <w:noWrap w:val="0"/>
                  <w:vAlign w:val="center"/>
                </w:tcPr>
                <w:p>
                  <w:pPr>
                    <w:jc w:val="center"/>
                  </w:pPr>
                </w:p>
              </w:tc>
              <w:tc>
                <w:tcPr>
                  <w:tcW w:w="555" w:type="pct"/>
                  <w:vMerge w:val="continue"/>
                  <w:tcBorders>
                    <w:tl2br w:val="nil"/>
                    <w:tr2bl w:val="nil"/>
                  </w:tcBorders>
                  <w:noWrap w:val="0"/>
                  <w:vAlign w:val="center"/>
                </w:tcPr>
                <w:p>
                  <w:pPr>
                    <w:jc w:val="center"/>
                  </w:pPr>
                </w:p>
              </w:tc>
              <w:tc>
                <w:tcPr>
                  <w:tcW w:w="538" w:type="pct"/>
                  <w:vMerge w:val="continue"/>
                  <w:tcBorders>
                    <w:tl2br w:val="nil"/>
                    <w:tr2bl w:val="nil"/>
                  </w:tcBorders>
                  <w:noWrap w:val="0"/>
                  <w:vAlign w:val="center"/>
                </w:tcPr>
                <w:p>
                  <w:pPr>
                    <w:jc w:val="center"/>
                  </w:pPr>
                </w:p>
              </w:tc>
              <w:tc>
                <w:tcPr>
                  <w:tcW w:w="505" w:type="pct"/>
                  <w:vMerge w:val="continue"/>
                  <w:tcBorders>
                    <w:tl2br w:val="nil"/>
                    <w:tr2bl w:val="nil"/>
                  </w:tcBorders>
                  <w:noWrap w:val="0"/>
                  <w:vAlign w:val="center"/>
                </w:tcPr>
                <w:p>
                  <w:pPr>
                    <w:jc w:val="center"/>
                  </w:pPr>
                </w:p>
              </w:tc>
              <w:tc>
                <w:tcPr>
                  <w:tcW w:w="352" w:type="pct"/>
                  <w:vMerge w:val="continue"/>
                  <w:tcBorders>
                    <w:tl2br w:val="nil"/>
                    <w:tr2bl w:val="nil"/>
                  </w:tcBorders>
                  <w:noWrap w:val="0"/>
                  <w:vAlign w:val="center"/>
                </w:tcPr>
                <w:p>
                  <w:pPr>
                    <w:jc w:val="center"/>
                  </w:pPr>
                </w:p>
              </w:tc>
              <w:tc>
                <w:tcPr>
                  <w:tcW w:w="649" w:type="pct"/>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废木板</w:t>
                  </w:r>
                </w:p>
              </w:tc>
              <w:tc>
                <w:tcPr>
                  <w:tcW w:w="336" w:type="pct"/>
                  <w:vMerge w:val="continue"/>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p>
              </w:tc>
              <w:tc>
                <w:tcPr>
                  <w:tcW w:w="400" w:type="pct"/>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03</w:t>
                  </w:r>
                </w:p>
              </w:tc>
              <w:tc>
                <w:tcPr>
                  <w:tcW w:w="618" w:type="pct"/>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203-005-03</w:t>
                  </w:r>
                </w:p>
              </w:tc>
              <w:tc>
                <w:tcPr>
                  <w:tcW w:w="409" w:type="pct"/>
                  <w:vMerge w:val="continue"/>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p>
              </w:tc>
              <w:tc>
                <w:tcPr>
                  <w:tcW w:w="387" w:type="pct"/>
                  <w:vMerge w:val="continue"/>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vMerge w:val="continue"/>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p>
              </w:tc>
              <w:tc>
                <w:tcPr>
                  <w:tcW w:w="555" w:type="pct"/>
                  <w:vMerge w:val="continue"/>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p>
              </w:tc>
              <w:tc>
                <w:tcPr>
                  <w:tcW w:w="538" w:type="pct"/>
                  <w:vMerge w:val="continue"/>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p>
              </w:tc>
              <w:tc>
                <w:tcPr>
                  <w:tcW w:w="505" w:type="pct"/>
                  <w:vMerge w:val="continue"/>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p>
              </w:tc>
              <w:tc>
                <w:tcPr>
                  <w:tcW w:w="352" w:type="pct"/>
                  <w:vMerge w:val="continue"/>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p>
              </w:tc>
              <w:tc>
                <w:tcPr>
                  <w:tcW w:w="649" w:type="pct"/>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塑料</w:t>
                  </w:r>
                </w:p>
              </w:tc>
              <w:tc>
                <w:tcPr>
                  <w:tcW w:w="336" w:type="pct"/>
                  <w:vMerge w:val="continue"/>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p>
              </w:tc>
              <w:tc>
                <w:tcPr>
                  <w:tcW w:w="400" w:type="pct"/>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06</w:t>
                  </w:r>
                </w:p>
              </w:tc>
              <w:tc>
                <w:tcPr>
                  <w:tcW w:w="618" w:type="pct"/>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292-004-06</w:t>
                  </w:r>
                </w:p>
              </w:tc>
              <w:tc>
                <w:tcPr>
                  <w:tcW w:w="409" w:type="pct"/>
                  <w:vMerge w:val="continue"/>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p>
              </w:tc>
              <w:tc>
                <w:tcPr>
                  <w:tcW w:w="387" w:type="pct"/>
                  <w:vMerge w:val="continue"/>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w:t>
                  </w:r>
                </w:p>
              </w:tc>
              <w:tc>
                <w:tcPr>
                  <w:tcW w:w="555"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一般废包装材料</w:t>
                  </w:r>
                </w:p>
              </w:tc>
              <w:tc>
                <w:tcPr>
                  <w:tcW w:w="538"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一般工业固废</w:t>
                  </w:r>
                </w:p>
              </w:tc>
              <w:tc>
                <w:tcPr>
                  <w:tcW w:w="505"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原辅料包装</w:t>
                  </w:r>
                </w:p>
              </w:tc>
              <w:tc>
                <w:tcPr>
                  <w:tcW w:w="352" w:type="pct"/>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固态</w:t>
                  </w:r>
                </w:p>
              </w:tc>
              <w:tc>
                <w:tcPr>
                  <w:tcW w:w="649" w:type="pct"/>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复合材料</w:t>
                  </w:r>
                </w:p>
              </w:tc>
              <w:tc>
                <w:tcPr>
                  <w:tcW w:w="336" w:type="pct"/>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400"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07</w:t>
                  </w:r>
                </w:p>
              </w:tc>
              <w:tc>
                <w:tcPr>
                  <w:tcW w:w="618"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223-001-07</w:t>
                  </w:r>
                </w:p>
              </w:tc>
              <w:tc>
                <w:tcPr>
                  <w:tcW w:w="409"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387" w:type="pct"/>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w:t>
                  </w:r>
                </w:p>
              </w:tc>
              <w:tc>
                <w:tcPr>
                  <w:tcW w:w="555"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除尘灰</w:t>
                  </w:r>
                </w:p>
              </w:tc>
              <w:tc>
                <w:tcPr>
                  <w:tcW w:w="538"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一般工业固废</w:t>
                  </w:r>
                </w:p>
              </w:tc>
              <w:tc>
                <w:tcPr>
                  <w:tcW w:w="505"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废气处理</w:t>
                  </w:r>
                </w:p>
              </w:tc>
              <w:tc>
                <w:tcPr>
                  <w:tcW w:w="352"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固态</w:t>
                  </w:r>
                </w:p>
              </w:tc>
              <w:tc>
                <w:tcPr>
                  <w:tcW w:w="649"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木粉尘</w:t>
                  </w:r>
                </w:p>
              </w:tc>
              <w:tc>
                <w:tcPr>
                  <w:tcW w:w="336"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w:t>
                  </w:r>
                </w:p>
              </w:tc>
              <w:tc>
                <w:tcPr>
                  <w:tcW w:w="400"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66</w:t>
                  </w:r>
                </w:p>
              </w:tc>
              <w:tc>
                <w:tcPr>
                  <w:tcW w:w="618" w:type="pct"/>
                  <w:tcBorders>
                    <w:tl2br w:val="nil"/>
                    <w:tr2bl w:val="nil"/>
                  </w:tcBorders>
                  <w:noWrap w:val="0"/>
                  <w:vAlign w:val="center"/>
                </w:tcPr>
                <w:p>
                  <w:pPr>
                    <w:jc w:val="center"/>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203-005-66</w:t>
                  </w:r>
                </w:p>
              </w:tc>
              <w:tc>
                <w:tcPr>
                  <w:tcW w:w="409"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0.5198</w:t>
                  </w:r>
                </w:p>
              </w:tc>
              <w:tc>
                <w:tcPr>
                  <w:tcW w:w="387" w:type="pct"/>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w:t>
                  </w:r>
                </w:p>
              </w:tc>
              <w:tc>
                <w:tcPr>
                  <w:tcW w:w="555"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废布袋</w:t>
                  </w:r>
                </w:p>
              </w:tc>
              <w:tc>
                <w:tcPr>
                  <w:tcW w:w="538"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一般工业固废</w:t>
                  </w:r>
                </w:p>
              </w:tc>
              <w:tc>
                <w:tcPr>
                  <w:tcW w:w="505"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废气处理</w:t>
                  </w:r>
                </w:p>
              </w:tc>
              <w:tc>
                <w:tcPr>
                  <w:tcW w:w="352"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固态</w:t>
                  </w:r>
                </w:p>
              </w:tc>
              <w:tc>
                <w:tcPr>
                  <w:tcW w:w="649"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纤维布</w:t>
                  </w:r>
                </w:p>
              </w:tc>
              <w:tc>
                <w:tcPr>
                  <w:tcW w:w="336"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w:t>
                  </w:r>
                </w:p>
              </w:tc>
              <w:tc>
                <w:tcPr>
                  <w:tcW w:w="400"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99</w:t>
                  </w:r>
                </w:p>
              </w:tc>
              <w:tc>
                <w:tcPr>
                  <w:tcW w:w="61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900-999-99</w:t>
                  </w:r>
                </w:p>
              </w:tc>
              <w:tc>
                <w:tcPr>
                  <w:tcW w:w="409"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0.05</w:t>
                  </w:r>
                </w:p>
              </w:tc>
              <w:tc>
                <w:tcPr>
                  <w:tcW w:w="387" w:type="pct"/>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5</w:t>
                  </w:r>
                </w:p>
              </w:tc>
              <w:tc>
                <w:tcPr>
                  <w:tcW w:w="555" w:type="pct"/>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废包装桶</w:t>
                  </w:r>
                </w:p>
              </w:tc>
              <w:tc>
                <w:tcPr>
                  <w:tcW w:w="538" w:type="pct"/>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危险废物</w:t>
                  </w:r>
                </w:p>
              </w:tc>
              <w:tc>
                <w:tcPr>
                  <w:tcW w:w="505" w:type="pct"/>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物料使用</w:t>
                  </w:r>
                </w:p>
              </w:tc>
              <w:tc>
                <w:tcPr>
                  <w:tcW w:w="352" w:type="pct"/>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固态</w:t>
                  </w:r>
                </w:p>
              </w:tc>
              <w:tc>
                <w:tcPr>
                  <w:tcW w:w="649" w:type="pct"/>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铁、</w:t>
                  </w:r>
                  <w:r>
                    <w:rPr>
                      <w:rFonts w:hint="default" w:ascii="Times New Roman" w:hAnsi="Times New Roman" w:cs="Times New Roman"/>
                      <w:color w:val="auto"/>
                      <w:sz w:val="21"/>
                      <w:szCs w:val="21"/>
                      <w:lang w:val="en-US" w:eastAsia="zh-CN"/>
                    </w:rPr>
                    <w:t>塑料、</w:t>
                  </w:r>
                  <w:r>
                    <w:rPr>
                      <w:rFonts w:hint="default" w:ascii="Times New Roman" w:hAnsi="Times New Roman" w:cs="Times New Roman"/>
                      <w:color w:val="auto"/>
                      <w:sz w:val="21"/>
                      <w:szCs w:val="21"/>
                    </w:rPr>
                    <w:t>有机物</w:t>
                  </w:r>
                </w:p>
              </w:tc>
              <w:tc>
                <w:tcPr>
                  <w:tcW w:w="336" w:type="pct"/>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T/In</w:t>
                  </w:r>
                </w:p>
              </w:tc>
              <w:tc>
                <w:tcPr>
                  <w:tcW w:w="400" w:type="pct"/>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HW49</w:t>
                  </w:r>
                </w:p>
              </w:tc>
              <w:tc>
                <w:tcPr>
                  <w:tcW w:w="618" w:type="pct"/>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900-041-49</w:t>
                  </w:r>
                </w:p>
              </w:tc>
              <w:tc>
                <w:tcPr>
                  <w:tcW w:w="409"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0.0</w:t>
                  </w:r>
                  <w:r>
                    <w:rPr>
                      <w:rFonts w:hint="eastAsia" w:cs="Times New Roman"/>
                      <w:color w:val="auto"/>
                      <w:sz w:val="21"/>
                      <w:szCs w:val="21"/>
                      <w:lang w:val="en-US" w:eastAsia="zh-CN"/>
                    </w:rPr>
                    <w:t>875</w:t>
                  </w:r>
                </w:p>
              </w:tc>
              <w:tc>
                <w:tcPr>
                  <w:tcW w:w="387" w:type="pct"/>
                  <w:vMerge w:val="restar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委托有资质单位处置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6</w:t>
                  </w:r>
                </w:p>
              </w:tc>
              <w:tc>
                <w:tcPr>
                  <w:tcW w:w="555" w:type="pct"/>
                  <w:tcBorders>
                    <w:tl2br w:val="nil"/>
                    <w:tr2bl w:val="nil"/>
                  </w:tcBorders>
                  <w:noWrap w:val="0"/>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废活性炭</w:t>
                  </w:r>
                </w:p>
              </w:tc>
              <w:tc>
                <w:tcPr>
                  <w:tcW w:w="538"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w:t>
                  </w:r>
                </w:p>
              </w:tc>
              <w:tc>
                <w:tcPr>
                  <w:tcW w:w="505"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废气处理</w:t>
                  </w:r>
                </w:p>
              </w:tc>
              <w:tc>
                <w:tcPr>
                  <w:tcW w:w="352"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固态</w:t>
                  </w:r>
                </w:p>
              </w:tc>
              <w:tc>
                <w:tcPr>
                  <w:tcW w:w="649" w:type="pct"/>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活性炭、有机物</w:t>
                  </w:r>
                </w:p>
              </w:tc>
              <w:tc>
                <w:tcPr>
                  <w:tcW w:w="336" w:type="pct"/>
                  <w:tcBorders>
                    <w:tl2br w:val="nil"/>
                    <w:tr2bl w:val="nil"/>
                  </w:tcBorders>
                  <w:noWrap w:val="0"/>
                  <w:vAlign w:val="center"/>
                </w:tcPr>
                <w:p>
                  <w:pPr>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rPr>
                    <w:t>T</w:t>
                  </w:r>
                </w:p>
              </w:tc>
              <w:tc>
                <w:tcPr>
                  <w:tcW w:w="400" w:type="pct"/>
                  <w:tcBorders>
                    <w:tl2br w:val="nil"/>
                    <w:tr2bl w:val="nil"/>
                  </w:tcBorders>
                  <w:noWrap w:val="0"/>
                  <w:vAlign w:val="center"/>
                </w:tcPr>
                <w:p>
                  <w:pPr>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rPr>
                    <w:t>HW49</w:t>
                  </w:r>
                </w:p>
              </w:tc>
              <w:tc>
                <w:tcPr>
                  <w:tcW w:w="618" w:type="pct"/>
                  <w:tcBorders>
                    <w:tl2br w:val="nil"/>
                    <w:tr2bl w:val="nil"/>
                  </w:tcBorders>
                  <w:noWrap w:val="0"/>
                  <w:vAlign w:val="center"/>
                </w:tcPr>
                <w:p>
                  <w:pPr>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rPr>
                    <w:t>900-039-49</w:t>
                  </w:r>
                </w:p>
              </w:tc>
              <w:tc>
                <w:tcPr>
                  <w:tcW w:w="409"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3.8498</w:t>
                  </w:r>
                </w:p>
              </w:tc>
              <w:tc>
                <w:tcPr>
                  <w:tcW w:w="387" w:type="pct"/>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7</w:t>
                  </w:r>
                </w:p>
              </w:tc>
              <w:tc>
                <w:tcPr>
                  <w:tcW w:w="555"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ascii="Times New Roman" w:hAnsi="Times New Roman"/>
                      <w:color w:val="auto"/>
                      <w:sz w:val="21"/>
                      <w:szCs w:val="21"/>
                    </w:rPr>
                    <w:t>含油废</w:t>
                  </w:r>
                  <w:r>
                    <w:rPr>
                      <w:rFonts w:hint="eastAsia" w:ascii="Times New Roman" w:hAnsi="Times New Roman"/>
                      <w:color w:val="auto"/>
                      <w:sz w:val="21"/>
                      <w:szCs w:val="21"/>
                      <w:lang w:val="en-US" w:eastAsia="zh-CN"/>
                    </w:rPr>
                    <w:t>液</w:t>
                  </w:r>
                </w:p>
              </w:tc>
              <w:tc>
                <w:tcPr>
                  <w:tcW w:w="538"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ascii="Times New Roman" w:hAnsi="Times New Roman"/>
                      <w:color w:val="auto"/>
                      <w:sz w:val="21"/>
                      <w:szCs w:val="21"/>
                    </w:rPr>
                    <w:t>危险废物</w:t>
                  </w:r>
                </w:p>
              </w:tc>
              <w:tc>
                <w:tcPr>
                  <w:tcW w:w="505" w:type="pct"/>
                  <w:tcBorders>
                    <w:tl2br w:val="nil"/>
                    <w:tr2bl w:val="nil"/>
                  </w:tcBorders>
                  <w:noWrap w:val="0"/>
                  <w:vAlign w:val="center"/>
                </w:tcPr>
                <w:p>
                  <w:pPr>
                    <w:spacing w:line="240" w:lineRule="auto"/>
                    <w:jc w:val="center"/>
                    <w:rPr>
                      <w:rFonts w:hint="eastAsia" w:ascii="Times New Roman" w:hAnsi="Times New Roman" w:cs="Times New Roman"/>
                      <w:color w:val="auto"/>
                      <w:sz w:val="21"/>
                      <w:szCs w:val="21"/>
                      <w:lang w:val="en-US" w:eastAsia="zh-CN"/>
                    </w:rPr>
                  </w:pPr>
                  <w:r>
                    <w:rPr>
                      <w:rFonts w:ascii="Times New Roman" w:hAnsi="Times New Roman"/>
                      <w:color w:val="auto"/>
                      <w:sz w:val="21"/>
                      <w:szCs w:val="21"/>
                    </w:rPr>
                    <w:t>空压机</w:t>
                  </w:r>
                </w:p>
              </w:tc>
              <w:tc>
                <w:tcPr>
                  <w:tcW w:w="35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ascii="Times New Roman" w:hAnsi="Times New Roman"/>
                      <w:color w:val="auto"/>
                      <w:sz w:val="21"/>
                      <w:szCs w:val="21"/>
                    </w:rPr>
                    <w:t>液态</w:t>
                  </w:r>
                </w:p>
              </w:tc>
              <w:tc>
                <w:tcPr>
                  <w:tcW w:w="649" w:type="pct"/>
                  <w:tcBorders>
                    <w:tl2br w:val="nil"/>
                    <w:tr2bl w:val="nil"/>
                  </w:tcBorders>
                  <w:noWrap w:val="0"/>
                  <w:vAlign w:val="center"/>
                </w:tcPr>
                <w:p>
                  <w:pPr>
                    <w:spacing w:line="240" w:lineRule="auto"/>
                    <w:jc w:val="center"/>
                    <w:rPr>
                      <w:rFonts w:hint="eastAsia" w:ascii="Times New Roman" w:hAnsi="Times New Roman" w:cs="Times New Roman"/>
                      <w:color w:val="auto"/>
                      <w:sz w:val="21"/>
                      <w:szCs w:val="21"/>
                      <w:lang w:val="en-US" w:eastAsia="zh-CN"/>
                    </w:rPr>
                  </w:pPr>
                  <w:r>
                    <w:rPr>
                      <w:rFonts w:ascii="Times New Roman" w:hAnsi="Times New Roman"/>
                      <w:color w:val="auto"/>
                      <w:sz w:val="21"/>
                      <w:szCs w:val="21"/>
                    </w:rPr>
                    <w:t>油水混合物</w:t>
                  </w:r>
                </w:p>
              </w:tc>
              <w:tc>
                <w:tcPr>
                  <w:tcW w:w="336"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ascii="Times New Roman" w:hAnsi="Times New Roman" w:eastAsia="宋体" w:cs="Times New Roman"/>
                      <w:color w:val="auto"/>
                      <w:sz w:val="21"/>
                      <w:szCs w:val="21"/>
                    </w:rPr>
                    <w:t>T</w:t>
                  </w:r>
                </w:p>
              </w:tc>
              <w:tc>
                <w:tcPr>
                  <w:tcW w:w="400"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ascii="Times New Roman" w:hAnsi="Times New Roman" w:eastAsia="宋体" w:cs="Times New Roman"/>
                      <w:color w:val="auto"/>
                      <w:sz w:val="21"/>
                      <w:szCs w:val="21"/>
                    </w:rPr>
                    <w:t>HW09</w:t>
                  </w:r>
                </w:p>
              </w:tc>
              <w:tc>
                <w:tcPr>
                  <w:tcW w:w="618"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ascii="Times New Roman" w:hAnsi="Times New Roman" w:eastAsia="宋体" w:cs="Times New Roman"/>
                      <w:color w:val="auto"/>
                      <w:sz w:val="21"/>
                      <w:szCs w:val="21"/>
                    </w:rPr>
                    <w:t>900-007-09</w:t>
                  </w:r>
                </w:p>
              </w:tc>
              <w:tc>
                <w:tcPr>
                  <w:tcW w:w="40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27</w:t>
                  </w:r>
                </w:p>
              </w:tc>
              <w:tc>
                <w:tcPr>
                  <w:tcW w:w="387" w:type="pct"/>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8</w:t>
                  </w:r>
                </w:p>
              </w:tc>
              <w:tc>
                <w:tcPr>
                  <w:tcW w:w="555" w:type="pct"/>
                  <w:tcBorders>
                    <w:tl2br w:val="nil"/>
                    <w:tr2bl w:val="nil"/>
                  </w:tcBorders>
                  <w:noWrap w:val="0"/>
                  <w:vAlign w:val="center"/>
                </w:tcPr>
                <w:p>
                  <w:pPr>
                    <w:spacing w:line="240" w:lineRule="auto"/>
                    <w:jc w:val="center"/>
                    <w:rPr>
                      <w:rFonts w:hint="eastAsia" w:ascii="Times New Roman" w:hAnsi="Times New Roman" w:cs="Times New Roman"/>
                      <w:color w:val="auto"/>
                      <w:sz w:val="21"/>
                      <w:szCs w:val="21"/>
                      <w:lang w:val="en-US" w:eastAsia="zh-CN"/>
                    </w:rPr>
                  </w:pPr>
                  <w:r>
                    <w:rPr>
                      <w:rFonts w:ascii="Times New Roman" w:hAnsi="Times New Roman"/>
                      <w:color w:val="auto"/>
                      <w:sz w:val="21"/>
                      <w:szCs w:val="21"/>
                    </w:rPr>
                    <w:t>废劳保用品</w:t>
                  </w:r>
                </w:p>
              </w:tc>
              <w:tc>
                <w:tcPr>
                  <w:tcW w:w="538"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ascii="Times New Roman" w:hAnsi="Times New Roman"/>
                      <w:color w:val="auto"/>
                      <w:sz w:val="21"/>
                      <w:szCs w:val="21"/>
                    </w:rPr>
                    <w:t>危险废物</w:t>
                  </w:r>
                </w:p>
              </w:tc>
              <w:tc>
                <w:tcPr>
                  <w:tcW w:w="505" w:type="pct"/>
                  <w:tcBorders>
                    <w:tl2br w:val="nil"/>
                    <w:tr2bl w:val="nil"/>
                  </w:tcBorders>
                  <w:noWrap w:val="0"/>
                  <w:vAlign w:val="center"/>
                </w:tcPr>
                <w:p>
                  <w:pPr>
                    <w:spacing w:line="240" w:lineRule="auto"/>
                    <w:jc w:val="center"/>
                    <w:rPr>
                      <w:rFonts w:hint="eastAsia" w:ascii="Times New Roman" w:hAnsi="Times New Roman" w:cs="Times New Roman"/>
                      <w:color w:val="auto"/>
                      <w:sz w:val="21"/>
                      <w:szCs w:val="21"/>
                      <w:lang w:val="en-US" w:eastAsia="zh-CN"/>
                    </w:rPr>
                  </w:pPr>
                  <w:r>
                    <w:rPr>
                      <w:rFonts w:hint="eastAsia"/>
                      <w:color w:val="auto"/>
                      <w:sz w:val="21"/>
                      <w:szCs w:val="21"/>
                      <w:lang w:val="en-US" w:eastAsia="zh-CN"/>
                    </w:rPr>
                    <w:t>员工生产</w:t>
                  </w:r>
                </w:p>
              </w:tc>
              <w:tc>
                <w:tcPr>
                  <w:tcW w:w="35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ascii="Times New Roman" w:hAnsi="Times New Roman"/>
                      <w:color w:val="auto"/>
                      <w:sz w:val="21"/>
                      <w:szCs w:val="21"/>
                    </w:rPr>
                    <w:t>固态</w:t>
                  </w:r>
                </w:p>
              </w:tc>
              <w:tc>
                <w:tcPr>
                  <w:tcW w:w="649" w:type="pct"/>
                  <w:tcBorders>
                    <w:tl2br w:val="nil"/>
                    <w:tr2bl w:val="nil"/>
                  </w:tcBorders>
                  <w:noWrap w:val="0"/>
                  <w:vAlign w:val="center"/>
                </w:tcPr>
                <w:p>
                  <w:pPr>
                    <w:spacing w:line="240" w:lineRule="auto"/>
                    <w:jc w:val="center"/>
                    <w:rPr>
                      <w:rFonts w:hint="eastAsia" w:ascii="Times New Roman" w:hAnsi="Times New Roman" w:cs="Times New Roman"/>
                      <w:color w:val="auto"/>
                      <w:sz w:val="21"/>
                      <w:szCs w:val="21"/>
                      <w:lang w:val="en-US" w:eastAsia="zh-CN"/>
                    </w:rPr>
                  </w:pPr>
                  <w:r>
                    <w:rPr>
                      <w:rFonts w:ascii="Times New Roman" w:hAnsi="Times New Roman"/>
                      <w:color w:val="auto"/>
                      <w:sz w:val="21"/>
                      <w:szCs w:val="21"/>
                    </w:rPr>
                    <w:t>含油抹布、手套</w:t>
                  </w:r>
                </w:p>
              </w:tc>
              <w:tc>
                <w:tcPr>
                  <w:tcW w:w="336"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ascii="Times New Roman" w:hAnsi="Times New Roman" w:eastAsia="宋体" w:cs="Times New Roman"/>
                      <w:color w:val="auto"/>
                      <w:sz w:val="21"/>
                      <w:szCs w:val="21"/>
                    </w:rPr>
                    <w:t>T</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In</w:t>
                  </w:r>
                </w:p>
              </w:tc>
              <w:tc>
                <w:tcPr>
                  <w:tcW w:w="400"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ascii="Times New Roman" w:hAnsi="Times New Roman" w:eastAsia="宋体" w:cs="Times New Roman"/>
                      <w:color w:val="auto"/>
                      <w:sz w:val="21"/>
                      <w:szCs w:val="21"/>
                    </w:rPr>
                    <w:t>HW49</w:t>
                  </w:r>
                </w:p>
              </w:tc>
              <w:tc>
                <w:tcPr>
                  <w:tcW w:w="618"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ascii="Times New Roman" w:hAnsi="Times New Roman" w:eastAsia="宋体" w:cs="Times New Roman"/>
                      <w:color w:val="auto"/>
                      <w:sz w:val="21"/>
                      <w:szCs w:val="21"/>
                    </w:rPr>
                    <w:t>900-041-49</w:t>
                  </w:r>
                </w:p>
              </w:tc>
              <w:tc>
                <w:tcPr>
                  <w:tcW w:w="40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w:t>
                  </w:r>
                </w:p>
              </w:tc>
              <w:tc>
                <w:tcPr>
                  <w:tcW w:w="387" w:type="pct"/>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9</w:t>
                  </w:r>
                </w:p>
              </w:tc>
              <w:tc>
                <w:tcPr>
                  <w:tcW w:w="55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21"/>
                      <w:szCs w:val="21"/>
                      <w:lang w:val="en-US" w:eastAsia="zh-CN"/>
                    </w:rPr>
                  </w:pPr>
                  <w:r>
                    <w:rPr>
                      <w:rFonts w:hint="eastAsia"/>
                      <w:color w:val="auto"/>
                      <w:sz w:val="21"/>
                      <w:szCs w:val="21"/>
                      <w:lang w:val="en-US" w:eastAsia="zh-CN"/>
                    </w:rPr>
                    <w:t>废润滑油</w:t>
                  </w:r>
                </w:p>
              </w:tc>
              <w:tc>
                <w:tcPr>
                  <w:tcW w:w="5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olor w:val="auto"/>
                      <w:sz w:val="21"/>
                      <w:szCs w:val="21"/>
                    </w:rPr>
                    <w:t>危险废物</w:t>
                  </w:r>
                </w:p>
              </w:tc>
              <w:tc>
                <w:tcPr>
                  <w:tcW w:w="50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21"/>
                      <w:szCs w:val="21"/>
                      <w:lang w:val="en-US" w:eastAsia="zh-CN"/>
                    </w:rPr>
                  </w:pPr>
                  <w:r>
                    <w:rPr>
                      <w:rFonts w:hint="eastAsia"/>
                      <w:color w:val="auto"/>
                      <w:sz w:val="21"/>
                      <w:szCs w:val="21"/>
                      <w:lang w:val="en-US" w:eastAsia="zh-CN"/>
                    </w:rPr>
                    <w:t>维护保养</w:t>
                  </w:r>
                </w:p>
              </w:tc>
              <w:tc>
                <w:tcPr>
                  <w:tcW w:w="35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eastAsia"/>
                      <w:color w:val="auto"/>
                      <w:sz w:val="21"/>
                      <w:szCs w:val="21"/>
                      <w:lang w:val="en-US" w:eastAsia="zh-CN"/>
                    </w:rPr>
                    <w:t>液态</w:t>
                  </w:r>
                </w:p>
              </w:tc>
              <w:tc>
                <w:tcPr>
                  <w:tcW w:w="649"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olor w:val="auto"/>
                      <w:kern w:val="2"/>
                      <w:sz w:val="21"/>
                      <w:szCs w:val="21"/>
                      <w:lang w:val="en-US" w:eastAsia="zh-CN" w:bidi="ar-SA"/>
                    </w:rPr>
                    <w:t>矿物油</w:t>
                  </w:r>
                </w:p>
              </w:tc>
              <w:tc>
                <w:tcPr>
                  <w:tcW w:w="336"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rPr>
                    <w:t>T</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rPr>
                    <w:t>I</w:t>
                  </w:r>
                </w:p>
              </w:tc>
              <w:tc>
                <w:tcPr>
                  <w:tcW w:w="400"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HW</w:t>
                  </w:r>
                  <w:r>
                    <w:rPr>
                      <w:rFonts w:hint="default" w:ascii="Times New Roman" w:hAnsi="Times New Roman" w:eastAsia="宋体" w:cs="Times New Roman"/>
                      <w:color w:val="auto"/>
                      <w:sz w:val="21"/>
                      <w:szCs w:val="21"/>
                      <w:lang w:val="en-US" w:eastAsia="zh-CN"/>
                    </w:rPr>
                    <w:t>08</w:t>
                  </w:r>
                </w:p>
              </w:tc>
              <w:tc>
                <w:tcPr>
                  <w:tcW w:w="61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eastAsia="zh-CN"/>
                    </w:rPr>
                    <w:t>900-217-08</w:t>
                  </w:r>
                </w:p>
              </w:tc>
              <w:tc>
                <w:tcPr>
                  <w:tcW w:w="40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0018</w:t>
                  </w:r>
                </w:p>
              </w:tc>
              <w:tc>
                <w:tcPr>
                  <w:tcW w:w="387" w:type="pct"/>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10</w:t>
                  </w:r>
                </w:p>
              </w:tc>
              <w:tc>
                <w:tcPr>
                  <w:tcW w:w="55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21"/>
                      <w:szCs w:val="21"/>
                      <w:lang w:val="en-US" w:eastAsia="zh-CN"/>
                    </w:rPr>
                  </w:pPr>
                  <w:r>
                    <w:rPr>
                      <w:rFonts w:hint="eastAsia"/>
                      <w:color w:val="auto"/>
                      <w:sz w:val="21"/>
                      <w:szCs w:val="21"/>
                      <w:lang w:val="en-US" w:eastAsia="zh-CN"/>
                    </w:rPr>
                    <w:t>废润滑油桶</w:t>
                  </w:r>
                </w:p>
              </w:tc>
              <w:tc>
                <w:tcPr>
                  <w:tcW w:w="5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olor w:val="auto"/>
                      <w:sz w:val="21"/>
                      <w:szCs w:val="21"/>
                    </w:rPr>
                    <w:t>危险废物</w:t>
                  </w:r>
                </w:p>
              </w:tc>
              <w:tc>
                <w:tcPr>
                  <w:tcW w:w="50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21"/>
                      <w:szCs w:val="21"/>
                      <w:lang w:val="en-US" w:eastAsia="zh-CN"/>
                    </w:rPr>
                  </w:pPr>
                  <w:r>
                    <w:rPr>
                      <w:rFonts w:hint="eastAsia"/>
                      <w:color w:val="auto"/>
                      <w:sz w:val="21"/>
                      <w:szCs w:val="21"/>
                      <w:lang w:val="en-US" w:eastAsia="zh-CN"/>
                    </w:rPr>
                    <w:t>维护保养</w:t>
                  </w:r>
                </w:p>
              </w:tc>
              <w:tc>
                <w:tcPr>
                  <w:tcW w:w="35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eastAsia"/>
                      <w:color w:val="auto"/>
                      <w:sz w:val="21"/>
                      <w:szCs w:val="21"/>
                      <w:lang w:val="en-US" w:eastAsia="zh-CN"/>
                    </w:rPr>
                    <w:t>固态</w:t>
                  </w:r>
                </w:p>
              </w:tc>
              <w:tc>
                <w:tcPr>
                  <w:tcW w:w="649"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olor w:val="auto"/>
                      <w:sz w:val="21"/>
                      <w:szCs w:val="21"/>
                      <w:lang w:val="en-US" w:eastAsia="zh-CN"/>
                    </w:rPr>
                    <w:t>塑料、矿物油</w:t>
                  </w:r>
                </w:p>
              </w:tc>
              <w:tc>
                <w:tcPr>
                  <w:tcW w:w="336"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T，I</w:t>
                  </w:r>
                </w:p>
              </w:tc>
              <w:tc>
                <w:tcPr>
                  <w:tcW w:w="400"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HW08</w:t>
                  </w:r>
                </w:p>
              </w:tc>
              <w:tc>
                <w:tcPr>
                  <w:tcW w:w="61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900-249-08</w:t>
                  </w:r>
                </w:p>
              </w:tc>
              <w:tc>
                <w:tcPr>
                  <w:tcW w:w="40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w:t>
                  </w:r>
                  <w:r>
                    <w:rPr>
                      <w:rFonts w:hint="eastAsia" w:ascii="Times New Roman" w:cs="Times New Roman"/>
                      <w:color w:val="auto"/>
                      <w:sz w:val="21"/>
                      <w:szCs w:val="21"/>
                      <w:lang w:val="en-US" w:eastAsia="zh-CN"/>
                    </w:rPr>
                    <w:t>0</w:t>
                  </w:r>
                  <w:r>
                    <w:rPr>
                      <w:rFonts w:hint="eastAsia" w:cs="Times New Roman"/>
                      <w:color w:val="auto"/>
                      <w:sz w:val="21"/>
                      <w:szCs w:val="21"/>
                      <w:lang w:val="en-US" w:eastAsia="zh-CN"/>
                    </w:rPr>
                    <w:t>05</w:t>
                  </w:r>
                </w:p>
              </w:tc>
              <w:tc>
                <w:tcPr>
                  <w:tcW w:w="387" w:type="pct"/>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tcBorders>
                    <w:tl2br w:val="nil"/>
                    <w:tr2bl w:val="nil"/>
                  </w:tcBorders>
                  <w:noWrap w:val="0"/>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11</w:t>
                  </w:r>
                </w:p>
              </w:tc>
              <w:tc>
                <w:tcPr>
                  <w:tcW w:w="55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清洗废液</w:t>
                  </w:r>
                </w:p>
              </w:tc>
              <w:tc>
                <w:tcPr>
                  <w:tcW w:w="5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olor w:val="auto"/>
                      <w:sz w:val="21"/>
                      <w:szCs w:val="21"/>
                      <w:lang w:val="en-US" w:eastAsia="zh-CN"/>
                    </w:rPr>
                  </w:pPr>
                  <w:r>
                    <w:rPr>
                      <w:rFonts w:hint="eastAsia"/>
                      <w:color w:val="auto"/>
                      <w:sz w:val="21"/>
                      <w:szCs w:val="21"/>
                      <w:lang w:val="en-US" w:eastAsia="zh-CN"/>
                    </w:rPr>
                    <w:t>危险废物</w:t>
                  </w:r>
                </w:p>
              </w:tc>
              <w:tc>
                <w:tcPr>
                  <w:tcW w:w="50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设备清洗</w:t>
                  </w:r>
                </w:p>
              </w:tc>
              <w:tc>
                <w:tcPr>
                  <w:tcW w:w="35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液态</w:t>
                  </w:r>
                </w:p>
              </w:tc>
              <w:tc>
                <w:tcPr>
                  <w:tcW w:w="649"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default" w:ascii="Times New Roman" w:hAnsi="Times New Roman"/>
                      <w:color w:val="auto"/>
                      <w:sz w:val="21"/>
                      <w:szCs w:val="21"/>
                      <w:lang w:val="en-US" w:eastAsia="zh-CN"/>
                    </w:rPr>
                  </w:pPr>
                  <w:r>
                    <w:rPr>
                      <w:rFonts w:hint="eastAsia"/>
                      <w:color w:val="auto"/>
                      <w:sz w:val="21"/>
                      <w:szCs w:val="21"/>
                      <w:lang w:val="en-US" w:eastAsia="zh-CN"/>
                    </w:rPr>
                    <w:t>油墨</w:t>
                  </w:r>
                </w:p>
              </w:tc>
              <w:tc>
                <w:tcPr>
                  <w:tcW w:w="336"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T/In</w:t>
                  </w:r>
                </w:p>
              </w:tc>
              <w:tc>
                <w:tcPr>
                  <w:tcW w:w="400"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HW49</w:t>
                  </w:r>
                </w:p>
              </w:tc>
              <w:tc>
                <w:tcPr>
                  <w:tcW w:w="61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900-041-49</w:t>
                  </w:r>
                </w:p>
              </w:tc>
              <w:tc>
                <w:tcPr>
                  <w:tcW w:w="40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5</w:t>
                  </w:r>
                </w:p>
              </w:tc>
              <w:tc>
                <w:tcPr>
                  <w:tcW w:w="387" w:type="pct"/>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w:t>
                  </w:r>
                </w:p>
              </w:tc>
              <w:tc>
                <w:tcPr>
                  <w:tcW w:w="555"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生活垃圾</w:t>
                  </w:r>
                </w:p>
              </w:tc>
              <w:tc>
                <w:tcPr>
                  <w:tcW w:w="538" w:type="pct"/>
                  <w:tcBorders>
                    <w:tl2br w:val="nil"/>
                    <w:tr2bl w:val="nil"/>
                  </w:tcBorders>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一般固废</w:t>
                  </w:r>
                </w:p>
              </w:tc>
              <w:tc>
                <w:tcPr>
                  <w:tcW w:w="505"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办公生活</w:t>
                  </w:r>
                </w:p>
              </w:tc>
              <w:tc>
                <w:tcPr>
                  <w:tcW w:w="352"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固态</w:t>
                  </w:r>
                </w:p>
              </w:tc>
              <w:tc>
                <w:tcPr>
                  <w:tcW w:w="649"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纸屑、果皮等</w:t>
                  </w:r>
                </w:p>
              </w:tc>
              <w:tc>
                <w:tcPr>
                  <w:tcW w:w="336"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400"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99</w:t>
                  </w:r>
                </w:p>
              </w:tc>
              <w:tc>
                <w:tcPr>
                  <w:tcW w:w="618"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900-999-99</w:t>
                  </w:r>
                </w:p>
              </w:tc>
              <w:tc>
                <w:tcPr>
                  <w:tcW w:w="409"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3.125</w:t>
                  </w:r>
                </w:p>
              </w:tc>
              <w:tc>
                <w:tcPr>
                  <w:tcW w:w="387"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环卫清运</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本项目运营期危险废物统计情况汇总如下。</w:t>
            </w:r>
          </w:p>
          <w:p>
            <w:pPr>
              <w:spacing w:line="50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表4-</w:t>
            </w:r>
            <w:r>
              <w:rPr>
                <w:rFonts w:hint="eastAsia" w:ascii="Times New Roman" w:hAnsi="Times New Roman" w:cs="Times New Roman"/>
                <w:b/>
                <w:color w:val="auto"/>
                <w:sz w:val="24"/>
                <w:szCs w:val="24"/>
                <w:highlight w:val="none"/>
                <w:lang w:val="en-US" w:eastAsia="zh-CN"/>
              </w:rPr>
              <w:t>2</w:t>
            </w:r>
            <w:r>
              <w:rPr>
                <w:rFonts w:hint="eastAsia" w:cs="Times New Roman"/>
                <w:b/>
                <w:color w:val="auto"/>
                <w:sz w:val="24"/>
                <w:szCs w:val="24"/>
                <w:highlight w:val="none"/>
                <w:lang w:val="en-US" w:eastAsia="zh-CN"/>
              </w:rPr>
              <w:t>5</w:t>
            </w:r>
            <w:r>
              <w:rPr>
                <w:rFonts w:hint="default" w:ascii="Times New Roman" w:hAnsi="Times New Roman" w:cs="Times New Roman"/>
                <w:b/>
                <w:color w:val="auto"/>
                <w:sz w:val="24"/>
                <w:szCs w:val="24"/>
                <w:highlight w:val="none"/>
              </w:rPr>
              <w:t xml:space="preserve">  本项目危险废物汇总表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43"/>
              <w:gridCol w:w="1107"/>
              <w:gridCol w:w="704"/>
              <w:gridCol w:w="1064"/>
              <w:gridCol w:w="693"/>
              <w:gridCol w:w="894"/>
              <w:gridCol w:w="553"/>
              <w:gridCol w:w="1333"/>
              <w:gridCol w:w="694"/>
              <w:gridCol w:w="610"/>
              <w:gridCol w:w="5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3" w:type="dxa"/>
                  <w:tcBorders>
                    <w:tl2br w:val="nil"/>
                    <w:tr2bl w:val="nil"/>
                  </w:tcBorders>
                  <w:noWrap w:val="0"/>
                  <w:vAlign w:val="center"/>
                </w:tcPr>
                <w:p>
                  <w:pPr>
                    <w:widowControl/>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107" w:type="dxa"/>
                  <w:tcBorders>
                    <w:tl2br w:val="nil"/>
                    <w:tr2bl w:val="nil"/>
                  </w:tcBorders>
                  <w:noWrap w:val="0"/>
                  <w:vAlign w:val="center"/>
                </w:tcPr>
                <w:p>
                  <w:pPr>
                    <w:widowControl/>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w:t>
                  </w:r>
                </w:p>
                <w:p>
                  <w:pPr>
                    <w:widowControl/>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w:t>
                  </w:r>
                </w:p>
              </w:tc>
              <w:tc>
                <w:tcPr>
                  <w:tcW w:w="704" w:type="dxa"/>
                  <w:tcBorders>
                    <w:tl2br w:val="nil"/>
                    <w:tr2bl w:val="nil"/>
                  </w:tcBorders>
                  <w:noWrap w:val="0"/>
                  <w:vAlign w:val="center"/>
                </w:tcPr>
                <w:p>
                  <w:pPr>
                    <w:widowControl/>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危险废物类别</w:t>
                  </w:r>
                </w:p>
              </w:tc>
              <w:tc>
                <w:tcPr>
                  <w:tcW w:w="1064" w:type="dxa"/>
                  <w:tcBorders>
                    <w:tl2br w:val="nil"/>
                    <w:tr2bl w:val="nil"/>
                  </w:tcBorders>
                  <w:noWrap w:val="0"/>
                  <w:vAlign w:val="center"/>
                </w:tcPr>
                <w:p>
                  <w:pPr>
                    <w:widowControl/>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废物代码</w:t>
                  </w:r>
                </w:p>
              </w:tc>
              <w:tc>
                <w:tcPr>
                  <w:tcW w:w="693" w:type="dxa"/>
                  <w:tcBorders>
                    <w:tl2br w:val="nil"/>
                    <w:tr2bl w:val="nil"/>
                  </w:tcBorders>
                  <w:noWrap w:val="0"/>
                  <w:vAlign w:val="center"/>
                </w:tcPr>
                <w:p>
                  <w:pPr>
                    <w:widowControl/>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产生量（t/a）</w:t>
                  </w:r>
                </w:p>
              </w:tc>
              <w:tc>
                <w:tcPr>
                  <w:tcW w:w="894" w:type="dxa"/>
                  <w:tcBorders>
                    <w:tl2br w:val="nil"/>
                    <w:tr2bl w:val="nil"/>
                  </w:tcBorders>
                  <w:noWrap w:val="0"/>
                  <w:vAlign w:val="center"/>
                </w:tcPr>
                <w:p>
                  <w:pPr>
                    <w:widowControl/>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产生工序</w:t>
                  </w:r>
                </w:p>
              </w:tc>
              <w:tc>
                <w:tcPr>
                  <w:tcW w:w="553" w:type="dxa"/>
                  <w:tcBorders>
                    <w:tl2br w:val="nil"/>
                    <w:tr2bl w:val="nil"/>
                  </w:tcBorders>
                  <w:noWrap w:val="0"/>
                  <w:vAlign w:val="center"/>
                </w:tcPr>
                <w:p>
                  <w:pPr>
                    <w:widowControl/>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形态</w:t>
                  </w:r>
                </w:p>
              </w:tc>
              <w:tc>
                <w:tcPr>
                  <w:tcW w:w="1333" w:type="dxa"/>
                  <w:tcBorders>
                    <w:tl2br w:val="nil"/>
                    <w:tr2bl w:val="nil"/>
                  </w:tcBorders>
                  <w:noWrap w:val="0"/>
                  <w:vAlign w:val="center"/>
                </w:tcPr>
                <w:p>
                  <w:pPr>
                    <w:widowControl/>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主要成分</w:t>
                  </w:r>
                </w:p>
              </w:tc>
              <w:tc>
                <w:tcPr>
                  <w:tcW w:w="694" w:type="dxa"/>
                  <w:tcBorders>
                    <w:tl2br w:val="nil"/>
                    <w:tr2bl w:val="nil"/>
                  </w:tcBorders>
                  <w:noWrap w:val="0"/>
                  <w:vAlign w:val="center"/>
                </w:tcPr>
                <w:p>
                  <w:pPr>
                    <w:widowControl/>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有害</w:t>
                  </w:r>
                </w:p>
                <w:p>
                  <w:pPr>
                    <w:widowControl/>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成分</w:t>
                  </w:r>
                </w:p>
              </w:tc>
              <w:tc>
                <w:tcPr>
                  <w:tcW w:w="610" w:type="dxa"/>
                  <w:tcBorders>
                    <w:tl2br w:val="nil"/>
                    <w:tr2bl w:val="nil"/>
                  </w:tcBorders>
                  <w:noWrap w:val="0"/>
                  <w:vAlign w:val="center"/>
                </w:tcPr>
                <w:p>
                  <w:pPr>
                    <w:widowControl/>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产废周期</w:t>
                  </w:r>
                </w:p>
              </w:tc>
              <w:tc>
                <w:tcPr>
                  <w:tcW w:w="509" w:type="dxa"/>
                  <w:tcBorders>
                    <w:tl2br w:val="nil"/>
                    <w:tr2bl w:val="nil"/>
                  </w:tcBorders>
                  <w:noWrap w:val="0"/>
                  <w:vAlign w:val="center"/>
                </w:tcPr>
                <w:p>
                  <w:pPr>
                    <w:widowControl/>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危险特性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3" w:type="dxa"/>
                  <w:tcBorders>
                    <w:tl2br w:val="nil"/>
                    <w:tr2bl w:val="nil"/>
                  </w:tcBorders>
                  <w:noWrap w:val="0"/>
                  <w:vAlign w:val="center"/>
                </w:tcPr>
                <w:p>
                  <w:pPr>
                    <w:widowControl/>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w:t>
                  </w:r>
                </w:p>
              </w:tc>
              <w:tc>
                <w:tcPr>
                  <w:tcW w:w="1107" w:type="dxa"/>
                  <w:tcBorders>
                    <w:tl2br w:val="nil"/>
                    <w:tr2bl w:val="nil"/>
                  </w:tcBorders>
                  <w:noWrap w:val="0"/>
                  <w:vAlign w:val="center"/>
                </w:tcPr>
                <w:p>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废包装桶</w:t>
                  </w:r>
                </w:p>
              </w:tc>
              <w:tc>
                <w:tcPr>
                  <w:tcW w:w="704" w:type="dxa"/>
                  <w:tcBorders>
                    <w:tl2br w:val="nil"/>
                    <w:tr2bl w:val="nil"/>
                  </w:tcBorders>
                  <w:noWrap w:val="0"/>
                  <w:vAlign w:val="center"/>
                </w:tcPr>
                <w:p>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HW49</w:t>
                  </w:r>
                </w:p>
              </w:tc>
              <w:tc>
                <w:tcPr>
                  <w:tcW w:w="1064" w:type="dxa"/>
                  <w:tcBorders>
                    <w:tl2br w:val="nil"/>
                    <w:tr2bl w:val="nil"/>
                  </w:tcBorders>
                  <w:noWrap w:val="0"/>
                  <w:vAlign w:val="center"/>
                </w:tcPr>
                <w:p>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900-041-49</w:t>
                  </w:r>
                </w:p>
              </w:tc>
              <w:tc>
                <w:tcPr>
                  <w:tcW w:w="69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0.0875</w:t>
                  </w:r>
                </w:p>
              </w:tc>
              <w:tc>
                <w:tcPr>
                  <w:tcW w:w="894" w:type="dxa"/>
                  <w:tcBorders>
                    <w:tl2br w:val="nil"/>
                    <w:tr2bl w:val="nil"/>
                  </w:tcBorders>
                  <w:noWrap w:val="0"/>
                  <w:vAlign w:val="center"/>
                </w:tcPr>
                <w:p>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物料使用</w:t>
                  </w:r>
                </w:p>
              </w:tc>
              <w:tc>
                <w:tcPr>
                  <w:tcW w:w="553" w:type="dxa"/>
                  <w:tcBorders>
                    <w:tl2br w:val="nil"/>
                    <w:tr2bl w:val="nil"/>
                  </w:tcBorders>
                  <w:noWrap w:val="0"/>
                  <w:vAlign w:val="center"/>
                </w:tcPr>
                <w:p>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固态</w:t>
                  </w:r>
                </w:p>
              </w:tc>
              <w:tc>
                <w:tcPr>
                  <w:tcW w:w="1333" w:type="dxa"/>
                  <w:tcBorders>
                    <w:tl2br w:val="nil"/>
                    <w:tr2bl w:val="nil"/>
                  </w:tcBorders>
                  <w:noWrap w:val="0"/>
                  <w:vAlign w:val="center"/>
                </w:tcPr>
                <w:p>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铁、</w:t>
                  </w:r>
                  <w:r>
                    <w:rPr>
                      <w:rFonts w:hint="default" w:ascii="Times New Roman" w:hAnsi="Times New Roman" w:cs="Times New Roman"/>
                      <w:color w:val="auto"/>
                      <w:sz w:val="21"/>
                      <w:szCs w:val="21"/>
                      <w:highlight w:val="none"/>
                      <w:lang w:val="en-US" w:eastAsia="zh-CN"/>
                    </w:rPr>
                    <w:t>塑料、</w:t>
                  </w:r>
                  <w:r>
                    <w:rPr>
                      <w:rFonts w:hint="default" w:ascii="Times New Roman" w:hAnsi="Times New Roman" w:cs="Times New Roman"/>
                      <w:color w:val="auto"/>
                      <w:sz w:val="21"/>
                      <w:szCs w:val="21"/>
                      <w:highlight w:val="none"/>
                    </w:rPr>
                    <w:t>有机物</w:t>
                  </w:r>
                </w:p>
              </w:tc>
              <w:tc>
                <w:tcPr>
                  <w:tcW w:w="694" w:type="dxa"/>
                  <w:tcBorders>
                    <w:tl2br w:val="nil"/>
                    <w:tr2bl w:val="nil"/>
                  </w:tcBorders>
                  <w:noWrap w:val="0"/>
                  <w:vAlign w:val="center"/>
                </w:tcPr>
                <w:p>
                  <w:pPr>
                    <w:widowControl/>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有机物</w:t>
                  </w:r>
                </w:p>
              </w:tc>
              <w:tc>
                <w:tcPr>
                  <w:tcW w:w="610" w:type="dxa"/>
                  <w:tcBorders>
                    <w:tl2br w:val="nil"/>
                    <w:tr2bl w:val="nil"/>
                  </w:tcBorders>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d</w:t>
                  </w:r>
                </w:p>
              </w:tc>
              <w:tc>
                <w:tcPr>
                  <w:tcW w:w="509" w:type="dxa"/>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T/In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3" w:type="dxa"/>
                  <w:tcBorders>
                    <w:tl2br w:val="nil"/>
                    <w:tr2bl w:val="nil"/>
                  </w:tcBorders>
                  <w:noWrap w:val="0"/>
                  <w:vAlign w:val="center"/>
                </w:tcPr>
                <w:p>
                  <w:pPr>
                    <w:widowControl/>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2</w:t>
                  </w:r>
                </w:p>
              </w:tc>
              <w:tc>
                <w:tcPr>
                  <w:tcW w:w="1107" w:type="dxa"/>
                  <w:tcBorders>
                    <w:tl2br w:val="nil"/>
                    <w:tr2bl w:val="nil"/>
                  </w:tcBorders>
                  <w:noWrap w:val="0"/>
                  <w:vAlign w:val="center"/>
                </w:tcPr>
                <w:p>
                  <w:pPr>
                    <w:widowControl/>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废活性炭</w:t>
                  </w:r>
                </w:p>
              </w:tc>
              <w:tc>
                <w:tcPr>
                  <w:tcW w:w="704" w:type="dxa"/>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HW49</w:t>
                  </w:r>
                </w:p>
              </w:tc>
              <w:tc>
                <w:tcPr>
                  <w:tcW w:w="1064" w:type="dxa"/>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900-039-49</w:t>
                  </w:r>
                </w:p>
              </w:tc>
              <w:tc>
                <w:tcPr>
                  <w:tcW w:w="69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3.8498</w:t>
                  </w:r>
                </w:p>
              </w:tc>
              <w:tc>
                <w:tcPr>
                  <w:tcW w:w="894" w:type="dxa"/>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废气处理</w:t>
                  </w:r>
                </w:p>
              </w:tc>
              <w:tc>
                <w:tcPr>
                  <w:tcW w:w="553" w:type="dxa"/>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固态</w:t>
                  </w:r>
                </w:p>
              </w:tc>
              <w:tc>
                <w:tcPr>
                  <w:tcW w:w="1333" w:type="dxa"/>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活性炭、有机物</w:t>
                  </w:r>
                </w:p>
              </w:tc>
              <w:tc>
                <w:tcPr>
                  <w:tcW w:w="694" w:type="dxa"/>
                  <w:tcBorders>
                    <w:tl2br w:val="nil"/>
                    <w:tr2bl w:val="nil"/>
                  </w:tcBorders>
                  <w:noWrap w:val="0"/>
                  <w:vAlign w:val="center"/>
                </w:tcPr>
                <w:p>
                  <w:pPr>
                    <w:widowControl/>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有机物</w:t>
                  </w:r>
                </w:p>
              </w:tc>
              <w:tc>
                <w:tcPr>
                  <w:tcW w:w="610" w:type="dxa"/>
                  <w:tcBorders>
                    <w:tl2br w:val="nil"/>
                    <w:tr2bl w:val="nil"/>
                  </w:tcBorders>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w:t>
                  </w:r>
                  <w:r>
                    <w:rPr>
                      <w:rFonts w:hint="default" w:ascii="Times New Roman" w:hAnsi="Times New Roman" w:cs="Times New Roman"/>
                      <w:color w:val="auto"/>
                      <w:sz w:val="21"/>
                      <w:szCs w:val="21"/>
                      <w:highlight w:val="none"/>
                      <w:lang w:val="en-US" w:eastAsia="zh-CN"/>
                    </w:rPr>
                    <w:t>个月</w:t>
                  </w:r>
                </w:p>
              </w:tc>
              <w:tc>
                <w:tcPr>
                  <w:tcW w:w="509" w:type="dxa"/>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3" w:type="dxa"/>
                  <w:tcBorders>
                    <w:tl2br w:val="nil"/>
                    <w:tr2bl w:val="nil"/>
                  </w:tcBorders>
                  <w:noWrap w:val="0"/>
                  <w:vAlign w:val="center"/>
                </w:tcPr>
                <w:p>
                  <w:pPr>
                    <w:widowControl/>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3</w:t>
                  </w:r>
                </w:p>
              </w:tc>
              <w:tc>
                <w:tcPr>
                  <w:tcW w:w="1107" w:type="dxa"/>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ascii="Times New Roman" w:hAnsi="Times New Roman"/>
                      <w:color w:val="auto"/>
                      <w:sz w:val="21"/>
                      <w:szCs w:val="21"/>
                    </w:rPr>
                    <w:t>含油废</w:t>
                  </w:r>
                  <w:r>
                    <w:rPr>
                      <w:rFonts w:hint="eastAsia" w:ascii="Times New Roman" w:hAnsi="Times New Roman"/>
                      <w:color w:val="auto"/>
                      <w:sz w:val="21"/>
                      <w:szCs w:val="21"/>
                      <w:lang w:val="en-US" w:eastAsia="zh-CN"/>
                    </w:rPr>
                    <w:t>液</w:t>
                  </w:r>
                </w:p>
              </w:tc>
              <w:tc>
                <w:tcPr>
                  <w:tcW w:w="704"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ascii="Times New Roman" w:hAnsi="Times New Roman"/>
                      <w:color w:val="auto"/>
                      <w:sz w:val="21"/>
                      <w:szCs w:val="21"/>
                    </w:rPr>
                    <w:t>HW09</w:t>
                  </w:r>
                </w:p>
              </w:tc>
              <w:tc>
                <w:tcPr>
                  <w:tcW w:w="1064"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ascii="Times New Roman" w:hAnsi="Times New Roman"/>
                      <w:color w:val="auto"/>
                      <w:sz w:val="21"/>
                      <w:szCs w:val="21"/>
                    </w:rPr>
                    <w:t>900-007-09</w:t>
                  </w:r>
                </w:p>
              </w:tc>
              <w:tc>
                <w:tcPr>
                  <w:tcW w:w="693"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27</w:t>
                  </w:r>
                </w:p>
              </w:tc>
              <w:tc>
                <w:tcPr>
                  <w:tcW w:w="894" w:type="dxa"/>
                  <w:tcBorders>
                    <w:tl2br w:val="nil"/>
                    <w:tr2bl w:val="nil"/>
                  </w:tcBorders>
                  <w:noWrap w:val="0"/>
                  <w:vAlign w:val="center"/>
                </w:tcPr>
                <w:p>
                  <w:pPr>
                    <w:widowControl/>
                    <w:jc w:val="center"/>
                    <w:rPr>
                      <w:rFonts w:hint="eastAsia" w:ascii="Times New Roman" w:hAnsi="Times New Roman" w:cs="Times New Roman"/>
                      <w:color w:val="auto"/>
                      <w:sz w:val="21"/>
                      <w:szCs w:val="21"/>
                      <w:lang w:val="en-US" w:eastAsia="zh-CN"/>
                    </w:rPr>
                  </w:pPr>
                  <w:r>
                    <w:rPr>
                      <w:rFonts w:ascii="Times New Roman" w:hAnsi="Times New Roman"/>
                      <w:color w:val="auto"/>
                      <w:sz w:val="21"/>
                      <w:szCs w:val="21"/>
                    </w:rPr>
                    <w:t>空压机</w:t>
                  </w:r>
                </w:p>
              </w:tc>
              <w:tc>
                <w:tcPr>
                  <w:tcW w:w="553" w:type="dxa"/>
                  <w:tcBorders>
                    <w:tl2br w:val="nil"/>
                    <w:tr2bl w:val="nil"/>
                  </w:tcBorders>
                  <w:noWrap w:val="0"/>
                  <w:vAlign w:val="center"/>
                </w:tcPr>
                <w:p>
                  <w:pPr>
                    <w:widowControl/>
                    <w:jc w:val="center"/>
                    <w:rPr>
                      <w:rFonts w:hint="eastAsia" w:ascii="Times New Roman" w:hAnsi="Times New Roman" w:cs="Times New Roman"/>
                      <w:color w:val="auto"/>
                      <w:sz w:val="21"/>
                      <w:szCs w:val="21"/>
                      <w:lang w:val="en-US" w:eastAsia="zh-CN"/>
                    </w:rPr>
                  </w:pPr>
                  <w:r>
                    <w:rPr>
                      <w:rFonts w:ascii="Times New Roman" w:hAnsi="Times New Roman"/>
                      <w:color w:val="auto"/>
                      <w:sz w:val="21"/>
                      <w:szCs w:val="21"/>
                    </w:rPr>
                    <w:t>液态</w:t>
                  </w:r>
                </w:p>
              </w:tc>
              <w:tc>
                <w:tcPr>
                  <w:tcW w:w="1333" w:type="dxa"/>
                  <w:tcBorders>
                    <w:tl2br w:val="nil"/>
                    <w:tr2bl w:val="nil"/>
                  </w:tcBorders>
                  <w:noWrap w:val="0"/>
                  <w:vAlign w:val="center"/>
                </w:tcPr>
                <w:p>
                  <w:pPr>
                    <w:widowControl/>
                    <w:jc w:val="center"/>
                    <w:rPr>
                      <w:rFonts w:hint="eastAsia" w:ascii="Times New Roman" w:hAnsi="Times New Roman" w:cs="Times New Roman"/>
                      <w:color w:val="auto"/>
                      <w:sz w:val="21"/>
                      <w:szCs w:val="21"/>
                      <w:lang w:val="en-US" w:eastAsia="zh-CN"/>
                    </w:rPr>
                  </w:pPr>
                  <w:r>
                    <w:rPr>
                      <w:rFonts w:ascii="Times New Roman" w:hAnsi="Times New Roman"/>
                      <w:color w:val="auto"/>
                      <w:sz w:val="21"/>
                      <w:szCs w:val="21"/>
                    </w:rPr>
                    <w:t>油水混合物</w:t>
                  </w:r>
                </w:p>
              </w:tc>
              <w:tc>
                <w:tcPr>
                  <w:tcW w:w="694" w:type="dxa"/>
                  <w:tcBorders>
                    <w:tl2br w:val="nil"/>
                    <w:tr2bl w:val="nil"/>
                  </w:tcBorders>
                  <w:noWrap w:val="0"/>
                  <w:vAlign w:val="center"/>
                </w:tcPr>
                <w:p>
                  <w:pPr>
                    <w:widowControl/>
                    <w:jc w:val="center"/>
                    <w:rPr>
                      <w:rFonts w:hint="eastAsia" w:ascii="Times New Roman" w:hAnsi="Times New Roman" w:cs="Times New Roman"/>
                      <w:color w:val="auto"/>
                      <w:sz w:val="21"/>
                      <w:szCs w:val="21"/>
                      <w:lang w:val="en-US" w:eastAsia="zh-CN"/>
                    </w:rPr>
                  </w:pPr>
                  <w:r>
                    <w:rPr>
                      <w:rFonts w:ascii="Times New Roman" w:hAnsi="Times New Roman"/>
                      <w:color w:val="auto"/>
                      <w:sz w:val="21"/>
                      <w:szCs w:val="21"/>
                    </w:rPr>
                    <w:t>油水混合物</w:t>
                  </w:r>
                </w:p>
              </w:tc>
              <w:tc>
                <w:tcPr>
                  <w:tcW w:w="610" w:type="dxa"/>
                  <w:tcBorders>
                    <w:tl2br w:val="nil"/>
                    <w:tr2bl w:val="nil"/>
                  </w:tcBorders>
                  <w:noWrap w:val="0"/>
                  <w:vAlign w:val="center"/>
                </w:tcPr>
                <w:p>
                  <w:pPr>
                    <w:widowControl/>
                    <w:jc w:val="center"/>
                    <w:rPr>
                      <w:rFonts w:hint="eastAsia" w:ascii="Times New Roman" w:hAnsi="Times New Roman" w:cs="Times New Roman"/>
                      <w:color w:val="auto"/>
                      <w:sz w:val="21"/>
                      <w:szCs w:val="21"/>
                      <w:highlight w:val="none"/>
                      <w:lang w:val="en-US" w:eastAsia="zh-CN"/>
                    </w:rPr>
                  </w:pPr>
                  <w:r>
                    <w:rPr>
                      <w:rFonts w:hint="eastAsia"/>
                      <w:color w:val="auto"/>
                      <w:sz w:val="21"/>
                      <w:szCs w:val="21"/>
                      <w:lang w:val="en-US" w:eastAsia="zh-CN"/>
                    </w:rPr>
                    <w:t>15d</w:t>
                  </w:r>
                </w:p>
              </w:tc>
              <w:tc>
                <w:tcPr>
                  <w:tcW w:w="509"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ascii="Times New Roman" w:hAnsi="Times New Roman"/>
                      <w:color w:val="auto"/>
                      <w:sz w:val="21"/>
                      <w:szCs w:val="21"/>
                    </w:rPr>
                    <w:t>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3" w:type="dxa"/>
                  <w:tcBorders>
                    <w:tl2br w:val="nil"/>
                    <w:tr2bl w:val="nil"/>
                  </w:tcBorders>
                  <w:noWrap w:val="0"/>
                  <w:vAlign w:val="center"/>
                </w:tcPr>
                <w:p>
                  <w:pPr>
                    <w:widowControl/>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4</w:t>
                  </w:r>
                </w:p>
              </w:tc>
              <w:tc>
                <w:tcPr>
                  <w:tcW w:w="1107" w:type="dxa"/>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r>
                    <w:rPr>
                      <w:rFonts w:ascii="Times New Roman" w:hAnsi="Times New Roman"/>
                      <w:color w:val="auto"/>
                      <w:sz w:val="21"/>
                      <w:szCs w:val="21"/>
                    </w:rPr>
                    <w:t>废劳保用品</w:t>
                  </w:r>
                </w:p>
              </w:tc>
              <w:tc>
                <w:tcPr>
                  <w:tcW w:w="704"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ascii="Times New Roman" w:hAnsi="Times New Roman"/>
                      <w:color w:val="auto"/>
                      <w:sz w:val="21"/>
                      <w:szCs w:val="21"/>
                    </w:rPr>
                    <w:t>HW49</w:t>
                  </w:r>
                </w:p>
              </w:tc>
              <w:tc>
                <w:tcPr>
                  <w:tcW w:w="1064"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ascii="Times New Roman" w:hAnsi="Times New Roman"/>
                      <w:color w:val="auto"/>
                      <w:sz w:val="21"/>
                      <w:szCs w:val="21"/>
                    </w:rPr>
                    <w:t>900-041-49</w:t>
                  </w:r>
                </w:p>
              </w:tc>
              <w:tc>
                <w:tcPr>
                  <w:tcW w:w="693"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w:t>
                  </w:r>
                </w:p>
              </w:tc>
              <w:tc>
                <w:tcPr>
                  <w:tcW w:w="894" w:type="dxa"/>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r>
                    <w:rPr>
                      <w:rFonts w:hint="eastAsia"/>
                      <w:color w:val="auto"/>
                      <w:sz w:val="21"/>
                      <w:szCs w:val="21"/>
                      <w:lang w:val="en-US" w:eastAsia="zh-CN"/>
                    </w:rPr>
                    <w:t>员工生产</w:t>
                  </w:r>
                </w:p>
              </w:tc>
              <w:tc>
                <w:tcPr>
                  <w:tcW w:w="553" w:type="dxa"/>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r>
                    <w:rPr>
                      <w:rFonts w:ascii="Times New Roman" w:hAnsi="Times New Roman"/>
                      <w:color w:val="auto"/>
                      <w:sz w:val="21"/>
                      <w:szCs w:val="21"/>
                    </w:rPr>
                    <w:t>固态</w:t>
                  </w:r>
                </w:p>
              </w:tc>
              <w:tc>
                <w:tcPr>
                  <w:tcW w:w="1333" w:type="dxa"/>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r>
                    <w:rPr>
                      <w:rFonts w:ascii="Times New Roman" w:hAnsi="Times New Roman"/>
                      <w:color w:val="auto"/>
                      <w:sz w:val="21"/>
                      <w:szCs w:val="21"/>
                    </w:rPr>
                    <w:t>抹布、手套</w:t>
                  </w:r>
                </w:p>
              </w:tc>
              <w:tc>
                <w:tcPr>
                  <w:tcW w:w="694" w:type="dxa"/>
                  <w:tcBorders>
                    <w:tl2br w:val="nil"/>
                    <w:tr2bl w:val="nil"/>
                  </w:tcBorders>
                  <w:noWrap w:val="0"/>
                  <w:vAlign w:val="center"/>
                </w:tcPr>
                <w:p>
                  <w:pPr>
                    <w:widowControl/>
                    <w:jc w:val="center"/>
                    <w:rPr>
                      <w:rFonts w:hint="eastAsia" w:ascii="Times New Roman" w:hAnsi="Times New Roman" w:cs="Times New Roman"/>
                      <w:color w:val="auto"/>
                      <w:sz w:val="21"/>
                      <w:szCs w:val="21"/>
                      <w:lang w:val="en-US" w:eastAsia="zh-CN"/>
                    </w:rPr>
                  </w:pPr>
                  <w:r>
                    <w:rPr>
                      <w:rFonts w:ascii="Times New Roman" w:hAnsi="Times New Roman"/>
                      <w:color w:val="auto"/>
                      <w:sz w:val="21"/>
                      <w:szCs w:val="21"/>
                    </w:rPr>
                    <w:t>抹布、手套</w:t>
                  </w:r>
                </w:p>
              </w:tc>
              <w:tc>
                <w:tcPr>
                  <w:tcW w:w="610" w:type="dxa"/>
                  <w:tcBorders>
                    <w:tl2br w:val="nil"/>
                    <w:tr2bl w:val="nil"/>
                  </w:tcBorders>
                  <w:noWrap w:val="0"/>
                  <w:vAlign w:val="center"/>
                </w:tcPr>
                <w:p>
                  <w:pPr>
                    <w:widowControl/>
                    <w:jc w:val="center"/>
                    <w:rPr>
                      <w:rFonts w:hint="default" w:ascii="Times New Roman" w:hAnsi="Times New Roman" w:cs="Times New Roman"/>
                      <w:color w:val="auto"/>
                      <w:sz w:val="21"/>
                      <w:szCs w:val="21"/>
                      <w:highlight w:val="none"/>
                      <w:lang w:val="en-US" w:eastAsia="zh-CN"/>
                    </w:rPr>
                  </w:pPr>
                  <w:r>
                    <w:rPr>
                      <w:rFonts w:hint="eastAsia"/>
                      <w:color w:val="auto"/>
                      <w:sz w:val="21"/>
                      <w:szCs w:val="21"/>
                      <w:lang w:val="en-US" w:eastAsia="zh-CN"/>
                    </w:rPr>
                    <w:t>6个月</w:t>
                  </w:r>
                </w:p>
              </w:tc>
              <w:tc>
                <w:tcPr>
                  <w:tcW w:w="509"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ascii="Times New Roman" w:hAnsi="Times New Roman"/>
                      <w:color w:val="auto"/>
                      <w:sz w:val="21"/>
                      <w:szCs w:val="21"/>
                    </w:rPr>
                    <w:t>T</w:t>
                  </w:r>
                  <w:r>
                    <w:rPr>
                      <w:rFonts w:hint="eastAsia" w:ascii="Times New Roman" w:hAnsi="Times New Roman"/>
                      <w:color w:val="auto"/>
                      <w:sz w:val="21"/>
                      <w:szCs w:val="21"/>
                    </w:rPr>
                    <w:t>/</w:t>
                  </w:r>
                  <w:r>
                    <w:rPr>
                      <w:rFonts w:ascii="Times New Roman" w:hAnsi="Times New Roman"/>
                      <w:color w:val="auto"/>
                      <w:sz w:val="21"/>
                      <w:szCs w:val="21"/>
                    </w:rPr>
                    <w:t>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3" w:type="dxa"/>
                  <w:tcBorders>
                    <w:tl2br w:val="nil"/>
                    <w:tr2bl w:val="nil"/>
                  </w:tcBorders>
                  <w:noWrap w:val="0"/>
                  <w:vAlign w:val="center"/>
                </w:tcPr>
                <w:p>
                  <w:pPr>
                    <w:widowControl/>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5</w:t>
                  </w:r>
                </w:p>
              </w:tc>
              <w:tc>
                <w:tcPr>
                  <w:tcW w:w="11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废润滑油</w:t>
                  </w:r>
                </w:p>
              </w:tc>
              <w:tc>
                <w:tcPr>
                  <w:tcW w:w="704" w:type="dxa"/>
                  <w:tcBorders>
                    <w:tl2br w:val="nil"/>
                    <w:tr2bl w:val="nil"/>
                  </w:tcBorders>
                  <w:noWrap w:val="0"/>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HW</w:t>
                  </w:r>
                  <w:r>
                    <w:rPr>
                      <w:rFonts w:hint="default" w:ascii="Times New Roman" w:hAnsi="Times New Roman" w:eastAsia="宋体" w:cs="Times New Roman"/>
                      <w:color w:val="auto"/>
                      <w:sz w:val="21"/>
                      <w:szCs w:val="21"/>
                      <w:lang w:val="en-US" w:eastAsia="zh-CN"/>
                    </w:rPr>
                    <w:t>08</w:t>
                  </w:r>
                </w:p>
              </w:tc>
              <w:tc>
                <w:tcPr>
                  <w:tcW w:w="1064" w:type="dxa"/>
                  <w:tcBorders>
                    <w:tl2br w:val="nil"/>
                    <w:tr2bl w:val="nil"/>
                  </w:tcBorders>
                  <w:noWrap w:val="0"/>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eastAsia="zh-CN"/>
                    </w:rPr>
                    <w:t>900-217-08</w:t>
                  </w:r>
                </w:p>
              </w:tc>
              <w:tc>
                <w:tcPr>
                  <w:tcW w:w="69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0018</w:t>
                  </w:r>
                </w:p>
              </w:tc>
              <w:tc>
                <w:tcPr>
                  <w:tcW w:w="894" w:type="dxa"/>
                  <w:tcBorders>
                    <w:tl2br w:val="nil"/>
                    <w:tr2bl w:val="nil"/>
                  </w:tcBorders>
                  <w:noWrap w:val="0"/>
                  <w:vAlign w:val="center"/>
                </w:tcPr>
                <w:p>
                  <w:pPr>
                    <w:snapToGrid w:val="0"/>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维护保养</w:t>
                  </w:r>
                </w:p>
              </w:tc>
              <w:tc>
                <w:tcPr>
                  <w:tcW w:w="55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color w:val="auto"/>
                      <w:sz w:val="21"/>
                      <w:szCs w:val="21"/>
                      <w:lang w:val="en-US" w:eastAsia="zh-CN"/>
                    </w:rPr>
                  </w:pPr>
                  <w:r>
                    <w:rPr>
                      <w:rFonts w:hint="eastAsia" w:cs="Times New Roman"/>
                      <w:b w:val="0"/>
                      <w:bCs w:val="0"/>
                      <w:color w:val="auto"/>
                      <w:sz w:val="21"/>
                      <w:szCs w:val="21"/>
                      <w:highlight w:val="none"/>
                      <w:lang w:val="en-US" w:eastAsia="zh-CN"/>
                    </w:rPr>
                    <w:t>液</w:t>
                  </w:r>
                  <w:r>
                    <w:rPr>
                      <w:rFonts w:hint="default" w:ascii="Times New Roman" w:hAnsi="Times New Roman" w:eastAsia="宋体" w:cs="Times New Roman"/>
                      <w:b w:val="0"/>
                      <w:bCs w:val="0"/>
                      <w:color w:val="auto"/>
                      <w:sz w:val="21"/>
                      <w:szCs w:val="21"/>
                      <w:highlight w:val="none"/>
                    </w:rPr>
                    <w:t>态</w:t>
                  </w:r>
                </w:p>
              </w:tc>
              <w:tc>
                <w:tcPr>
                  <w:tcW w:w="1333" w:type="dxa"/>
                  <w:tcBorders>
                    <w:tl2br w:val="nil"/>
                    <w:tr2bl w:val="nil"/>
                  </w:tcBorders>
                  <w:noWrap w:val="0"/>
                  <w:vAlign w:val="center"/>
                </w:tcPr>
                <w:p>
                  <w:pPr>
                    <w:snapToGrid w:val="0"/>
                    <w:jc w:val="center"/>
                    <w:rPr>
                      <w:rFonts w:hint="eastAsia" w:ascii="Times New Roman" w:hAnsi="Times New Roman" w:cs="Times New Roman"/>
                      <w:color w:val="auto"/>
                      <w:sz w:val="21"/>
                      <w:szCs w:val="21"/>
                      <w:lang w:val="en-US" w:eastAsia="zh-CN"/>
                    </w:rPr>
                  </w:pPr>
                  <w:r>
                    <w:rPr>
                      <w:rFonts w:hint="eastAsia" w:ascii="Times New Roman" w:hAnsi="Times New Roman"/>
                      <w:color w:val="auto"/>
                      <w:kern w:val="2"/>
                      <w:sz w:val="21"/>
                      <w:szCs w:val="21"/>
                      <w:lang w:val="en-US" w:eastAsia="zh-CN" w:bidi="ar-SA"/>
                    </w:rPr>
                    <w:t>矿物油</w:t>
                  </w:r>
                </w:p>
              </w:tc>
              <w:tc>
                <w:tcPr>
                  <w:tcW w:w="694" w:type="dxa"/>
                  <w:tcBorders>
                    <w:tl2br w:val="nil"/>
                    <w:tr2bl w:val="nil"/>
                  </w:tcBorders>
                  <w:noWrap w:val="0"/>
                  <w:vAlign w:val="center"/>
                </w:tcPr>
                <w:p>
                  <w:pPr>
                    <w:snapToGrid w:val="0"/>
                    <w:jc w:val="center"/>
                    <w:rPr>
                      <w:rFonts w:hint="eastAsia" w:ascii="Times New Roman" w:hAnsi="Times New Roman" w:cs="Times New Roman"/>
                      <w:color w:val="auto"/>
                      <w:sz w:val="21"/>
                      <w:szCs w:val="21"/>
                      <w:lang w:val="en-US" w:eastAsia="zh-CN"/>
                    </w:rPr>
                  </w:pPr>
                  <w:r>
                    <w:rPr>
                      <w:rFonts w:hint="eastAsia" w:ascii="Times New Roman" w:hAnsi="Times New Roman"/>
                      <w:color w:val="auto"/>
                      <w:kern w:val="2"/>
                      <w:sz w:val="21"/>
                      <w:szCs w:val="21"/>
                      <w:lang w:val="en-US" w:eastAsia="zh-CN" w:bidi="ar-SA"/>
                    </w:rPr>
                    <w:t>矿物油</w:t>
                  </w:r>
                </w:p>
              </w:tc>
              <w:tc>
                <w:tcPr>
                  <w:tcW w:w="610" w:type="dxa"/>
                  <w:tcBorders>
                    <w:tl2br w:val="nil"/>
                    <w:tr2bl w:val="nil"/>
                  </w:tcBorders>
                  <w:noWrap w:val="0"/>
                  <w:vAlign w:val="center"/>
                </w:tcPr>
                <w:p>
                  <w:pPr>
                    <w:widowControl/>
                    <w:snapToGrid w:val="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olor w:val="auto"/>
                      <w:sz w:val="21"/>
                      <w:szCs w:val="21"/>
                      <w:lang w:val="en-US" w:eastAsia="zh-CN"/>
                    </w:rPr>
                    <w:t>6个月</w:t>
                  </w:r>
                </w:p>
              </w:tc>
              <w:tc>
                <w:tcPr>
                  <w:tcW w:w="509" w:type="dxa"/>
                  <w:tcBorders>
                    <w:tl2br w:val="nil"/>
                    <w:tr2bl w:val="nil"/>
                  </w:tcBorders>
                  <w:noWrap w:val="0"/>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rPr>
                    <w:t>T</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rPr>
                    <w:t>I</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3" w:type="dxa"/>
                  <w:tcBorders>
                    <w:tl2br w:val="nil"/>
                    <w:tr2bl w:val="nil"/>
                  </w:tcBorders>
                  <w:noWrap w:val="0"/>
                  <w:vAlign w:val="center"/>
                </w:tcPr>
                <w:p>
                  <w:pPr>
                    <w:widowControl/>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6</w:t>
                  </w:r>
                </w:p>
              </w:tc>
              <w:tc>
                <w:tcPr>
                  <w:tcW w:w="11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废</w:t>
                  </w:r>
                  <w:r>
                    <w:rPr>
                      <w:rFonts w:hint="eastAsia" w:cs="Times New Roman"/>
                      <w:b w:val="0"/>
                      <w:bCs w:val="0"/>
                      <w:color w:val="auto"/>
                      <w:sz w:val="21"/>
                      <w:szCs w:val="21"/>
                      <w:lang w:val="en-US" w:eastAsia="zh-CN"/>
                    </w:rPr>
                    <w:t>润滑</w:t>
                  </w:r>
                  <w:r>
                    <w:rPr>
                      <w:rFonts w:hint="default" w:ascii="Times New Roman" w:hAnsi="Times New Roman" w:eastAsia="宋体" w:cs="Times New Roman"/>
                      <w:b w:val="0"/>
                      <w:bCs w:val="0"/>
                      <w:color w:val="auto"/>
                      <w:sz w:val="21"/>
                      <w:szCs w:val="21"/>
                      <w:lang w:val="en-US" w:eastAsia="zh-CN"/>
                    </w:rPr>
                    <w:t>油桶</w:t>
                  </w:r>
                </w:p>
              </w:tc>
              <w:tc>
                <w:tcPr>
                  <w:tcW w:w="704" w:type="dxa"/>
                  <w:tcBorders>
                    <w:tl2br w:val="nil"/>
                    <w:tr2bl w:val="nil"/>
                  </w:tcBorders>
                  <w:noWrap w:val="0"/>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HW08</w:t>
                  </w:r>
                </w:p>
              </w:tc>
              <w:tc>
                <w:tcPr>
                  <w:tcW w:w="1064" w:type="dxa"/>
                  <w:tcBorders>
                    <w:tl2br w:val="nil"/>
                    <w:tr2bl w:val="nil"/>
                  </w:tcBorders>
                  <w:noWrap w:val="0"/>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900-249-08</w:t>
                  </w:r>
                </w:p>
              </w:tc>
              <w:tc>
                <w:tcPr>
                  <w:tcW w:w="69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w:t>
                  </w:r>
                  <w:r>
                    <w:rPr>
                      <w:rFonts w:hint="eastAsia" w:ascii="Times New Roman" w:cs="Times New Roman"/>
                      <w:color w:val="auto"/>
                      <w:sz w:val="21"/>
                      <w:szCs w:val="21"/>
                      <w:lang w:val="en-US" w:eastAsia="zh-CN"/>
                    </w:rPr>
                    <w:t>0</w:t>
                  </w:r>
                  <w:r>
                    <w:rPr>
                      <w:rFonts w:hint="eastAsia" w:cs="Times New Roman"/>
                      <w:color w:val="auto"/>
                      <w:sz w:val="21"/>
                      <w:szCs w:val="21"/>
                      <w:lang w:val="en-US" w:eastAsia="zh-CN"/>
                    </w:rPr>
                    <w:t>05</w:t>
                  </w:r>
                </w:p>
              </w:tc>
              <w:tc>
                <w:tcPr>
                  <w:tcW w:w="894" w:type="dxa"/>
                  <w:tcBorders>
                    <w:tl2br w:val="nil"/>
                    <w:tr2bl w:val="nil"/>
                  </w:tcBorders>
                  <w:noWrap w:val="0"/>
                  <w:vAlign w:val="center"/>
                </w:tcPr>
                <w:p>
                  <w:pPr>
                    <w:snapToGrid w:val="0"/>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维护保养</w:t>
                  </w:r>
                </w:p>
              </w:tc>
              <w:tc>
                <w:tcPr>
                  <w:tcW w:w="55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eastAsia="宋体" w:cs="Times New Roman"/>
                      <w:b w:val="0"/>
                      <w:bCs w:val="0"/>
                      <w:color w:val="auto"/>
                      <w:sz w:val="21"/>
                      <w:szCs w:val="21"/>
                      <w:highlight w:val="none"/>
                    </w:rPr>
                    <w:t>固态</w:t>
                  </w:r>
                </w:p>
              </w:tc>
              <w:tc>
                <w:tcPr>
                  <w:tcW w:w="1333" w:type="dxa"/>
                  <w:tcBorders>
                    <w:tl2br w:val="nil"/>
                    <w:tr2bl w:val="nil"/>
                  </w:tcBorders>
                  <w:noWrap w:val="0"/>
                  <w:vAlign w:val="center"/>
                </w:tcPr>
                <w:p>
                  <w:pPr>
                    <w:snapToGrid w:val="0"/>
                    <w:jc w:val="center"/>
                    <w:rPr>
                      <w:rFonts w:hint="eastAsia" w:ascii="Times New Roman" w:hAnsi="Times New Roman" w:cs="Times New Roman"/>
                      <w:color w:val="auto"/>
                      <w:sz w:val="21"/>
                      <w:szCs w:val="21"/>
                      <w:lang w:val="en-US" w:eastAsia="zh-CN"/>
                    </w:rPr>
                  </w:pPr>
                  <w:r>
                    <w:rPr>
                      <w:rFonts w:hint="eastAsia" w:ascii="Times New Roman" w:hAnsi="Times New Roman"/>
                      <w:color w:val="auto"/>
                      <w:sz w:val="21"/>
                      <w:szCs w:val="21"/>
                      <w:lang w:val="en-US" w:eastAsia="zh-CN"/>
                    </w:rPr>
                    <w:t>塑料、矿物油</w:t>
                  </w:r>
                </w:p>
              </w:tc>
              <w:tc>
                <w:tcPr>
                  <w:tcW w:w="694" w:type="dxa"/>
                  <w:tcBorders>
                    <w:tl2br w:val="nil"/>
                    <w:tr2bl w:val="nil"/>
                  </w:tcBorders>
                  <w:noWrap w:val="0"/>
                  <w:vAlign w:val="center"/>
                </w:tcPr>
                <w:p>
                  <w:pPr>
                    <w:snapToGrid w:val="0"/>
                    <w:jc w:val="center"/>
                    <w:rPr>
                      <w:rFonts w:hint="eastAsia" w:ascii="Times New Roman" w:hAnsi="Times New Roman" w:cs="Times New Roman"/>
                      <w:color w:val="auto"/>
                      <w:sz w:val="21"/>
                      <w:szCs w:val="21"/>
                      <w:lang w:val="en-US" w:eastAsia="zh-CN"/>
                    </w:rPr>
                  </w:pPr>
                  <w:r>
                    <w:rPr>
                      <w:rFonts w:hint="eastAsia" w:ascii="Times New Roman" w:hAnsi="Times New Roman"/>
                      <w:color w:val="auto"/>
                      <w:sz w:val="21"/>
                      <w:szCs w:val="21"/>
                      <w:lang w:val="en-US" w:eastAsia="zh-CN"/>
                    </w:rPr>
                    <w:t>塑料、矿物油</w:t>
                  </w:r>
                </w:p>
              </w:tc>
              <w:tc>
                <w:tcPr>
                  <w:tcW w:w="610" w:type="dxa"/>
                  <w:tcBorders>
                    <w:tl2br w:val="nil"/>
                    <w:tr2bl w:val="nil"/>
                  </w:tcBorders>
                  <w:noWrap w:val="0"/>
                  <w:vAlign w:val="center"/>
                </w:tcPr>
                <w:p>
                  <w:pPr>
                    <w:widowControl/>
                    <w:snapToGrid w:val="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olor w:val="auto"/>
                      <w:sz w:val="21"/>
                      <w:szCs w:val="21"/>
                      <w:lang w:val="en-US" w:eastAsia="zh-CN"/>
                    </w:rPr>
                    <w:t>6个月</w:t>
                  </w:r>
                </w:p>
              </w:tc>
              <w:tc>
                <w:tcPr>
                  <w:tcW w:w="509" w:type="dxa"/>
                  <w:tcBorders>
                    <w:tl2br w:val="nil"/>
                    <w:tr2bl w:val="nil"/>
                  </w:tcBorders>
                  <w:noWrap w:val="0"/>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T，I</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3" w:type="dxa"/>
                  <w:tcBorders>
                    <w:tl2br w:val="nil"/>
                    <w:tr2bl w:val="nil"/>
                  </w:tcBorders>
                  <w:noWrap w:val="0"/>
                  <w:vAlign w:val="center"/>
                </w:tcPr>
                <w:p>
                  <w:pPr>
                    <w:widowControl/>
                    <w:jc w:val="center"/>
                    <w:rPr>
                      <w:rFonts w:hint="default" w:cs="Times New Roman"/>
                      <w:color w:val="auto"/>
                      <w:sz w:val="21"/>
                      <w:szCs w:val="21"/>
                      <w:lang w:val="en-US" w:eastAsia="zh-CN"/>
                    </w:rPr>
                  </w:pPr>
                  <w:r>
                    <w:rPr>
                      <w:rFonts w:hint="eastAsia" w:cs="Times New Roman"/>
                      <w:color w:val="auto"/>
                      <w:sz w:val="21"/>
                      <w:szCs w:val="21"/>
                      <w:lang w:val="en-US" w:eastAsia="zh-CN"/>
                    </w:rPr>
                    <w:t>7</w:t>
                  </w:r>
                </w:p>
              </w:tc>
              <w:tc>
                <w:tcPr>
                  <w:tcW w:w="11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eastAsia"/>
                      <w:color w:val="auto"/>
                      <w:sz w:val="21"/>
                      <w:szCs w:val="21"/>
                      <w:lang w:val="en-US" w:eastAsia="zh-CN"/>
                    </w:rPr>
                    <w:t>清洗废液</w:t>
                  </w:r>
                </w:p>
              </w:tc>
              <w:tc>
                <w:tcPr>
                  <w:tcW w:w="704"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HW49</w:t>
                  </w:r>
                </w:p>
              </w:tc>
              <w:tc>
                <w:tcPr>
                  <w:tcW w:w="1064" w:type="dxa"/>
                  <w:tcBorders>
                    <w:tl2br w:val="nil"/>
                    <w:tr2bl w:val="nil"/>
                  </w:tcBorders>
                  <w:noWrap w:val="0"/>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900-041-49</w:t>
                  </w:r>
                </w:p>
              </w:tc>
              <w:tc>
                <w:tcPr>
                  <w:tcW w:w="69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5</w:t>
                  </w:r>
                </w:p>
              </w:tc>
              <w:tc>
                <w:tcPr>
                  <w:tcW w:w="894" w:type="dxa"/>
                  <w:tcBorders>
                    <w:tl2br w:val="nil"/>
                    <w:tr2bl w:val="nil"/>
                  </w:tcBorders>
                  <w:noWrap w:val="0"/>
                  <w:vAlign w:val="center"/>
                </w:tcPr>
                <w:p>
                  <w:pPr>
                    <w:snapToGrid w:val="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设备清洗</w:t>
                  </w:r>
                </w:p>
              </w:tc>
              <w:tc>
                <w:tcPr>
                  <w:tcW w:w="55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液态</w:t>
                  </w:r>
                </w:p>
              </w:tc>
              <w:tc>
                <w:tcPr>
                  <w:tcW w:w="1333" w:type="dxa"/>
                  <w:tcBorders>
                    <w:tl2br w:val="nil"/>
                    <w:tr2bl w:val="nil"/>
                  </w:tcBorders>
                  <w:noWrap w:val="0"/>
                  <w:vAlign w:val="center"/>
                </w:tcPr>
                <w:p>
                  <w:pPr>
                    <w:snapToGrid w:val="0"/>
                    <w:jc w:val="center"/>
                    <w:rPr>
                      <w:rFonts w:hint="default" w:ascii="Times New Roman" w:hAnsi="Times New Roman"/>
                      <w:color w:val="auto"/>
                      <w:sz w:val="21"/>
                      <w:szCs w:val="21"/>
                      <w:lang w:val="en-US" w:eastAsia="zh-CN"/>
                    </w:rPr>
                  </w:pPr>
                  <w:r>
                    <w:rPr>
                      <w:rFonts w:hint="eastAsia"/>
                      <w:color w:val="auto"/>
                      <w:sz w:val="21"/>
                      <w:szCs w:val="21"/>
                      <w:lang w:val="en-US" w:eastAsia="zh-CN"/>
                    </w:rPr>
                    <w:t>油墨</w:t>
                  </w:r>
                </w:p>
              </w:tc>
              <w:tc>
                <w:tcPr>
                  <w:tcW w:w="694" w:type="dxa"/>
                  <w:tcBorders>
                    <w:tl2br w:val="nil"/>
                    <w:tr2bl w:val="nil"/>
                  </w:tcBorders>
                  <w:noWrap w:val="0"/>
                  <w:vAlign w:val="center"/>
                </w:tcPr>
                <w:p>
                  <w:pPr>
                    <w:snapToGrid w:val="0"/>
                    <w:jc w:val="center"/>
                    <w:rPr>
                      <w:rFonts w:hint="default" w:ascii="Times New Roman" w:hAnsi="Times New Roman"/>
                      <w:color w:val="auto"/>
                      <w:sz w:val="21"/>
                      <w:szCs w:val="21"/>
                      <w:lang w:val="en-US" w:eastAsia="zh-CN"/>
                    </w:rPr>
                  </w:pPr>
                  <w:r>
                    <w:rPr>
                      <w:rFonts w:hint="eastAsia"/>
                      <w:color w:val="auto"/>
                      <w:sz w:val="21"/>
                      <w:szCs w:val="21"/>
                      <w:lang w:val="en-US" w:eastAsia="zh-CN"/>
                    </w:rPr>
                    <w:t>油墨</w:t>
                  </w:r>
                </w:p>
              </w:tc>
              <w:tc>
                <w:tcPr>
                  <w:tcW w:w="610" w:type="dxa"/>
                  <w:tcBorders>
                    <w:tl2br w:val="nil"/>
                    <w:tr2bl w:val="nil"/>
                  </w:tcBorders>
                  <w:noWrap w:val="0"/>
                  <w:vAlign w:val="center"/>
                </w:tcPr>
                <w:p>
                  <w:pPr>
                    <w:widowControl/>
                    <w:snapToGrid w:val="0"/>
                    <w:jc w:val="center"/>
                    <w:rPr>
                      <w:rFonts w:hint="default" w:ascii="Times New Roman" w:hAnsi="Times New Roman"/>
                      <w:color w:val="auto"/>
                      <w:sz w:val="21"/>
                      <w:szCs w:val="21"/>
                      <w:lang w:val="en-US" w:eastAsia="zh-CN"/>
                    </w:rPr>
                  </w:pPr>
                  <w:r>
                    <w:rPr>
                      <w:rFonts w:hint="eastAsia"/>
                      <w:color w:val="auto"/>
                      <w:sz w:val="21"/>
                      <w:szCs w:val="21"/>
                      <w:lang w:val="en-US" w:eastAsia="zh-CN"/>
                    </w:rPr>
                    <w:t>1d</w:t>
                  </w:r>
                </w:p>
              </w:tc>
              <w:tc>
                <w:tcPr>
                  <w:tcW w:w="509"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T/In</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cs="Times New Roman"/>
                <w:b/>
                <w:bCs/>
                <w:color w:val="auto"/>
                <w:sz w:val="24"/>
                <w:szCs w:val="24"/>
                <w:lang w:val="en-US" w:eastAsia="zh-CN"/>
              </w:rPr>
              <w:t>4</w:t>
            </w:r>
            <w:r>
              <w:rPr>
                <w:rFonts w:hint="eastAsia" w:ascii="宋体" w:hAnsi="宋体" w:eastAsia="宋体" w:cs="宋体"/>
                <w:b/>
                <w:bCs/>
                <w:color w:val="auto"/>
                <w:sz w:val="24"/>
                <w:szCs w:val="24"/>
                <w:lang w:val="en-US" w:eastAsia="zh-CN"/>
              </w:rPr>
              <w:t>）危险废物产生单位类别</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根据危险废物的危险特性（感染性除外），评估其环境风险。按从高到低，将危险废物划分为</w:t>
            </w:r>
            <w:r>
              <w:rPr>
                <w:rFonts w:hint="default" w:ascii="Times New Roman" w:hAnsi="Times New Roman" w:eastAsia="宋体" w:cs="Times New Roman"/>
                <w:color w:val="auto"/>
                <w:sz w:val="24"/>
                <w:szCs w:val="24"/>
                <w:lang w:val="en-US" w:eastAsia="zh-CN"/>
              </w:rPr>
              <w:t>I</w:t>
            </w:r>
            <w:r>
              <w:rPr>
                <w:rFonts w:hint="eastAsia" w:ascii="宋体" w:hAnsi="宋体" w:eastAsia="宋体" w:cs="宋体"/>
                <w:color w:val="auto"/>
                <w:sz w:val="24"/>
                <w:szCs w:val="24"/>
                <w:lang w:val="en-US" w:eastAsia="zh-CN"/>
              </w:rPr>
              <w:t>级、</w:t>
            </w:r>
            <w:r>
              <w:rPr>
                <w:rFonts w:hint="eastAsia" w:ascii="Times New Roman" w:hAnsi="Times New Roman" w:eastAsia="宋体" w:cs="Times New Roman"/>
                <w:color w:val="auto"/>
                <w:sz w:val="24"/>
                <w:szCs w:val="24"/>
                <w:lang w:val="en-US" w:eastAsia="zh-CN"/>
              </w:rPr>
              <w:t>II</w:t>
            </w:r>
            <w:r>
              <w:rPr>
                <w:rFonts w:hint="eastAsia" w:ascii="宋体" w:hAnsi="宋体" w:eastAsia="宋体" w:cs="宋体"/>
                <w:color w:val="auto"/>
                <w:sz w:val="24"/>
                <w:szCs w:val="24"/>
                <w:lang w:val="en-US" w:eastAsia="zh-CN"/>
              </w:rPr>
              <w:t>级和</w:t>
            </w:r>
            <w:r>
              <w:rPr>
                <w:rFonts w:hint="eastAsia" w:ascii="Times New Roman" w:hAnsi="Times New Roman" w:eastAsia="宋体" w:cs="Times New Roman"/>
                <w:color w:val="auto"/>
                <w:sz w:val="24"/>
                <w:szCs w:val="24"/>
                <w:lang w:val="en-US" w:eastAsia="zh-CN"/>
              </w:rPr>
              <w:t>III</w:t>
            </w:r>
            <w:r>
              <w:rPr>
                <w:rFonts w:hint="eastAsia" w:ascii="宋体" w:hAnsi="宋体" w:eastAsia="宋体" w:cs="宋体"/>
                <w:color w:val="auto"/>
                <w:sz w:val="24"/>
                <w:szCs w:val="24"/>
                <w:lang w:val="en-US" w:eastAsia="zh-CN"/>
              </w:rPr>
              <w:t>级三个等级。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1 \* GB3 \* MERGEFORMAT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lang w:val="en-US" w:eastAsia="zh-CN"/>
              </w:rPr>
              <w:fldChar w:fldCharType="end"/>
            </w:r>
            <w:r>
              <w:rPr>
                <w:rFonts w:hint="eastAsia" w:ascii="Times New Roman" w:hAnsi="Times New Roman" w:eastAsia="宋体" w:cs="Times New Roman"/>
                <w:color w:val="auto"/>
                <w:sz w:val="24"/>
                <w:szCs w:val="24"/>
                <w:lang w:val="en-US" w:eastAsia="zh-CN"/>
              </w:rPr>
              <w:t>I</w:t>
            </w:r>
            <w:r>
              <w:rPr>
                <w:rFonts w:hint="eastAsia" w:ascii="宋体" w:hAnsi="宋体" w:eastAsia="宋体" w:cs="宋体"/>
                <w:color w:val="auto"/>
                <w:sz w:val="24"/>
                <w:szCs w:val="24"/>
                <w:lang w:val="en-US" w:eastAsia="zh-CN"/>
              </w:rPr>
              <w:t>级危险废物指可环境无害化利用或处置，且被所有者申报废弃的危险化学品；具有反应性</w:t>
            </w:r>
            <w:r>
              <w:rPr>
                <w:rFonts w:hint="default" w:ascii="Times New Roman" w:hAnsi="Times New Roman" w:eastAsia="宋体" w:cs="Times New Roman"/>
                <w:color w:val="auto"/>
                <w:sz w:val="24"/>
                <w:szCs w:val="24"/>
                <w:lang w:val="en-US" w:eastAsia="zh-CN"/>
              </w:rPr>
              <w:t>（R）</w:t>
            </w:r>
            <w:r>
              <w:rPr>
                <w:rFonts w:hint="eastAsia" w:ascii="宋体" w:hAnsi="宋体" w:eastAsia="宋体" w:cs="宋体"/>
                <w:color w:val="auto"/>
                <w:sz w:val="24"/>
                <w:szCs w:val="24"/>
                <w:lang w:val="en-US" w:eastAsia="zh-CN"/>
              </w:rPr>
              <w:t>的其他危险废物。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2 \* GB3 \* MERGEFORMAT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Ⅱ</w:t>
            </w:r>
            <w:r>
              <w:rPr>
                <w:rFonts w:hint="eastAsia" w:ascii="宋体" w:hAnsi="宋体" w:eastAsia="宋体" w:cs="宋体"/>
                <w:color w:val="auto"/>
                <w:sz w:val="24"/>
                <w:szCs w:val="24"/>
                <w:lang w:val="en-US" w:eastAsia="zh-CN"/>
              </w:rPr>
              <w:t>级危险废物指具有易燃性</w:t>
            </w:r>
            <w:r>
              <w:rPr>
                <w:rFonts w:hint="default" w:ascii="Times New Roman" w:hAnsi="Times New Roman" w:eastAsia="宋体" w:cs="Times New Roman"/>
                <w:color w:val="auto"/>
                <w:sz w:val="24"/>
                <w:szCs w:val="24"/>
                <w:lang w:val="en-US" w:eastAsia="zh-CN"/>
              </w:rPr>
              <w:t>（I）</w:t>
            </w:r>
            <w:r>
              <w:rPr>
                <w:rFonts w:hint="eastAsia" w:ascii="宋体" w:hAnsi="宋体" w:eastAsia="宋体" w:cs="宋体"/>
                <w:color w:val="auto"/>
                <w:sz w:val="24"/>
                <w:szCs w:val="24"/>
                <w:lang w:val="en-US" w:eastAsia="zh-CN"/>
              </w:rPr>
              <w:t>的危险废物。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3 \* GB3 \* MERGEFORMAT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③</w:t>
            </w:r>
            <w:r>
              <w:rPr>
                <w:rFonts w:hint="eastAsia" w:ascii="宋体" w:hAnsi="宋体" w:eastAsia="宋体" w:cs="宋体"/>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Ⅲ</w:t>
            </w:r>
            <w:r>
              <w:rPr>
                <w:rFonts w:hint="eastAsia" w:ascii="宋体" w:hAnsi="宋体" w:eastAsia="宋体" w:cs="宋体"/>
                <w:color w:val="auto"/>
                <w:sz w:val="24"/>
                <w:szCs w:val="24"/>
                <w:lang w:val="en-US" w:eastAsia="zh-CN"/>
              </w:rPr>
              <w:t>级危险废物指具有腐蚀性（</w:t>
            </w:r>
            <w:r>
              <w:rPr>
                <w:rFonts w:hint="default" w:ascii="Times New Roman" w:hAnsi="Times New Roman" w:eastAsia="宋体" w:cs="Times New Roman"/>
                <w:color w:val="auto"/>
                <w:sz w:val="24"/>
                <w:szCs w:val="24"/>
                <w:lang w:val="en-US" w:eastAsia="zh-CN"/>
              </w:rPr>
              <w:t>C）</w:t>
            </w:r>
            <w:r>
              <w:rPr>
                <w:rFonts w:hint="eastAsia" w:ascii="宋体" w:hAnsi="宋体" w:eastAsia="宋体" w:cs="宋体"/>
                <w:color w:val="auto"/>
                <w:sz w:val="24"/>
                <w:szCs w:val="24"/>
                <w:lang w:val="en-US" w:eastAsia="zh-CN"/>
              </w:rPr>
              <w:t>或毒性</w:t>
            </w:r>
            <w:r>
              <w:rPr>
                <w:rFonts w:hint="default" w:ascii="Times New Roman" w:hAnsi="Times New Roman" w:eastAsia="宋体" w:cs="Times New Roman"/>
                <w:color w:val="auto"/>
                <w:sz w:val="24"/>
                <w:szCs w:val="24"/>
                <w:lang w:val="en-US" w:eastAsia="zh-CN"/>
              </w:rPr>
              <w:t>（T）</w:t>
            </w:r>
            <w:r>
              <w:rPr>
                <w:rFonts w:hint="eastAsia" w:ascii="宋体" w:hAnsi="宋体" w:eastAsia="宋体" w:cs="宋体"/>
                <w:color w:val="auto"/>
                <w:sz w:val="24"/>
                <w:szCs w:val="24"/>
                <w:lang w:val="en-US" w:eastAsia="zh-CN"/>
              </w:rPr>
              <w:t>的危险废物。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根据危险废物产生数量及其环境风险等级，将危险废物产生单位分为重点源单位、一般源单位和特别行业单位。重点源单位和一般源单位具体分类标准详见下表。</w:t>
            </w:r>
          </w:p>
          <w:p>
            <w:pPr>
              <w:pStyle w:val="4"/>
              <w:keepNext/>
              <w:keepLines/>
              <w:pageBreakBefore w:val="0"/>
              <w:widowControl w:val="0"/>
              <w:kinsoku/>
              <w:wordWrap/>
              <w:overflowPunct/>
              <w:topLinePunct w:val="0"/>
              <w:autoSpaceDE/>
              <w:autoSpaceDN/>
              <w:bidi w:val="0"/>
              <w:adjustRightInd/>
              <w:snapToGrid w:val="0"/>
              <w:spacing w:before="0" w:after="0" w:line="500" w:lineRule="exact"/>
              <w:jc w:val="center"/>
              <w:textAlignment w:val="auto"/>
              <w:rPr>
                <w:rFonts w:hint="eastAsia"/>
                <w:color w:val="auto"/>
                <w:sz w:val="24"/>
                <w:szCs w:val="24"/>
                <w:lang w:val="en-US" w:eastAsia="zh-CN"/>
              </w:rPr>
            </w:pPr>
            <w:r>
              <w:rPr>
                <w:rFonts w:ascii="Times New Roman" w:hAnsi="Times New Roman"/>
                <w:b/>
                <w:color w:val="auto"/>
                <w:sz w:val="24"/>
                <w:szCs w:val="24"/>
              </w:rPr>
              <w:t>表</w:t>
            </w:r>
            <w:r>
              <w:rPr>
                <w:rFonts w:hint="eastAsia"/>
                <w:b/>
                <w:color w:val="auto"/>
                <w:sz w:val="24"/>
                <w:szCs w:val="24"/>
              </w:rPr>
              <w:t>4-</w:t>
            </w:r>
            <w:r>
              <w:rPr>
                <w:rFonts w:hint="eastAsia"/>
                <w:b/>
                <w:color w:val="auto"/>
                <w:sz w:val="24"/>
                <w:szCs w:val="24"/>
                <w:lang w:val="en-US" w:eastAsia="zh-CN"/>
              </w:rPr>
              <w:t xml:space="preserve">21  </w:t>
            </w:r>
            <w:r>
              <w:rPr>
                <w:rFonts w:hint="eastAsia"/>
                <w:color w:val="auto"/>
                <w:sz w:val="24"/>
                <w:szCs w:val="24"/>
                <w:lang w:val="en-US" w:eastAsia="zh-CN"/>
              </w:rPr>
              <w:t>危险废物产生单位分类标准</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34"/>
              <w:gridCol w:w="2835"/>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40"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危险废物等级</w:t>
                  </w:r>
                </w:p>
              </w:tc>
              <w:tc>
                <w:tcPr>
                  <w:tcW w:w="5682" w:type="dxa"/>
                  <w:gridSpan w:val="2"/>
                  <w:tcBorders>
                    <w:tl2br w:val="nil"/>
                    <w:tr2bl w:val="nil"/>
                  </w:tcBorders>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年危险废物最大产生量（吨）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40"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2841" w:type="dxa"/>
                  <w:tcBorders>
                    <w:tl2br w:val="nil"/>
                    <w:tr2bl w:val="nil"/>
                  </w:tcBorders>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重点源单位</w:t>
                  </w:r>
                </w:p>
              </w:tc>
              <w:tc>
                <w:tcPr>
                  <w:tcW w:w="2841" w:type="dxa"/>
                  <w:tcBorders>
                    <w:tl2br w:val="nil"/>
                    <w:tr2bl w:val="nil"/>
                  </w:tcBorders>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一般源单位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40" w:type="dxa"/>
                  <w:tcBorders>
                    <w:tl2br w:val="nil"/>
                    <w:tr2bl w:val="nil"/>
                  </w:tcBorders>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fldChar w:fldCharType="begin"/>
                  </w:r>
                  <w:r>
                    <w:rPr>
                      <w:rFonts w:hint="default" w:ascii="Times New Roman" w:hAnsi="Times New Roman" w:eastAsia="宋体" w:cs="Times New Roman"/>
                      <w:color w:val="auto"/>
                      <w:sz w:val="21"/>
                      <w:szCs w:val="21"/>
                      <w:vertAlign w:val="baseline"/>
                      <w:lang w:val="en-US" w:eastAsia="zh-CN"/>
                    </w:rPr>
                    <w:instrText xml:space="preserve"> = 1 \* ROMAN \* MERGEFORMAT </w:instrText>
                  </w:r>
                  <w:r>
                    <w:rPr>
                      <w:rFonts w:hint="default" w:ascii="Times New Roman" w:hAnsi="Times New Roman" w:eastAsia="宋体" w:cs="Times New Roman"/>
                      <w:color w:val="auto"/>
                      <w:sz w:val="21"/>
                      <w:szCs w:val="21"/>
                      <w:vertAlign w:val="baseline"/>
                      <w:lang w:val="en-US" w:eastAsia="zh-CN"/>
                    </w:rPr>
                    <w:fldChar w:fldCharType="separate"/>
                  </w:r>
                  <w:r>
                    <w:rPr>
                      <w:rFonts w:hint="default" w:ascii="Times New Roman" w:hAnsi="Times New Roman" w:eastAsia="宋体" w:cs="Times New Roman"/>
                      <w:color w:val="auto"/>
                      <w:sz w:val="21"/>
                      <w:szCs w:val="21"/>
                    </w:rPr>
                    <w:t>I</w:t>
                  </w:r>
                  <w:r>
                    <w:rPr>
                      <w:rFonts w:hint="default" w:ascii="Times New Roman" w:hAnsi="Times New Roman" w:eastAsia="宋体" w:cs="Times New Roman"/>
                      <w:color w:val="auto"/>
                      <w:sz w:val="21"/>
                      <w:szCs w:val="21"/>
                      <w:vertAlign w:val="baseline"/>
                      <w:lang w:val="en-US" w:eastAsia="zh-CN"/>
                    </w:rPr>
                    <w:fldChar w:fldCharType="end"/>
                  </w:r>
                  <w:r>
                    <w:rPr>
                      <w:rFonts w:hint="default" w:ascii="Times New Roman" w:hAnsi="Times New Roman" w:eastAsia="宋体" w:cs="Times New Roman"/>
                      <w:color w:val="auto"/>
                      <w:sz w:val="21"/>
                      <w:szCs w:val="21"/>
                      <w:vertAlign w:val="baseline"/>
                      <w:lang w:val="en-US" w:eastAsia="zh-CN"/>
                    </w:rPr>
                    <w:t>级</w:t>
                  </w:r>
                </w:p>
              </w:tc>
              <w:tc>
                <w:tcPr>
                  <w:tcW w:w="2841" w:type="dxa"/>
                  <w:tcBorders>
                    <w:tl2br w:val="nil"/>
                    <w:tr2bl w:val="nil"/>
                  </w:tcBorders>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＞0.3吨</w:t>
                  </w:r>
                </w:p>
              </w:tc>
              <w:tc>
                <w:tcPr>
                  <w:tcW w:w="2841" w:type="dxa"/>
                  <w:tcBorders>
                    <w:tl2br w:val="nil"/>
                    <w:tr2bl w:val="nil"/>
                  </w:tcBorders>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≤0.3吨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40" w:type="dxa"/>
                  <w:tcBorders>
                    <w:tl2br w:val="nil"/>
                    <w:tr2bl w:val="nil"/>
                  </w:tcBorders>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lang w:val="en-US" w:eastAsia="zh-CN"/>
                    </w:rPr>
                    <w:t>Ⅱ</w:t>
                  </w:r>
                  <w:r>
                    <w:rPr>
                      <w:rFonts w:hint="default" w:ascii="Times New Roman" w:hAnsi="Times New Roman" w:eastAsia="宋体" w:cs="Times New Roman"/>
                      <w:color w:val="auto"/>
                      <w:sz w:val="21"/>
                      <w:szCs w:val="21"/>
                      <w:vertAlign w:val="baseline"/>
                      <w:lang w:val="en-US" w:eastAsia="zh-CN"/>
                    </w:rPr>
                    <w:t>级</w:t>
                  </w:r>
                </w:p>
              </w:tc>
              <w:tc>
                <w:tcPr>
                  <w:tcW w:w="2841" w:type="dxa"/>
                  <w:tcBorders>
                    <w:tl2br w:val="nil"/>
                    <w:tr2bl w:val="nil"/>
                  </w:tcBorders>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＞5吨</w:t>
                  </w:r>
                </w:p>
              </w:tc>
              <w:tc>
                <w:tcPr>
                  <w:tcW w:w="2841" w:type="dxa"/>
                  <w:tcBorders>
                    <w:tl2br w:val="nil"/>
                    <w:tr2bl w:val="nil"/>
                  </w:tcBorders>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40" w:type="dxa"/>
                  <w:tcBorders>
                    <w:tl2br w:val="nil"/>
                    <w:tr2bl w:val="nil"/>
                  </w:tcBorders>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lang w:val="en-US" w:eastAsia="zh-CN"/>
                    </w:rPr>
                    <w:t>Ⅲ</w:t>
                  </w:r>
                  <w:r>
                    <w:rPr>
                      <w:rFonts w:hint="default" w:ascii="Times New Roman" w:hAnsi="Times New Roman" w:eastAsia="宋体" w:cs="Times New Roman"/>
                      <w:color w:val="auto"/>
                      <w:sz w:val="21"/>
                      <w:szCs w:val="21"/>
                      <w:vertAlign w:val="baseline"/>
                      <w:lang w:val="en-US" w:eastAsia="zh-CN"/>
                    </w:rPr>
                    <w:t>级</w:t>
                  </w:r>
                </w:p>
              </w:tc>
              <w:tc>
                <w:tcPr>
                  <w:tcW w:w="2841" w:type="dxa"/>
                  <w:tcBorders>
                    <w:tl2br w:val="nil"/>
                    <w:tr2bl w:val="nil"/>
                  </w:tcBorders>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＞10吨</w:t>
                  </w:r>
                </w:p>
              </w:tc>
              <w:tc>
                <w:tcPr>
                  <w:tcW w:w="2841" w:type="dxa"/>
                  <w:tcBorders>
                    <w:tl2br w:val="nil"/>
                    <w:tr2bl w:val="nil"/>
                  </w:tcBorders>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≤10吨</w:t>
                  </w:r>
                </w:p>
              </w:tc>
            </w:tr>
          </w:tbl>
          <w:p>
            <w:pPr>
              <w:rPr>
                <w:rFonts w:hint="default"/>
                <w:color w:val="auto"/>
                <w:sz w:val="18"/>
                <w:szCs w:val="18"/>
                <w:lang w:val="en-US" w:eastAsia="zh-CN"/>
              </w:rPr>
            </w:pPr>
            <w:r>
              <w:rPr>
                <w:rFonts w:hint="default"/>
                <w:color w:val="auto"/>
                <w:sz w:val="18"/>
                <w:szCs w:val="18"/>
                <w:lang w:val="en-US" w:eastAsia="zh-CN"/>
              </w:rPr>
              <w:t>注:</w:t>
            </w:r>
            <w:r>
              <w:rPr>
                <w:rFonts w:hint="default" w:ascii="Calibri" w:hAnsi="Calibri" w:cs="Calibri"/>
                <w:color w:val="auto"/>
                <w:sz w:val="18"/>
                <w:szCs w:val="18"/>
                <w:lang w:val="en-US" w:eastAsia="zh-CN"/>
              </w:rPr>
              <w:t>①</w:t>
            </w:r>
            <w:r>
              <w:rPr>
                <w:rFonts w:hint="default"/>
                <w:color w:val="auto"/>
                <w:sz w:val="18"/>
                <w:szCs w:val="18"/>
                <w:lang w:val="en-US" w:eastAsia="zh-CN"/>
              </w:rPr>
              <w:t>以清洗利用为目的且申报单位为“只”的废包装桶，按照0.01吨/立方米进行折算，其他废包装桶以实际重量计算;</w:t>
            </w:r>
            <w:r>
              <w:rPr>
                <w:rFonts w:hint="default" w:ascii="Calibri" w:hAnsi="Calibri" w:cs="Calibri"/>
                <w:color w:val="auto"/>
                <w:sz w:val="18"/>
                <w:szCs w:val="18"/>
                <w:lang w:val="en-US" w:eastAsia="zh-CN"/>
              </w:rPr>
              <w:t>②</w:t>
            </w:r>
            <w:r>
              <w:rPr>
                <w:rFonts w:hint="default"/>
                <w:color w:val="auto"/>
                <w:sz w:val="18"/>
                <w:szCs w:val="18"/>
                <w:lang w:val="en-US" w:eastAsia="zh-CN"/>
              </w:rPr>
              <w:t>年危险废物最大产生量之和大于10吨的，纳入重点源单位管理。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lang w:val="en-US" w:eastAsia="zh-CN"/>
              </w:rPr>
              <w:t>本项目</w:t>
            </w:r>
            <w:r>
              <w:rPr>
                <w:rFonts w:hint="eastAsia" w:ascii="Times New Roman" w:hAnsi="Times New Roman" w:eastAsia="宋体" w:cs="Times New Roman"/>
                <w:color w:val="auto"/>
                <w:sz w:val="24"/>
                <w:szCs w:val="24"/>
                <w:lang w:val="en-US" w:eastAsia="zh-CN"/>
              </w:rPr>
              <w:t>II</w:t>
            </w:r>
            <w:r>
              <w:rPr>
                <w:rFonts w:hint="default" w:ascii="Times New Roman" w:hAnsi="Times New Roman" w:eastAsia="宋体" w:cs="Times New Roman"/>
                <w:b w:val="0"/>
                <w:bCs/>
                <w:color w:val="auto"/>
                <w:sz w:val="24"/>
                <w:szCs w:val="24"/>
                <w:vertAlign w:val="baseline"/>
                <w:lang w:val="en-US" w:eastAsia="zh-CN"/>
              </w:rPr>
              <w:t>级危险废物年最大产生量</w:t>
            </w:r>
            <w:r>
              <w:rPr>
                <w:rFonts w:hint="default" w:ascii="Times New Roman" w:hAnsi="Times New Roman" w:eastAsia="宋体" w:cs="Times New Roman"/>
                <w:color w:val="auto"/>
                <w:sz w:val="24"/>
                <w:szCs w:val="24"/>
                <w:vertAlign w:val="baseline"/>
                <w:lang w:val="en-US" w:eastAsia="zh-CN"/>
              </w:rPr>
              <w:t>≤</w:t>
            </w:r>
            <w:r>
              <w:rPr>
                <w:rFonts w:hint="default" w:ascii="Times New Roman" w:hAnsi="Times New Roman" w:eastAsia="宋体" w:cs="Times New Roman"/>
                <w:b w:val="0"/>
                <w:bCs/>
                <w:color w:val="auto"/>
                <w:sz w:val="24"/>
                <w:szCs w:val="24"/>
                <w:vertAlign w:val="baseline"/>
                <w:lang w:val="en-US" w:eastAsia="zh-CN"/>
              </w:rPr>
              <w:t>5吨，</w:t>
            </w:r>
            <w:r>
              <w:rPr>
                <w:rFonts w:hint="eastAsia" w:ascii="Times New Roman" w:hAnsi="Times New Roman" w:eastAsia="宋体" w:cs="Times New Roman"/>
                <w:color w:val="auto"/>
                <w:sz w:val="24"/>
                <w:szCs w:val="24"/>
                <w:lang w:val="en-US" w:eastAsia="zh-CN"/>
              </w:rPr>
              <w:t>III</w:t>
            </w:r>
            <w:r>
              <w:rPr>
                <w:rFonts w:hint="default" w:ascii="Times New Roman" w:hAnsi="Times New Roman" w:eastAsia="宋体" w:cs="Times New Roman"/>
                <w:b w:val="0"/>
                <w:bCs/>
                <w:color w:val="auto"/>
                <w:sz w:val="24"/>
                <w:szCs w:val="24"/>
                <w:vertAlign w:val="baseline"/>
                <w:lang w:val="en-US" w:eastAsia="zh-CN"/>
              </w:rPr>
              <w:t>级危险废物年最大产生量＜10吨，即本单位为一般源单位。</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（5）固废暂存场所（设施）环境影响分析</w:t>
            </w:r>
          </w:p>
          <w:p>
            <w:pPr>
              <w:keepNext w:val="0"/>
              <w:keepLines w:val="0"/>
              <w:pageBreakBefore w:val="0"/>
              <w:tabs>
                <w:tab w:val="left" w:pos="1200"/>
              </w:tabs>
              <w:kinsoku/>
              <w:wordWrap/>
              <w:overflowPunct/>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一般工业固体废物贮存场所（设施）影响分析</w:t>
            </w:r>
          </w:p>
          <w:p>
            <w:pPr>
              <w:keepNext w:val="0"/>
              <w:keepLines w:val="0"/>
              <w:pageBreakBefore w:val="0"/>
              <w:tabs>
                <w:tab w:val="left" w:pos="1200"/>
              </w:tabs>
              <w:kinsoku/>
              <w:wordWrap/>
              <w:overflowPunct/>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本项目</w:t>
            </w:r>
            <w:r>
              <w:rPr>
                <w:rFonts w:hint="default" w:ascii="Times New Roman" w:hAnsi="Times New Roman" w:cs="Times New Roman"/>
                <w:color w:val="auto"/>
                <w:sz w:val="24"/>
                <w:szCs w:val="24"/>
              </w:rPr>
              <w:t>设一个</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的一般工业固废堆场。一般固废堆场</w:t>
            </w:r>
            <w:r>
              <w:rPr>
                <w:rFonts w:hint="eastAsia" w:cs="Times New Roman"/>
                <w:color w:val="auto"/>
                <w:sz w:val="24"/>
                <w:szCs w:val="24"/>
                <w:lang w:val="en-US" w:eastAsia="zh-CN"/>
              </w:rPr>
              <w:t>参照</w:t>
            </w:r>
            <w:r>
              <w:rPr>
                <w:rFonts w:hint="default" w:ascii="Times New Roman" w:hAnsi="Times New Roman" w:cs="Times New Roman"/>
                <w:color w:val="auto"/>
                <w:sz w:val="24"/>
                <w:szCs w:val="24"/>
              </w:rPr>
              <w:t>《一般工业固体废物贮存和填埋污染控制标准》（GB18599-2020）要求建设，对一般固废堆放区地面进行了硬化，并做好防</w:t>
            </w:r>
            <w:r>
              <w:rPr>
                <w:rFonts w:hint="eastAsia" w:cs="Times New Roman"/>
                <w:color w:val="auto"/>
                <w:sz w:val="24"/>
                <w:szCs w:val="24"/>
                <w:lang w:val="en-US" w:eastAsia="zh-CN"/>
              </w:rPr>
              <w:t>渗透、防雨淋、防扬尘</w:t>
            </w:r>
            <w:r>
              <w:rPr>
                <w:rFonts w:hint="default" w:ascii="Times New Roman" w:hAnsi="Times New Roman" w:cs="Times New Roman"/>
                <w:color w:val="auto"/>
                <w:sz w:val="24"/>
                <w:szCs w:val="24"/>
              </w:rPr>
              <w:t>处理，制定了“一般固废仓库管理制度”、“一般工业固废处置管理规定”，由专人维护。建设项目生产过程中有</w:t>
            </w:r>
            <w:r>
              <w:rPr>
                <w:rFonts w:hint="default" w:ascii="Times New Roman" w:hAnsi="Times New Roman" w:cs="Times New Roman"/>
                <w:color w:val="auto"/>
                <w:sz w:val="24"/>
                <w:szCs w:val="24"/>
                <w:highlight w:val="none"/>
              </w:rPr>
              <w:t>废</w:t>
            </w:r>
            <w:r>
              <w:rPr>
                <w:rFonts w:hint="eastAsia" w:ascii="Times New Roman" w:hAnsi="Times New Roman" w:cs="Times New Roman"/>
                <w:color w:val="auto"/>
                <w:sz w:val="24"/>
                <w:szCs w:val="24"/>
                <w:highlight w:val="none"/>
                <w:lang w:val="en-US" w:eastAsia="zh-CN"/>
              </w:rPr>
              <w:t>边角料</w:t>
            </w:r>
            <w:r>
              <w:rPr>
                <w:rFonts w:hint="default" w:ascii="Times New Roman" w:hAnsi="Times New Roman" w:cs="Times New Roman"/>
                <w:color w:val="auto"/>
                <w:sz w:val="24"/>
                <w:szCs w:val="24"/>
              </w:rPr>
              <w:t>属于一般工业固废，暂存于一般固废堆场，</w:t>
            </w:r>
            <w:r>
              <w:rPr>
                <w:rFonts w:hint="eastAsia" w:cs="Times New Roman"/>
                <w:color w:val="auto"/>
                <w:sz w:val="24"/>
                <w:szCs w:val="24"/>
                <w:lang w:val="en-US" w:eastAsia="zh-CN"/>
              </w:rPr>
              <w:t>定期</w:t>
            </w:r>
            <w:r>
              <w:rPr>
                <w:rFonts w:hint="default" w:ascii="Times New Roman" w:hAnsi="Times New Roman" w:cs="Times New Roman"/>
                <w:color w:val="auto"/>
                <w:sz w:val="24"/>
                <w:szCs w:val="24"/>
              </w:rPr>
              <w:t>外售处理。因此，</w:t>
            </w:r>
            <w:r>
              <w:rPr>
                <w:rFonts w:hint="default" w:ascii="Times New Roman" w:hAnsi="Times New Roman" w:cs="Times New Roman"/>
                <w:color w:val="auto"/>
                <w:sz w:val="24"/>
                <w:szCs w:val="24"/>
                <w:lang w:val="en-US" w:eastAsia="zh-CN"/>
              </w:rPr>
              <w:t>本项目</w:t>
            </w:r>
            <w:r>
              <w:rPr>
                <w:rFonts w:hint="default" w:ascii="Times New Roman" w:hAnsi="Times New Roman" w:cs="Times New Roman"/>
                <w:color w:val="auto"/>
                <w:sz w:val="24"/>
                <w:szCs w:val="24"/>
              </w:rPr>
              <w:t>一般工业固废的收集、贮存对环境的影响较小。</w:t>
            </w:r>
          </w:p>
          <w:p>
            <w:pPr>
              <w:keepNext w:val="0"/>
              <w:keepLines w:val="0"/>
              <w:pageBreakBefore w:val="0"/>
              <w:tabs>
                <w:tab w:val="left" w:pos="1200"/>
              </w:tabs>
              <w:kinsoku/>
              <w:wordWrap/>
              <w:overflowPunct/>
              <w:autoSpaceDE/>
              <w:autoSpaceDN/>
              <w:bidi w:val="0"/>
              <w:adjustRightInd w:val="0"/>
              <w:snapToGrid w:val="0"/>
              <w:spacing w:line="500" w:lineRule="exact"/>
              <w:ind w:firstLine="480" w:firstLineChars="200"/>
              <w:textAlignment w:val="auto"/>
              <w:rPr>
                <w:rFonts w:ascii="Times New Roman" w:hAnsi="Times New Roman"/>
                <w:color w:val="auto"/>
                <w:kern w:val="0"/>
                <w:sz w:val="24"/>
                <w:szCs w:val="24"/>
              </w:rPr>
            </w:pPr>
            <w:r>
              <w:rPr>
                <w:rFonts w:hint="default" w:ascii="Times New Roman" w:hAnsi="Times New Roman" w:cs="Times New Roman"/>
                <w:color w:val="auto"/>
                <w:sz w:val="24"/>
                <w:szCs w:val="24"/>
              </w:rPr>
              <w:t>B、</w:t>
            </w:r>
            <w:r>
              <w:rPr>
                <w:rFonts w:ascii="Times New Roman" w:hAnsi="Times New Roman"/>
                <w:color w:val="auto"/>
                <w:kern w:val="0"/>
                <w:sz w:val="24"/>
                <w:szCs w:val="24"/>
              </w:rPr>
              <w:t>危险废物</w:t>
            </w:r>
            <w:r>
              <w:rPr>
                <w:rFonts w:hint="eastAsia"/>
                <w:color w:val="auto"/>
                <w:kern w:val="0"/>
                <w:sz w:val="24"/>
                <w:szCs w:val="24"/>
                <w:lang w:val="en-US" w:eastAsia="zh-CN"/>
              </w:rPr>
              <w:t>产生区域贮存点</w:t>
            </w:r>
            <w:r>
              <w:rPr>
                <w:rFonts w:ascii="Times New Roman" w:hAnsi="Times New Roman"/>
                <w:color w:val="auto"/>
                <w:kern w:val="0"/>
                <w:sz w:val="24"/>
                <w:szCs w:val="24"/>
              </w:rPr>
              <w:t>环境影响分析</w:t>
            </w:r>
          </w:p>
          <w:p>
            <w:pPr>
              <w:pStyle w:val="34"/>
              <w:widowControl/>
              <w:spacing w:line="500" w:lineRule="exact"/>
              <w:ind w:firstLine="480"/>
              <w:rPr>
                <w:color w:val="auto"/>
                <w:kern w:val="0"/>
              </w:rPr>
            </w:pPr>
            <w:r>
              <w:rPr>
                <w:rFonts w:hint="eastAsia" w:ascii="宋体" w:hAnsi="宋体" w:cs="宋体"/>
                <w:color w:val="auto"/>
                <w:kern w:val="0"/>
              </w:rPr>
              <w:t>①</w:t>
            </w:r>
            <w:r>
              <w:rPr>
                <w:rFonts w:hint="eastAsia"/>
                <w:color w:val="auto"/>
                <w:kern w:val="0"/>
                <w:lang w:val="en-US" w:eastAsia="zh-CN"/>
              </w:rPr>
              <w:t>本项目属于一般源单位，根据省生态厅关于印发《江苏省危险废物集中收集体系建设工作方案（试行）》（苏环办</w:t>
            </w:r>
            <w:r>
              <w:rPr>
                <w:rFonts w:hint="eastAsia" w:ascii="Times New Roman" w:hAnsi="Times New Roman"/>
                <w:color w:val="auto"/>
                <w:kern w:val="0"/>
                <w:sz w:val="24"/>
                <w:highlight w:val="none"/>
                <w:lang w:val="en-US" w:eastAsia="zh-CN"/>
              </w:rPr>
              <w:t>〔2021〕</w:t>
            </w:r>
            <w:r>
              <w:rPr>
                <w:rFonts w:hint="eastAsia"/>
                <w:color w:val="auto"/>
                <w:kern w:val="0"/>
                <w:lang w:val="en-US" w:eastAsia="zh-CN"/>
              </w:rPr>
              <w:t>290号）的通知中“一般源单位精简危险废物管理计划内容，并自主选择在省危险废物全生命周期监控系统或收集单位自建ERP系统中进行申报；在不具备建设贮存场所的情况下，在产废区域设置符合环保和安全要求的临时贮存点，分类收集，及时转运；可以建立电子管理台账并定期打印存档。”</w:t>
            </w:r>
            <w:r>
              <w:rPr>
                <w:rFonts w:hint="default" w:ascii="Times New Roman" w:hAnsi="Times New Roman" w:cs="Times New Roman"/>
                <w:color w:val="auto"/>
                <w:lang w:val="en-US" w:eastAsia="zh-CN"/>
              </w:rPr>
              <w:t>本项目</w:t>
            </w:r>
            <w:r>
              <w:rPr>
                <w:rFonts w:hint="eastAsia" w:cs="Times New Roman"/>
                <w:color w:val="auto"/>
                <w:lang w:val="en-US" w:eastAsia="zh-CN"/>
              </w:rPr>
              <w:t>购买的园区标准厂房，</w:t>
            </w:r>
            <w:r>
              <w:rPr>
                <w:rFonts w:hint="eastAsia"/>
                <w:color w:val="auto"/>
                <w:kern w:val="0"/>
                <w:lang w:val="en-US" w:eastAsia="zh-CN"/>
              </w:rPr>
              <w:t>不具备建设贮存场所</w:t>
            </w:r>
            <w:r>
              <w:rPr>
                <w:rFonts w:hint="eastAsia" w:ascii="Times New Roman" w:hAnsi="Times New Roman"/>
                <w:color w:val="auto"/>
                <w:kern w:val="0"/>
                <w:sz w:val="24"/>
                <w:lang w:val="en-US" w:eastAsia="zh-CN"/>
              </w:rPr>
              <w:t>设施条件</w:t>
            </w:r>
            <w:r>
              <w:rPr>
                <w:rFonts w:hint="eastAsia"/>
                <w:color w:val="auto"/>
                <w:kern w:val="0"/>
                <w:lang w:val="en-US" w:eastAsia="zh-CN"/>
              </w:rPr>
              <w:t>，故拟设置</w:t>
            </w:r>
            <w:r>
              <w:rPr>
                <w:rFonts w:hint="eastAsia" w:cs="Times New Roman"/>
                <w:color w:val="auto"/>
                <w:highlight w:val="none"/>
                <w:lang w:val="en-US" w:eastAsia="zh-CN"/>
              </w:rPr>
              <w:t>一个</w:t>
            </w: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2</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的危险废物</w:t>
            </w:r>
            <w:r>
              <w:rPr>
                <w:rFonts w:hint="eastAsia" w:cs="Times New Roman"/>
                <w:color w:val="auto"/>
                <w:highlight w:val="none"/>
                <w:lang w:val="en-US" w:eastAsia="zh-CN"/>
              </w:rPr>
              <w:t>贮存点</w:t>
            </w:r>
            <w:r>
              <w:rPr>
                <w:rFonts w:hint="eastAsia"/>
                <w:color w:val="auto"/>
                <w:kern w:val="0"/>
                <w:lang w:val="en-US" w:eastAsia="zh-CN"/>
              </w:rPr>
              <w:t>。</w:t>
            </w:r>
            <w:r>
              <w:rPr>
                <w:color w:val="auto"/>
                <w:kern w:val="0"/>
              </w:rPr>
              <w:t>危险废物</w:t>
            </w:r>
            <w:r>
              <w:rPr>
                <w:rFonts w:hint="eastAsia" w:ascii="Times New Roman" w:hAnsi="Times New Roman"/>
                <w:color w:val="auto"/>
                <w:sz w:val="24"/>
                <w:highlight w:val="none"/>
                <w:lang w:eastAsia="zh-CN"/>
              </w:rPr>
              <w:t>产生区域</w:t>
            </w:r>
            <w:r>
              <w:rPr>
                <w:rFonts w:hint="eastAsia"/>
                <w:color w:val="auto"/>
                <w:kern w:val="0"/>
                <w:lang w:val="en-US" w:eastAsia="zh-CN"/>
              </w:rPr>
              <w:t>贮存点</w:t>
            </w:r>
            <w:r>
              <w:rPr>
                <w:color w:val="auto"/>
                <w:kern w:val="0"/>
              </w:rPr>
              <w:t>拟按照</w:t>
            </w:r>
            <w:r>
              <w:rPr>
                <w:rFonts w:hint="eastAsia"/>
                <w:color w:val="auto"/>
                <w:kern w:val="0"/>
              </w:rPr>
              <w:t>《危险废物贮存污染控制标准》（GB18597-20</w:t>
            </w:r>
            <w:r>
              <w:rPr>
                <w:rFonts w:hint="eastAsia"/>
                <w:color w:val="auto"/>
                <w:kern w:val="0"/>
                <w:lang w:val="en-US" w:eastAsia="zh-CN"/>
              </w:rPr>
              <w:t>23</w:t>
            </w:r>
            <w:r>
              <w:rPr>
                <w:rFonts w:hint="eastAsia"/>
                <w:color w:val="auto"/>
                <w:kern w:val="0"/>
              </w:rPr>
              <w:t>）的相关要求建设</w:t>
            </w:r>
            <w:r>
              <w:rPr>
                <w:color w:val="auto"/>
                <w:kern w:val="0"/>
              </w:rPr>
              <w:t>，</w:t>
            </w:r>
            <w:r>
              <w:rPr>
                <w:rFonts w:hint="eastAsia"/>
                <w:color w:val="auto"/>
                <w:kern w:val="0"/>
                <w:lang w:val="en-US" w:eastAsia="zh-CN"/>
              </w:rPr>
              <w:t>本</w:t>
            </w:r>
            <w:r>
              <w:rPr>
                <w:color w:val="auto"/>
                <w:kern w:val="0"/>
              </w:rPr>
              <w:t>项目危废分类存放、贮存，</w:t>
            </w:r>
            <w:r>
              <w:rPr>
                <w:color w:val="auto"/>
              </w:rPr>
              <w:t>不相容的危险废物除分类存放，还应设置隔离间隔断</w:t>
            </w:r>
            <w:r>
              <w:rPr>
                <w:color w:val="auto"/>
                <w:kern w:val="0"/>
              </w:rPr>
              <w:t>。</w:t>
            </w:r>
          </w:p>
          <w:p>
            <w:pPr>
              <w:pStyle w:val="34"/>
              <w:keepNext w:val="0"/>
              <w:keepLines w:val="0"/>
              <w:pageBreakBefore w:val="0"/>
              <w:widowControl/>
              <w:kinsoku/>
              <w:wordWrap/>
              <w:overflowPunct/>
              <w:topLinePunct w:val="0"/>
              <w:autoSpaceDE/>
              <w:autoSpaceDN/>
              <w:bidi w:val="0"/>
              <w:spacing w:line="500" w:lineRule="exact"/>
              <w:ind w:firstLine="480"/>
              <w:textAlignment w:val="auto"/>
              <w:rPr>
                <w:rFonts w:hint="eastAsia" w:ascii="Times New Roman" w:hAnsi="Times New Roman" w:eastAsia="宋体" w:cs="Times New Roman"/>
                <w:color w:val="auto"/>
                <w:highlight w:val="yellow"/>
                <w:vertAlign w:val="baseline"/>
                <w:lang w:val="en-US" w:eastAsia="zh-CN"/>
              </w:rPr>
            </w:pPr>
            <w:r>
              <w:rPr>
                <w:rFonts w:hint="default" w:ascii="Times New Roman" w:hAnsi="Times New Roman" w:cs="Times New Roman"/>
                <w:color w:val="auto"/>
                <w:kern w:val="0"/>
                <w:highlight w:val="none"/>
                <w:lang w:val="en-US" w:eastAsia="zh-CN"/>
              </w:rPr>
              <w:t>本项目</w:t>
            </w:r>
            <w:r>
              <w:rPr>
                <w:rFonts w:hint="default" w:ascii="Times New Roman" w:hAnsi="Times New Roman" w:cs="Times New Roman"/>
                <w:color w:val="auto"/>
                <w:kern w:val="0"/>
                <w:highlight w:val="none"/>
              </w:rPr>
              <w:t>产生的</w:t>
            </w:r>
            <w:r>
              <w:rPr>
                <w:rFonts w:ascii="Times New Roman" w:hAnsi="Times New Roman"/>
                <w:color w:val="auto"/>
              </w:rPr>
              <w:t>含油废</w:t>
            </w:r>
            <w:r>
              <w:rPr>
                <w:rFonts w:hint="eastAsia" w:ascii="Times New Roman" w:hAnsi="Times New Roman"/>
                <w:color w:val="auto"/>
                <w:lang w:val="en-US" w:eastAsia="zh-CN"/>
              </w:rPr>
              <w:t>液</w:t>
            </w:r>
            <w:r>
              <w:rPr>
                <w:rFonts w:ascii="Times New Roman" w:hAnsi="Times New Roman"/>
                <w:color w:val="auto"/>
              </w:rPr>
              <w:t>HW09、废劳保用品HW49</w:t>
            </w:r>
            <w:r>
              <w:rPr>
                <w:rFonts w:hint="eastAsia"/>
                <w:color w:val="auto"/>
                <w:lang w:eastAsia="zh-CN"/>
              </w:rPr>
              <w:t>、</w:t>
            </w:r>
            <w:r>
              <w:rPr>
                <w:rFonts w:hint="eastAsia"/>
                <w:color w:val="auto"/>
                <w:sz w:val="24"/>
                <w:szCs w:val="24"/>
                <w:lang w:val="en-US" w:eastAsia="zh-CN"/>
              </w:rPr>
              <w:t>废润滑油</w:t>
            </w:r>
            <w:r>
              <w:rPr>
                <w:rFonts w:hint="default" w:ascii="Times New Roman" w:hAnsi="Times New Roman" w:eastAsia="宋体" w:cs="Times New Roman"/>
                <w:color w:val="auto"/>
                <w:sz w:val="24"/>
                <w:szCs w:val="24"/>
              </w:rPr>
              <w:t>HW</w:t>
            </w:r>
            <w:r>
              <w:rPr>
                <w:rFonts w:hint="default" w:ascii="Times New Roman" w:hAnsi="Times New Roman" w:eastAsia="宋体" w:cs="Times New Roman"/>
                <w:color w:val="auto"/>
                <w:sz w:val="24"/>
                <w:szCs w:val="24"/>
                <w:lang w:val="en-US" w:eastAsia="zh-CN"/>
              </w:rPr>
              <w:t>08</w:t>
            </w:r>
            <w:r>
              <w:rPr>
                <w:rFonts w:hint="default" w:ascii="Times New Roman" w:hAnsi="Times New Roman" w:cs="Times New Roman"/>
                <w:color w:val="auto"/>
                <w:kern w:val="0"/>
                <w:highlight w:val="none"/>
              </w:rPr>
              <w:t>贮存区面积</w:t>
            </w:r>
            <w:r>
              <w:rPr>
                <w:rFonts w:hint="eastAsia" w:ascii="Times New Roman" w:hAnsi="Times New Roman" w:cs="Times New Roman"/>
                <w:color w:val="auto"/>
                <w:kern w:val="0"/>
                <w:highlight w:val="none"/>
                <w:lang w:val="en-US" w:eastAsia="zh-CN"/>
              </w:rPr>
              <w:t>各</w:t>
            </w:r>
            <w:r>
              <w:rPr>
                <w:rFonts w:hint="default" w:ascii="Times New Roman" w:hAnsi="Times New Roman" w:cs="Times New Roman"/>
                <w:color w:val="auto"/>
                <w:kern w:val="0"/>
                <w:highlight w:val="none"/>
              </w:rPr>
              <w:t>约</w:t>
            </w:r>
            <w:r>
              <w:rPr>
                <w:rFonts w:hint="eastAsia" w:ascii="Times New Roman" w:hAnsi="Times New Roman" w:cs="Times New Roman"/>
                <w:color w:val="auto"/>
                <w:kern w:val="0"/>
                <w:highlight w:val="none"/>
                <w:lang w:val="en-US" w:eastAsia="zh-CN"/>
              </w:rPr>
              <w:t>0.5</w:t>
            </w:r>
            <w:r>
              <w:rPr>
                <w:rFonts w:hint="default" w:ascii="Times New Roman" w:hAnsi="Times New Roman" w:cs="Times New Roman"/>
                <w:color w:val="auto"/>
                <w:kern w:val="0"/>
                <w:highlight w:val="none"/>
              </w:rPr>
              <w:t>m</w:t>
            </w:r>
            <w:r>
              <w:rPr>
                <w:rFonts w:hint="default" w:ascii="Times New Roman" w:hAnsi="Times New Roman" w:cs="Times New Roman"/>
                <w:color w:val="auto"/>
                <w:kern w:val="0"/>
                <w:highlight w:val="none"/>
                <w:vertAlign w:val="superscript"/>
              </w:rPr>
              <w:t>2</w:t>
            </w:r>
            <w:r>
              <w:rPr>
                <w:rFonts w:hint="default" w:ascii="Times New Roman" w:hAnsi="Times New Roman" w:cs="Times New Roman"/>
                <w:color w:val="auto"/>
                <w:highlight w:val="none"/>
              </w:rPr>
              <w:t>；</w:t>
            </w:r>
            <w:r>
              <w:rPr>
                <w:rFonts w:hint="eastAsia" w:cs="Times New Roman"/>
                <w:color w:val="auto"/>
                <w:highlight w:val="none"/>
                <w:lang w:val="en-US" w:eastAsia="zh-CN"/>
              </w:rPr>
              <w:t>清洗废液用桶装密闭贮存在危废贮存点，贮存面积约2</w:t>
            </w:r>
            <w:r>
              <w:rPr>
                <w:rFonts w:hint="default" w:ascii="Times New Roman" w:hAnsi="Times New Roman" w:cs="Times New Roman"/>
                <w:color w:val="auto"/>
                <w:kern w:val="0"/>
                <w:highlight w:val="none"/>
              </w:rPr>
              <w:t>m</w:t>
            </w:r>
            <w:r>
              <w:rPr>
                <w:rFonts w:hint="default" w:ascii="Times New Roman" w:hAnsi="Times New Roman" w:cs="Times New Roman"/>
                <w:color w:val="auto"/>
                <w:kern w:val="0"/>
                <w:highlight w:val="none"/>
                <w:vertAlign w:val="superscript"/>
              </w:rPr>
              <w:t>2</w:t>
            </w:r>
            <w:r>
              <w:rPr>
                <w:rFonts w:hint="eastAsia" w:cs="Times New Roman"/>
                <w:color w:val="auto"/>
                <w:kern w:val="0"/>
                <w:highlight w:val="none"/>
                <w:vertAlign w:val="baseline"/>
                <w:lang w:eastAsia="zh-CN"/>
              </w:rPr>
              <w:t>；</w:t>
            </w:r>
            <w:r>
              <w:rPr>
                <w:rFonts w:hint="default" w:ascii="Times New Roman" w:hAnsi="Times New Roman" w:cs="Times New Roman"/>
                <w:color w:val="auto"/>
                <w:kern w:val="0"/>
                <w:highlight w:val="none"/>
              </w:rPr>
              <w:t>活性炭</w:t>
            </w:r>
            <w:r>
              <w:rPr>
                <w:rFonts w:hint="default" w:ascii="Times New Roman" w:hAnsi="Times New Roman" w:cs="Times New Roman"/>
                <w:color w:val="auto"/>
                <w:highlight w:val="none"/>
                <w:lang w:val="en-US" w:eastAsia="zh-CN"/>
              </w:rPr>
              <w:t>每次更换后及时转移</w:t>
            </w:r>
            <w:r>
              <w:rPr>
                <w:rFonts w:hint="default" w:ascii="Times New Roman" w:hAnsi="Times New Roman" w:cs="Times New Roman"/>
                <w:color w:val="auto"/>
                <w:kern w:val="0"/>
                <w:highlight w:val="none"/>
              </w:rPr>
              <w:t>，最多同时更换约</w:t>
            </w:r>
            <w:r>
              <w:rPr>
                <w:rFonts w:hint="eastAsia" w:cs="Times New Roman"/>
                <w:color w:val="auto"/>
                <w:kern w:val="0"/>
                <w:highlight w:val="none"/>
                <w:lang w:val="en-US" w:eastAsia="zh-CN"/>
              </w:rPr>
              <w:t>2</w:t>
            </w:r>
            <w:r>
              <w:rPr>
                <w:rFonts w:hint="default" w:ascii="Times New Roman" w:hAnsi="Times New Roman" w:cs="Times New Roman"/>
                <w:color w:val="auto"/>
                <w:kern w:val="0"/>
                <w:highlight w:val="none"/>
              </w:rPr>
              <w:t>个吨袋，</w:t>
            </w:r>
            <w:r>
              <w:rPr>
                <w:rFonts w:hint="default" w:ascii="Times New Roman" w:hAnsi="Times New Roman" w:cs="Times New Roman"/>
                <w:color w:val="auto"/>
                <w:highlight w:val="none"/>
              </w:rPr>
              <w:t>废活性炭HW49采用吨袋密封后</w:t>
            </w:r>
            <w:r>
              <w:rPr>
                <w:rFonts w:hint="default" w:ascii="Times New Roman" w:hAnsi="Times New Roman" w:cs="Times New Roman"/>
                <w:color w:val="auto"/>
                <w:kern w:val="0"/>
                <w:highlight w:val="none"/>
              </w:rPr>
              <w:t>分区贮存在</w:t>
            </w:r>
            <w:r>
              <w:rPr>
                <w:rFonts w:hint="eastAsia" w:cs="Times New Roman"/>
                <w:color w:val="auto"/>
                <w:kern w:val="0"/>
                <w:highlight w:val="none"/>
                <w:lang w:eastAsia="zh-CN"/>
              </w:rPr>
              <w:t>危废贮存点</w:t>
            </w:r>
            <w:r>
              <w:rPr>
                <w:rFonts w:hint="default" w:ascii="Times New Roman" w:hAnsi="Times New Roman" w:cs="Times New Roman"/>
                <w:color w:val="auto"/>
                <w:kern w:val="0"/>
                <w:highlight w:val="none"/>
              </w:rPr>
              <w:t>，每个吨袋占地约</w:t>
            </w:r>
            <w:r>
              <w:rPr>
                <w:rFonts w:hint="eastAsia" w:cs="Times New Roman"/>
                <w:color w:val="auto"/>
                <w:kern w:val="0"/>
                <w:highlight w:val="none"/>
                <w:lang w:val="en-US" w:eastAsia="zh-CN"/>
              </w:rPr>
              <w:t>1</w:t>
            </w:r>
            <w:r>
              <w:rPr>
                <w:rFonts w:hint="default" w:ascii="Times New Roman" w:hAnsi="Times New Roman" w:cs="Times New Roman"/>
                <w:color w:val="auto"/>
                <w:kern w:val="0"/>
                <w:highlight w:val="none"/>
              </w:rPr>
              <w:t>m</w:t>
            </w:r>
            <w:r>
              <w:rPr>
                <w:rFonts w:hint="default" w:ascii="Times New Roman" w:hAnsi="Times New Roman" w:cs="Times New Roman"/>
                <w:color w:val="auto"/>
                <w:kern w:val="0"/>
                <w:highlight w:val="none"/>
                <w:vertAlign w:val="superscript"/>
              </w:rPr>
              <w:t>2</w:t>
            </w:r>
            <w:r>
              <w:rPr>
                <w:rFonts w:hint="default" w:ascii="Times New Roman" w:hAnsi="Times New Roman" w:cs="Times New Roman"/>
                <w:color w:val="auto"/>
                <w:kern w:val="0"/>
                <w:highlight w:val="none"/>
              </w:rPr>
              <w:t>，本项目设置</w:t>
            </w:r>
            <w:r>
              <w:rPr>
                <w:rFonts w:hint="eastAsia" w:cs="Times New Roman"/>
                <w:color w:val="auto"/>
                <w:kern w:val="0"/>
                <w:highlight w:val="none"/>
                <w:lang w:val="en-US" w:eastAsia="zh-CN"/>
              </w:rPr>
              <w:t>2</w:t>
            </w:r>
            <w:r>
              <w:rPr>
                <w:rFonts w:hint="default" w:ascii="Times New Roman" w:hAnsi="Times New Roman" w:cs="Times New Roman"/>
                <w:color w:val="auto"/>
                <w:kern w:val="0"/>
                <w:highlight w:val="none"/>
              </w:rPr>
              <w:t>m</w:t>
            </w:r>
            <w:r>
              <w:rPr>
                <w:rFonts w:hint="default" w:ascii="Times New Roman" w:hAnsi="Times New Roman" w:cs="Times New Roman"/>
                <w:color w:val="auto"/>
                <w:kern w:val="0"/>
                <w:highlight w:val="none"/>
                <w:vertAlign w:val="superscript"/>
              </w:rPr>
              <w:t>2</w:t>
            </w:r>
            <w:r>
              <w:rPr>
                <w:rFonts w:hint="default" w:ascii="Times New Roman" w:hAnsi="Times New Roman" w:cs="Times New Roman"/>
                <w:color w:val="auto"/>
                <w:highlight w:val="none"/>
              </w:rPr>
              <w:t>贮存区；废包装桶HW49</w:t>
            </w:r>
            <w:r>
              <w:rPr>
                <w:rFonts w:hint="eastAsia" w:cs="Times New Roman"/>
                <w:color w:val="auto"/>
                <w:highlight w:val="none"/>
                <w:lang w:eastAsia="zh-CN"/>
              </w:rPr>
              <w:t>、</w:t>
            </w:r>
            <w:r>
              <w:rPr>
                <w:rFonts w:hint="eastAsia" w:cs="Times New Roman"/>
                <w:color w:val="auto"/>
                <w:highlight w:val="none"/>
                <w:lang w:val="en-US" w:eastAsia="zh-CN"/>
              </w:rPr>
              <w:t>废润滑油桶</w:t>
            </w:r>
            <w:r>
              <w:rPr>
                <w:rFonts w:hint="default" w:ascii="Times New Roman" w:hAnsi="Times New Roman" w:cs="Times New Roman"/>
                <w:color w:val="auto"/>
                <w:highlight w:val="none"/>
              </w:rPr>
              <w:t>HW</w:t>
            </w:r>
            <w:r>
              <w:rPr>
                <w:rFonts w:hint="eastAsia" w:ascii="Times New Roman" w:hAnsi="Times New Roman" w:cs="Times New Roman"/>
                <w:color w:val="auto"/>
                <w:highlight w:val="none"/>
                <w:lang w:val="en-US" w:eastAsia="zh-CN"/>
              </w:rPr>
              <w:t>08</w:t>
            </w:r>
            <w:r>
              <w:rPr>
                <w:rFonts w:hint="default" w:ascii="Times New Roman" w:hAnsi="Times New Roman" w:cs="Times New Roman"/>
                <w:color w:val="auto"/>
                <w:highlight w:val="none"/>
              </w:rPr>
              <w:t>堆积存放在</w:t>
            </w:r>
            <w:r>
              <w:rPr>
                <w:rFonts w:hint="eastAsia" w:cs="Times New Roman"/>
                <w:color w:val="auto"/>
                <w:highlight w:val="none"/>
                <w:lang w:eastAsia="zh-CN"/>
              </w:rPr>
              <w:t>危废贮存点</w:t>
            </w:r>
            <w:r>
              <w:rPr>
                <w:rFonts w:hint="default" w:ascii="Times New Roman" w:hAnsi="Times New Roman" w:cs="Times New Roman"/>
                <w:color w:val="auto"/>
                <w:highlight w:val="none"/>
              </w:rPr>
              <w:t>，每只桶占地约0.</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kern w:val="0"/>
                <w:highlight w:val="none"/>
              </w:rPr>
              <w:t>m</w:t>
            </w:r>
            <w:r>
              <w:rPr>
                <w:rFonts w:hint="default" w:ascii="Times New Roman" w:hAnsi="Times New Roman" w:cs="Times New Roman"/>
                <w:color w:val="auto"/>
                <w:kern w:val="0"/>
                <w:highlight w:val="none"/>
                <w:vertAlign w:val="superscript"/>
              </w:rPr>
              <w:t>2</w:t>
            </w:r>
            <w:r>
              <w:rPr>
                <w:rFonts w:hint="default" w:ascii="Times New Roman" w:hAnsi="Times New Roman" w:cs="Times New Roman"/>
                <w:color w:val="auto"/>
                <w:kern w:val="0"/>
                <w:highlight w:val="none"/>
              </w:rPr>
              <w:t>，1个月贮存量为</w:t>
            </w:r>
            <w:r>
              <w:rPr>
                <w:rFonts w:hint="eastAsia" w:cs="Times New Roman"/>
                <w:color w:val="auto"/>
                <w:kern w:val="0"/>
                <w:highlight w:val="none"/>
                <w:lang w:val="en-US" w:eastAsia="zh-CN"/>
              </w:rPr>
              <w:t>8</w:t>
            </w:r>
            <w:r>
              <w:rPr>
                <w:rFonts w:hint="default" w:ascii="Times New Roman" w:hAnsi="Times New Roman" w:cs="Times New Roman"/>
                <w:color w:val="auto"/>
                <w:kern w:val="0"/>
                <w:highlight w:val="none"/>
              </w:rPr>
              <w:t>个，</w:t>
            </w:r>
            <w:r>
              <w:rPr>
                <w:rFonts w:hint="default" w:ascii="Times New Roman" w:hAnsi="Times New Roman" w:cs="Times New Roman"/>
                <w:color w:val="auto"/>
                <w:highlight w:val="none"/>
              </w:rPr>
              <w:t>贮存区面积约为</w:t>
            </w:r>
            <w:r>
              <w:rPr>
                <w:rFonts w:hint="eastAsia" w:cs="Times New Roman"/>
                <w:color w:val="auto"/>
                <w:kern w:val="0"/>
                <w:highlight w:val="none"/>
                <w:lang w:val="en-US" w:eastAsia="zh-CN"/>
              </w:rPr>
              <w:t>3.2</w:t>
            </w:r>
            <w:r>
              <w:rPr>
                <w:rFonts w:hint="default" w:ascii="Times New Roman" w:hAnsi="Times New Roman" w:cs="Times New Roman"/>
                <w:color w:val="auto"/>
                <w:kern w:val="0"/>
                <w:highlight w:val="none"/>
              </w:rPr>
              <w:t>m</w:t>
            </w:r>
            <w:r>
              <w:rPr>
                <w:rFonts w:hint="default" w:ascii="Times New Roman" w:hAnsi="Times New Roman" w:cs="Times New Roman"/>
                <w:color w:val="auto"/>
                <w:kern w:val="0"/>
                <w:highlight w:val="none"/>
                <w:vertAlign w:val="superscript"/>
              </w:rPr>
              <w:t>2</w:t>
            </w:r>
            <w:r>
              <w:rPr>
                <w:rFonts w:hint="default" w:ascii="Times New Roman" w:hAnsi="Times New Roman" w:cs="Times New Roman"/>
                <w:color w:val="auto"/>
                <w:kern w:val="0"/>
                <w:highlight w:val="none"/>
              </w:rPr>
              <w:t>，本项目设置贮存区面积约</w:t>
            </w:r>
            <w:r>
              <w:rPr>
                <w:rFonts w:hint="eastAsia" w:cs="Times New Roman"/>
                <w:color w:val="auto"/>
                <w:kern w:val="0"/>
                <w:highlight w:val="none"/>
                <w:lang w:val="en-US" w:eastAsia="zh-CN"/>
              </w:rPr>
              <w:t>3.5</w:t>
            </w:r>
            <w:r>
              <w:rPr>
                <w:rFonts w:hint="default" w:ascii="Times New Roman" w:hAnsi="Times New Roman" w:cs="Times New Roman"/>
                <w:color w:val="auto"/>
                <w:kern w:val="0"/>
                <w:highlight w:val="none"/>
              </w:rPr>
              <w:t>m</w:t>
            </w:r>
            <w:r>
              <w:rPr>
                <w:rFonts w:hint="default" w:ascii="Times New Roman" w:hAnsi="Times New Roman" w:cs="Times New Roman"/>
                <w:color w:val="auto"/>
                <w:kern w:val="0"/>
                <w:highlight w:val="none"/>
                <w:vertAlign w:val="superscript"/>
              </w:rPr>
              <w:t>2</w:t>
            </w:r>
            <w:r>
              <w:rPr>
                <w:rFonts w:hint="eastAsia" w:cs="Times New Roman"/>
                <w:color w:val="auto"/>
                <w:kern w:val="0"/>
                <w:highlight w:val="none"/>
                <w:vertAlign w:val="baseline"/>
                <w:lang w:eastAsia="zh-CN"/>
              </w:rPr>
              <w:t>。</w:t>
            </w:r>
          </w:p>
          <w:p>
            <w:pPr>
              <w:pStyle w:val="4"/>
              <w:pageBreakBefore w:val="0"/>
              <w:kinsoku/>
              <w:wordWrap/>
              <w:overflowPunct/>
              <w:topLinePunct w:val="0"/>
              <w:autoSpaceDE/>
              <w:autoSpaceDN/>
              <w:bidi w:val="0"/>
              <w:spacing w:before="0" w:after="0" w:line="500" w:lineRule="exact"/>
              <w:ind w:firstLine="480" w:firstLineChars="200"/>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综上分析，</w:t>
            </w:r>
            <w:r>
              <w:rPr>
                <w:rFonts w:hint="default" w:ascii="Times New Roman" w:hAnsi="Times New Roman" w:cs="Times New Roman"/>
                <w:b w:val="0"/>
                <w:bCs w:val="0"/>
                <w:color w:val="auto"/>
                <w:sz w:val="24"/>
                <w:szCs w:val="24"/>
                <w:highlight w:val="none"/>
                <w:lang w:val="en-US" w:eastAsia="zh-CN"/>
              </w:rPr>
              <w:t>本项目</w:t>
            </w:r>
            <w:r>
              <w:rPr>
                <w:rFonts w:hint="default" w:ascii="Times New Roman" w:hAnsi="Times New Roman" w:cs="Times New Roman"/>
                <w:b w:val="0"/>
                <w:bCs w:val="0"/>
                <w:color w:val="auto"/>
                <w:sz w:val="24"/>
                <w:szCs w:val="24"/>
                <w:highlight w:val="none"/>
              </w:rPr>
              <w:t>所产生的危废暂存1个月共需</w:t>
            </w:r>
            <w:r>
              <w:rPr>
                <w:rFonts w:hint="eastAsia" w:cs="Times New Roman"/>
                <w:b w:val="0"/>
                <w:bCs w:val="0"/>
                <w:color w:val="auto"/>
                <w:sz w:val="24"/>
                <w:szCs w:val="24"/>
                <w:highlight w:val="none"/>
                <w:lang w:val="en-US" w:eastAsia="zh-CN"/>
              </w:rPr>
              <w:t>9</w:t>
            </w:r>
            <w:r>
              <w:rPr>
                <w:rFonts w:hint="default" w:ascii="Times New Roman" w:hAnsi="Times New Roman" w:cs="Times New Roman"/>
                <w:b w:val="0"/>
                <w:bCs w:val="0"/>
                <w:color w:val="auto"/>
                <w:sz w:val="24"/>
                <w:szCs w:val="24"/>
                <w:highlight w:val="none"/>
              </w:rPr>
              <w:t>m</w:t>
            </w:r>
            <w:r>
              <w:rPr>
                <w:rFonts w:hint="default" w:ascii="Times New Roman" w:hAnsi="Times New Roman" w:cs="Times New Roman"/>
                <w:b w:val="0"/>
                <w:bCs w:val="0"/>
                <w:color w:val="auto"/>
                <w:sz w:val="24"/>
                <w:szCs w:val="24"/>
                <w:highlight w:val="none"/>
                <w:vertAlign w:val="superscript"/>
              </w:rPr>
              <w:t>2</w:t>
            </w:r>
            <w:r>
              <w:rPr>
                <w:rFonts w:hint="default" w:ascii="Times New Roman" w:hAnsi="Times New Roman" w:cs="Times New Roman"/>
                <w:b w:val="0"/>
                <w:bCs w:val="0"/>
                <w:color w:val="auto"/>
                <w:sz w:val="24"/>
                <w:szCs w:val="24"/>
                <w:highlight w:val="none"/>
              </w:rPr>
              <w:t>，考虑</w:t>
            </w:r>
            <w:r>
              <w:rPr>
                <w:rFonts w:hint="eastAsia" w:cs="Times New Roman"/>
                <w:b w:val="0"/>
                <w:bCs w:val="0"/>
                <w:color w:val="auto"/>
                <w:sz w:val="24"/>
                <w:szCs w:val="24"/>
                <w:highlight w:val="none"/>
                <w:lang w:eastAsia="zh-CN"/>
              </w:rPr>
              <w:t>危废贮存点</w:t>
            </w:r>
            <w:r>
              <w:rPr>
                <w:rFonts w:hint="default" w:ascii="Times New Roman" w:hAnsi="Times New Roman" w:cs="Times New Roman"/>
                <w:b w:val="0"/>
                <w:bCs w:val="0"/>
                <w:color w:val="auto"/>
                <w:sz w:val="24"/>
                <w:szCs w:val="24"/>
                <w:highlight w:val="none"/>
              </w:rPr>
              <w:t>还需设置过道、导流渠、收集池等，</w:t>
            </w:r>
            <w:r>
              <w:rPr>
                <w:rFonts w:hint="default" w:ascii="Times New Roman" w:hAnsi="Times New Roman" w:cs="Times New Roman"/>
                <w:b w:val="0"/>
                <w:bCs w:val="0"/>
                <w:color w:val="auto"/>
                <w:sz w:val="24"/>
                <w:szCs w:val="24"/>
                <w:highlight w:val="none"/>
                <w:lang w:val="en-US" w:eastAsia="zh-CN"/>
              </w:rPr>
              <w:t>本项目</w:t>
            </w:r>
            <w:r>
              <w:rPr>
                <w:rFonts w:hint="default" w:ascii="Times New Roman" w:hAnsi="Times New Roman" w:cs="Times New Roman"/>
                <w:b w:val="0"/>
                <w:bCs w:val="0"/>
                <w:color w:val="auto"/>
                <w:sz w:val="24"/>
                <w:szCs w:val="24"/>
                <w:highlight w:val="none"/>
              </w:rPr>
              <w:t>设置</w:t>
            </w:r>
            <w:r>
              <w:rPr>
                <w:rFonts w:hint="eastAsia" w:cs="Times New Roman"/>
                <w:b w:val="0"/>
                <w:bCs w:val="0"/>
                <w:color w:val="auto"/>
                <w:sz w:val="24"/>
                <w:szCs w:val="24"/>
                <w:highlight w:val="none"/>
                <w:lang w:eastAsia="zh-CN"/>
              </w:rPr>
              <w:t>危废贮存点</w:t>
            </w:r>
            <w:r>
              <w:rPr>
                <w:rFonts w:hint="default" w:ascii="Times New Roman" w:hAnsi="Times New Roman" w:cs="Times New Roman"/>
                <w:b w:val="0"/>
                <w:bCs w:val="0"/>
                <w:color w:val="auto"/>
                <w:sz w:val="24"/>
                <w:szCs w:val="24"/>
                <w:highlight w:val="none"/>
              </w:rPr>
              <w:t>面积约</w:t>
            </w:r>
            <w:r>
              <w:rPr>
                <w:rFonts w:hint="eastAsia" w:ascii="Times New Roman" w:hAnsi="Times New Roman" w:cs="Times New Roman"/>
                <w:b w:val="0"/>
                <w:bCs w:val="0"/>
                <w:color w:val="auto"/>
                <w:sz w:val="24"/>
                <w:szCs w:val="24"/>
                <w:highlight w:val="none"/>
                <w:lang w:val="en-US" w:eastAsia="zh-CN"/>
              </w:rPr>
              <w:t>1</w:t>
            </w:r>
            <w:r>
              <w:rPr>
                <w:rFonts w:hint="eastAsia" w:cs="Times New Roman"/>
                <w:b w:val="0"/>
                <w:bCs w:val="0"/>
                <w:color w:val="auto"/>
                <w:sz w:val="24"/>
                <w:szCs w:val="24"/>
                <w:highlight w:val="none"/>
                <w:lang w:val="en-US" w:eastAsia="zh-CN"/>
              </w:rPr>
              <w:t>2</w:t>
            </w:r>
            <w:r>
              <w:rPr>
                <w:rFonts w:hint="default" w:ascii="Times New Roman" w:hAnsi="Times New Roman" w:cs="Times New Roman"/>
                <w:b w:val="0"/>
                <w:bCs w:val="0"/>
                <w:color w:val="auto"/>
                <w:sz w:val="24"/>
                <w:szCs w:val="24"/>
                <w:highlight w:val="none"/>
              </w:rPr>
              <w:t>m</w:t>
            </w:r>
            <w:r>
              <w:rPr>
                <w:rFonts w:hint="default" w:ascii="Times New Roman" w:hAnsi="Times New Roman" w:cs="Times New Roman"/>
                <w:b w:val="0"/>
                <w:bCs w:val="0"/>
                <w:color w:val="auto"/>
                <w:sz w:val="24"/>
                <w:szCs w:val="24"/>
                <w:highlight w:val="none"/>
                <w:vertAlign w:val="superscript"/>
              </w:rPr>
              <w:t>2</w:t>
            </w:r>
            <w:r>
              <w:rPr>
                <w:rFonts w:hint="default" w:ascii="Times New Roman" w:hAnsi="Times New Roman" w:cs="Times New Roman"/>
                <w:b w:val="0"/>
                <w:bCs w:val="0"/>
                <w:color w:val="auto"/>
                <w:sz w:val="24"/>
                <w:szCs w:val="24"/>
                <w:highlight w:val="none"/>
              </w:rPr>
              <w:t>可以满足贮存要求。</w:t>
            </w:r>
          </w:p>
          <w:p>
            <w:pPr>
              <w:tabs>
                <w:tab w:val="left" w:pos="527"/>
              </w:tabs>
              <w:jc w:val="center"/>
              <w:rPr>
                <w:rFonts w:hint="eastAsia"/>
                <w:lang w:val="en-US" w:eastAsia="zh-CN"/>
              </w:rPr>
            </w:pPr>
            <w:r>
              <w:rPr>
                <w:color w:val="000000"/>
              </w:rPr>
              <mc:AlternateContent>
                <mc:Choice Requires="wpc">
                  <w:drawing>
                    <wp:inline distT="0" distB="0" distL="114300" distR="114300">
                      <wp:extent cx="5211445" cy="2369820"/>
                      <wp:effectExtent l="0" t="0" r="0" b="0"/>
                      <wp:docPr id="23" name="画布 23"/>
                      <wp:cNvGraphicFramePr/>
                      <a:graphic xmlns:a="http://schemas.openxmlformats.org/drawingml/2006/main">
                        <a:graphicData uri="http://schemas.microsoft.com/office/word/2010/wordprocessingCanvas">
                          <wpc:wpc>
                            <wpc:bg>
                              <a:noFill/>
                            </wpc:bg>
                            <wpc:whole>
                              <a:ln>
                                <a:noFill/>
                              </a:ln>
                            </wpc:whole>
                            <wps:wsp>
                              <wps:cNvPr id="2" name="文本框 2"/>
                              <wps:cNvSpPr txBox="1"/>
                              <wps:spPr>
                                <a:xfrm>
                                  <a:off x="1117600" y="2066926"/>
                                  <a:ext cx="2700655" cy="274320"/>
                                </a:xfrm>
                                <a:prstGeom prst="rect">
                                  <a:avLst/>
                                </a:prstGeom>
                                <a:noFill/>
                                <a:ln w="12700" cap="flat" cmpd="sng">
                                  <a:solidFill>
                                    <a:srgbClr val="000000">
                                      <a:alpha val="0"/>
                                    </a:srgbClr>
                                  </a:solidFill>
                                  <a:prstDash val="solid"/>
                                  <a:miter/>
                                  <a:headEnd type="none" w="med" len="med"/>
                                  <a:tailEnd type="triangle" w="med" len="med"/>
                                </a:ln>
                              </wps:spPr>
                              <wps:txbx>
                                <w:txbxContent>
                                  <w:p>
                                    <w:pPr>
                                      <w:jc w:val="center"/>
                                      <w:rPr>
                                        <w:b/>
                                        <w:bCs/>
                                        <w:sz w:val="24"/>
                                        <w:szCs w:val="24"/>
                                      </w:rPr>
                                    </w:pPr>
                                    <w:r>
                                      <w:rPr>
                                        <w:b/>
                                        <w:bCs/>
                                        <w:sz w:val="24"/>
                                        <w:szCs w:val="24"/>
                                      </w:rPr>
                                      <w:t>图</w:t>
                                    </w:r>
                                    <w:r>
                                      <w:rPr>
                                        <w:rFonts w:hint="eastAsia"/>
                                        <w:b/>
                                        <w:bCs/>
                                        <w:sz w:val="24"/>
                                        <w:szCs w:val="24"/>
                                      </w:rPr>
                                      <w:t>4-3</w:t>
                                    </w:r>
                                    <w:r>
                                      <w:rPr>
                                        <w:b/>
                                        <w:bCs/>
                                        <w:sz w:val="24"/>
                                        <w:szCs w:val="24"/>
                                      </w:rPr>
                                      <w:t xml:space="preserve"> </w:t>
                                    </w:r>
                                    <w:r>
                                      <w:rPr>
                                        <w:rFonts w:hint="eastAsia"/>
                                        <w:b/>
                                        <w:bCs/>
                                        <w:sz w:val="24"/>
                                        <w:szCs w:val="24"/>
                                        <w:lang w:val="en-US" w:eastAsia="zh-CN"/>
                                      </w:rPr>
                                      <w:t xml:space="preserve"> </w:t>
                                    </w:r>
                                    <w:r>
                                      <w:rPr>
                                        <w:rFonts w:hint="eastAsia"/>
                                        <w:b/>
                                        <w:bCs/>
                                        <w:sz w:val="24"/>
                                        <w:szCs w:val="24"/>
                                      </w:rPr>
                                      <w:t>本项目</w:t>
                                    </w:r>
                                    <w:r>
                                      <w:rPr>
                                        <w:rFonts w:hint="eastAsia"/>
                                        <w:b/>
                                        <w:bCs/>
                                        <w:sz w:val="24"/>
                                        <w:szCs w:val="24"/>
                                        <w:lang w:eastAsia="zh-CN"/>
                                      </w:rPr>
                                      <w:t>危废贮存点</w:t>
                                    </w:r>
                                    <w:r>
                                      <w:rPr>
                                        <w:b/>
                                        <w:bCs/>
                                        <w:sz w:val="24"/>
                                        <w:szCs w:val="24"/>
                                      </w:rPr>
                                      <w:t>贮存示意图</w:t>
                                    </w:r>
                                  </w:p>
                                </w:txbxContent>
                              </wps:txbx>
                              <wps:bodyPr upright="1"/>
                            </wps:wsp>
                            <wps:wsp>
                              <wps:cNvPr id="4" name="矩形 4"/>
                              <wps:cNvSpPr/>
                              <wps:spPr>
                                <a:xfrm>
                                  <a:off x="1285875" y="114935"/>
                                  <a:ext cx="2160269" cy="1800226"/>
                                </a:xfrm>
                                <a:prstGeom prst="rect">
                                  <a:avLst/>
                                </a:prstGeom>
                                <a:noFill/>
                                <a:ln w="12700" cap="flat" cmpd="sng">
                                  <a:solidFill>
                                    <a:srgbClr val="000000"/>
                                  </a:solidFill>
                                  <a:prstDash val="solid"/>
                                  <a:miter/>
                                  <a:headEnd type="none" w="med" len="med"/>
                                  <a:tailEnd type="triangle" w="med" len="med"/>
                                </a:ln>
                              </wps:spPr>
                              <wps:bodyPr upright="1"/>
                            </wps:wsp>
                            <wps:wsp>
                              <wps:cNvPr id="5" name="矩形 5"/>
                              <wps:cNvSpPr/>
                              <wps:spPr>
                                <a:xfrm flipH="1">
                                  <a:off x="1236980" y="774700"/>
                                  <a:ext cx="79374" cy="193675"/>
                                </a:xfrm>
                                <a:prstGeom prst="rect">
                                  <a:avLst/>
                                </a:prstGeom>
                                <a:solidFill>
                                  <a:srgbClr val="FFFFFF"/>
                                </a:solidFill>
                                <a:ln w="12700" cap="flat" cmpd="sng">
                                  <a:solidFill>
                                    <a:srgbClr val="000000"/>
                                  </a:solidFill>
                                  <a:prstDash val="solid"/>
                                  <a:miter/>
                                  <a:headEnd type="none" w="med" len="med"/>
                                  <a:tailEnd type="triangle" w="med" len="med"/>
                                </a:ln>
                              </wps:spPr>
                              <wps:bodyPr upright="1"/>
                            </wps:wsp>
                            <wps:wsp>
                              <wps:cNvPr id="6" name="文本框 6"/>
                              <wps:cNvSpPr txBox="1"/>
                              <wps:spPr>
                                <a:xfrm>
                                  <a:off x="1541145" y="1145540"/>
                                  <a:ext cx="540386" cy="741045"/>
                                </a:xfrm>
                                <a:prstGeom prst="rect">
                                  <a:avLst/>
                                </a:prstGeom>
                                <a:noFill/>
                                <a:ln w="12700" cap="flat" cmpd="sng">
                                  <a:solidFill>
                                    <a:srgbClr val="000000">
                                      <a:alpha val="0"/>
                                    </a:srgbClr>
                                  </a:solidFill>
                                  <a:prstDash val="solid"/>
                                  <a:miter/>
                                  <a:headEnd type="none" w="med" len="med"/>
                                  <a:tailEnd type="triangle" w="med" len="med"/>
                                </a:ln>
                              </wps:spPr>
                              <wps:txbx>
                                <w:txbxContent>
                                  <w:p>
                                    <w:pPr>
                                      <w:jc w:val="center"/>
                                      <w:rPr>
                                        <w:sz w:val="15"/>
                                        <w:szCs w:val="15"/>
                                      </w:rPr>
                                    </w:pPr>
                                    <w:r>
                                      <w:rPr>
                                        <w:sz w:val="15"/>
                                        <w:szCs w:val="15"/>
                                      </w:rPr>
                                      <w:t>废劳保用品</w:t>
                                    </w:r>
                                  </w:p>
                                  <w:p>
                                    <w:pPr>
                                      <w:jc w:val="center"/>
                                      <w:rPr>
                                        <w:sz w:val="15"/>
                                        <w:szCs w:val="15"/>
                                      </w:rPr>
                                    </w:pPr>
                                    <w:r>
                                      <w:rPr>
                                        <w:sz w:val="15"/>
                                        <w:szCs w:val="15"/>
                                      </w:rPr>
                                      <w:t>贮存</w:t>
                                    </w:r>
                                  </w:p>
                                  <w:p>
                                    <w:pPr>
                                      <w:jc w:val="center"/>
                                      <w:rPr>
                                        <w:sz w:val="15"/>
                                        <w:szCs w:val="15"/>
                                      </w:rPr>
                                    </w:pPr>
                                    <w:r>
                                      <w:rPr>
                                        <w:sz w:val="15"/>
                                        <w:szCs w:val="15"/>
                                      </w:rPr>
                                      <w:t>区约</w:t>
                                    </w:r>
                                    <w:r>
                                      <w:rPr>
                                        <w:rFonts w:hint="eastAsia"/>
                                        <w:sz w:val="15"/>
                                        <w:szCs w:val="15"/>
                                        <w:lang w:val="en-US" w:eastAsia="zh-CN"/>
                                      </w:rPr>
                                      <w:t>0.5</w:t>
                                    </w:r>
                                    <w:r>
                                      <w:rPr>
                                        <w:sz w:val="15"/>
                                        <w:szCs w:val="15"/>
                                      </w:rPr>
                                      <w:t>m</w:t>
                                    </w:r>
                                    <w:r>
                                      <w:rPr>
                                        <w:sz w:val="15"/>
                                        <w:szCs w:val="15"/>
                                        <w:vertAlign w:val="superscript"/>
                                      </w:rPr>
                                      <w:t>2</w:t>
                                    </w:r>
                                  </w:p>
                                </w:txbxContent>
                              </wps:txbx>
                              <wps:bodyPr upright="1"/>
                            </wps:wsp>
                            <wps:wsp>
                              <wps:cNvPr id="7" name="文本框 7"/>
                              <wps:cNvSpPr txBox="1"/>
                              <wps:spPr>
                                <a:xfrm>
                                  <a:off x="1253490" y="1185545"/>
                                  <a:ext cx="506095" cy="599440"/>
                                </a:xfrm>
                                <a:prstGeom prst="rect">
                                  <a:avLst/>
                                </a:prstGeom>
                                <a:noFill/>
                                <a:ln w="12700" cap="flat" cmpd="sng">
                                  <a:solidFill>
                                    <a:srgbClr val="000000">
                                      <a:alpha val="0"/>
                                    </a:srgbClr>
                                  </a:solidFill>
                                  <a:prstDash val="solid"/>
                                  <a:miter/>
                                  <a:headEnd type="none" w="med" len="med"/>
                                  <a:tailEnd type="triangle" w="med" len="med"/>
                                </a:ln>
                              </wps:spPr>
                              <wps:txbx>
                                <w:txbxContent>
                                  <w:p>
                                    <w:pPr>
                                      <w:jc w:val="center"/>
                                      <w:rPr>
                                        <w:rFonts w:hint="eastAsia"/>
                                        <w:sz w:val="15"/>
                                        <w:szCs w:val="15"/>
                                      </w:rPr>
                                    </w:pPr>
                                    <w:r>
                                      <w:rPr>
                                        <w:rFonts w:hint="eastAsia"/>
                                        <w:sz w:val="15"/>
                                        <w:szCs w:val="15"/>
                                      </w:rPr>
                                      <w:t>废润</w:t>
                                    </w:r>
                                  </w:p>
                                  <w:p>
                                    <w:pPr>
                                      <w:jc w:val="center"/>
                                      <w:rPr>
                                        <w:rFonts w:hint="eastAsia"/>
                                        <w:sz w:val="15"/>
                                        <w:szCs w:val="15"/>
                                      </w:rPr>
                                    </w:pPr>
                                    <w:r>
                                      <w:rPr>
                                        <w:rFonts w:hint="eastAsia"/>
                                        <w:sz w:val="15"/>
                                        <w:szCs w:val="15"/>
                                      </w:rPr>
                                      <w:t>滑油</w:t>
                                    </w:r>
                                  </w:p>
                                  <w:p>
                                    <w:pPr>
                                      <w:jc w:val="center"/>
                                      <w:rPr>
                                        <w:sz w:val="15"/>
                                        <w:szCs w:val="15"/>
                                      </w:rPr>
                                    </w:pPr>
                                    <w:r>
                                      <w:rPr>
                                        <w:sz w:val="15"/>
                                        <w:szCs w:val="15"/>
                                      </w:rPr>
                                      <w:t>约</w:t>
                                    </w:r>
                                    <w:r>
                                      <w:rPr>
                                        <w:rFonts w:hint="eastAsia"/>
                                        <w:sz w:val="15"/>
                                        <w:szCs w:val="15"/>
                                        <w:lang w:val="en-US" w:eastAsia="zh-CN"/>
                                      </w:rPr>
                                      <w:t>0.5</w:t>
                                    </w:r>
                                    <w:r>
                                      <w:rPr>
                                        <w:sz w:val="15"/>
                                        <w:szCs w:val="15"/>
                                      </w:rPr>
                                      <w:t>m</w:t>
                                    </w:r>
                                    <w:r>
                                      <w:rPr>
                                        <w:sz w:val="15"/>
                                        <w:szCs w:val="15"/>
                                        <w:vertAlign w:val="superscript"/>
                                      </w:rPr>
                                      <w:t>2</w:t>
                                    </w:r>
                                  </w:p>
                                </w:txbxContent>
                              </wps:txbx>
                              <wps:bodyPr upright="1"/>
                            </wps:wsp>
                            <wps:wsp>
                              <wps:cNvPr id="9" name="文本框 9"/>
                              <wps:cNvSpPr txBox="1"/>
                              <wps:spPr>
                                <a:xfrm>
                                  <a:off x="1309370" y="281940"/>
                                  <a:ext cx="769621" cy="563879"/>
                                </a:xfrm>
                                <a:prstGeom prst="rect">
                                  <a:avLst/>
                                </a:prstGeom>
                                <a:noFill/>
                                <a:ln w="12700" cap="flat" cmpd="sng">
                                  <a:solidFill>
                                    <a:srgbClr val="000000">
                                      <a:alpha val="0"/>
                                    </a:srgbClr>
                                  </a:solidFill>
                                  <a:prstDash val="solid"/>
                                  <a:miter/>
                                  <a:headEnd type="none" w="med" len="med"/>
                                  <a:tailEnd type="triangle" w="med" len="med"/>
                                </a:ln>
                              </wps:spPr>
                              <wps:txbx>
                                <w:txbxContent>
                                  <w:p>
                                    <w:pPr>
                                      <w:jc w:val="center"/>
                                      <w:rPr>
                                        <w:sz w:val="18"/>
                                        <w:szCs w:val="18"/>
                                      </w:rPr>
                                    </w:pPr>
                                    <w:r>
                                      <w:rPr>
                                        <w:rFonts w:hint="eastAsia"/>
                                        <w:sz w:val="18"/>
                                        <w:szCs w:val="18"/>
                                        <w:lang w:val="en-US" w:eastAsia="zh-CN"/>
                                      </w:rPr>
                                      <w:t>清洗废液</w:t>
                                    </w:r>
                                    <w:r>
                                      <w:rPr>
                                        <w:rFonts w:hint="eastAsia"/>
                                        <w:sz w:val="18"/>
                                        <w:szCs w:val="18"/>
                                      </w:rPr>
                                      <w:t>贮存区</w:t>
                                    </w:r>
                                    <w:r>
                                      <w:rPr>
                                        <w:sz w:val="18"/>
                                        <w:szCs w:val="18"/>
                                      </w:rPr>
                                      <w:t>约</w:t>
                                    </w:r>
                                    <w:r>
                                      <w:rPr>
                                        <w:rFonts w:hint="eastAsia"/>
                                        <w:sz w:val="18"/>
                                        <w:szCs w:val="18"/>
                                      </w:rPr>
                                      <w:t>2</w:t>
                                    </w:r>
                                    <w:r>
                                      <w:rPr>
                                        <w:sz w:val="18"/>
                                        <w:szCs w:val="18"/>
                                      </w:rPr>
                                      <w:t>m</w:t>
                                    </w:r>
                                    <w:r>
                                      <w:rPr>
                                        <w:sz w:val="18"/>
                                        <w:szCs w:val="18"/>
                                        <w:vertAlign w:val="superscript"/>
                                      </w:rPr>
                                      <w:t>2</w:t>
                                    </w:r>
                                  </w:p>
                                </w:txbxContent>
                              </wps:txbx>
                              <wps:bodyPr upright="1"/>
                            </wps:wsp>
                            <wps:wsp>
                              <wps:cNvPr id="14" name="矩形 14"/>
                              <wps:cNvSpPr/>
                              <wps:spPr>
                                <a:xfrm>
                                  <a:off x="1376680" y="184150"/>
                                  <a:ext cx="720091" cy="720090"/>
                                </a:xfrm>
                                <a:prstGeom prst="rect">
                                  <a:avLst/>
                                </a:prstGeom>
                                <a:noFill/>
                                <a:ln w="12700" cap="flat" cmpd="sng">
                                  <a:solidFill>
                                    <a:srgbClr val="000000"/>
                                  </a:solidFill>
                                  <a:prstDash val="solid"/>
                                  <a:miter/>
                                  <a:headEnd type="none" w="med" len="med"/>
                                  <a:tailEnd type="triangle" w="med" len="med"/>
                                </a:ln>
                              </wps:spPr>
                              <wps:bodyPr upright="1"/>
                            </wps:wsp>
                            <wps:wsp>
                              <wps:cNvPr id="15" name="矩形 15"/>
                              <wps:cNvSpPr/>
                              <wps:spPr>
                                <a:xfrm rot="5400000">
                                  <a:off x="1143635" y="1350010"/>
                                  <a:ext cx="720090" cy="247650"/>
                                </a:xfrm>
                                <a:prstGeom prst="rect">
                                  <a:avLst/>
                                </a:prstGeom>
                                <a:noFill/>
                                <a:ln w="12700" cap="flat" cmpd="sng">
                                  <a:solidFill>
                                    <a:srgbClr val="000000"/>
                                  </a:solidFill>
                                  <a:prstDash val="solid"/>
                                  <a:miter/>
                                  <a:headEnd type="none" w="med" len="med"/>
                                  <a:tailEnd type="triangle" w="med" len="med"/>
                                </a:ln>
                              </wps:spPr>
                              <wps:bodyPr upright="1"/>
                            </wps:wsp>
                            <wps:wsp>
                              <wps:cNvPr id="16" name="矩形 16"/>
                              <wps:cNvSpPr/>
                              <wps:spPr>
                                <a:xfrm>
                                  <a:off x="2228215" y="180340"/>
                                  <a:ext cx="1135380" cy="745490"/>
                                </a:xfrm>
                                <a:prstGeom prst="rect">
                                  <a:avLst/>
                                </a:prstGeom>
                                <a:noFill/>
                                <a:ln w="12700" cap="flat" cmpd="sng">
                                  <a:solidFill>
                                    <a:srgbClr val="000000"/>
                                  </a:solidFill>
                                  <a:prstDash val="solid"/>
                                  <a:miter/>
                                  <a:headEnd type="none" w="med" len="med"/>
                                  <a:tailEnd type="triangle" w="med" len="med"/>
                                </a:ln>
                              </wps:spPr>
                              <wps:bodyPr upright="1"/>
                            </wps:wsp>
                            <wps:wsp>
                              <wps:cNvPr id="17" name="文本框 17"/>
                              <wps:cNvSpPr txBox="1"/>
                              <wps:spPr>
                                <a:xfrm>
                                  <a:off x="2317115" y="290830"/>
                                  <a:ext cx="897255" cy="693420"/>
                                </a:xfrm>
                                <a:prstGeom prst="rect">
                                  <a:avLst/>
                                </a:prstGeom>
                                <a:noFill/>
                                <a:ln w="12700" cap="flat" cmpd="sng">
                                  <a:solidFill>
                                    <a:srgbClr val="000000">
                                      <a:alpha val="0"/>
                                    </a:srgbClr>
                                  </a:solidFill>
                                  <a:prstDash val="solid"/>
                                  <a:miter/>
                                  <a:headEnd type="none" w="med" len="med"/>
                                  <a:tailEnd type="triangle" w="med" len="med"/>
                                </a:ln>
                              </wps:spPr>
                              <wps:txbx>
                                <w:txbxContent>
                                  <w:p>
                                    <w:pPr>
                                      <w:jc w:val="center"/>
                                      <w:rPr>
                                        <w:sz w:val="18"/>
                                        <w:szCs w:val="18"/>
                                      </w:rPr>
                                    </w:pPr>
                                    <w:r>
                                      <w:rPr>
                                        <w:rFonts w:hint="eastAsia"/>
                                        <w:sz w:val="18"/>
                                        <w:szCs w:val="18"/>
                                      </w:rPr>
                                      <w:t>废</w:t>
                                    </w:r>
                                    <w:r>
                                      <w:rPr>
                                        <w:rFonts w:hint="eastAsia"/>
                                        <w:sz w:val="18"/>
                                        <w:szCs w:val="18"/>
                                        <w:lang w:val="en-US" w:eastAsia="zh-CN"/>
                                      </w:rPr>
                                      <w:t>活性炭</w:t>
                                    </w:r>
                                    <w:r>
                                      <w:rPr>
                                        <w:rFonts w:hint="eastAsia"/>
                                        <w:sz w:val="18"/>
                                        <w:szCs w:val="18"/>
                                      </w:rPr>
                                      <w:t>贮存区</w:t>
                                    </w:r>
                                    <w:r>
                                      <w:rPr>
                                        <w:sz w:val="18"/>
                                        <w:szCs w:val="18"/>
                                      </w:rPr>
                                      <w:t>约</w:t>
                                    </w:r>
                                    <w:r>
                                      <w:rPr>
                                        <w:rFonts w:hint="eastAsia"/>
                                        <w:sz w:val="18"/>
                                        <w:szCs w:val="18"/>
                                        <w:lang w:val="en-US" w:eastAsia="zh-CN"/>
                                      </w:rPr>
                                      <w:t>2</w:t>
                                    </w:r>
                                    <w:r>
                                      <w:rPr>
                                        <w:sz w:val="18"/>
                                        <w:szCs w:val="18"/>
                                      </w:rPr>
                                      <w:t>m</w:t>
                                    </w:r>
                                    <w:r>
                                      <w:rPr>
                                        <w:sz w:val="18"/>
                                        <w:szCs w:val="18"/>
                                        <w:vertAlign w:val="superscript"/>
                                      </w:rPr>
                                      <w:t>2</w:t>
                                    </w:r>
                                  </w:p>
                                </w:txbxContent>
                              </wps:txbx>
                              <wps:bodyPr upright="1"/>
                            </wps:wsp>
                            <wps:wsp>
                              <wps:cNvPr id="18" name="矩形 18"/>
                              <wps:cNvSpPr/>
                              <wps:spPr>
                                <a:xfrm rot="5400000">
                                  <a:off x="1447165" y="1336040"/>
                                  <a:ext cx="711201" cy="269240"/>
                                </a:xfrm>
                                <a:prstGeom prst="rect">
                                  <a:avLst/>
                                </a:prstGeom>
                                <a:noFill/>
                                <a:ln w="12700" cap="flat" cmpd="sng">
                                  <a:solidFill>
                                    <a:srgbClr val="000000"/>
                                  </a:solidFill>
                                  <a:prstDash val="solid"/>
                                  <a:miter/>
                                  <a:headEnd type="none" w="med" len="med"/>
                                  <a:tailEnd type="triangle" w="med" len="med"/>
                                </a:ln>
                              </wps:spPr>
                              <wps:bodyPr upright="1"/>
                            </wps:wsp>
                            <wps:wsp>
                              <wps:cNvPr id="19" name="矩形 19"/>
                              <wps:cNvSpPr/>
                              <wps:spPr>
                                <a:xfrm>
                                  <a:off x="2245360" y="1003300"/>
                                  <a:ext cx="1130300" cy="830580"/>
                                </a:xfrm>
                                <a:prstGeom prst="rect">
                                  <a:avLst/>
                                </a:prstGeom>
                                <a:noFill/>
                                <a:ln w="12700" cap="flat" cmpd="sng">
                                  <a:solidFill>
                                    <a:srgbClr val="000000"/>
                                  </a:solidFill>
                                  <a:prstDash val="solid"/>
                                  <a:miter/>
                                  <a:headEnd type="none" w="med" len="med"/>
                                  <a:tailEnd type="triangle" w="med" len="med"/>
                                </a:ln>
                              </wps:spPr>
                              <wps:bodyPr upright="1"/>
                            </wps:wsp>
                            <wps:wsp>
                              <wps:cNvPr id="20" name="文本框 20"/>
                              <wps:cNvSpPr txBox="1"/>
                              <wps:spPr>
                                <a:xfrm>
                                  <a:off x="2368550" y="1226820"/>
                                  <a:ext cx="889000" cy="685800"/>
                                </a:xfrm>
                                <a:prstGeom prst="rect">
                                  <a:avLst/>
                                </a:prstGeom>
                                <a:noFill/>
                                <a:ln w="12700" cap="flat" cmpd="sng">
                                  <a:solidFill>
                                    <a:srgbClr val="000000">
                                      <a:alpha val="0"/>
                                    </a:srgbClr>
                                  </a:solidFill>
                                  <a:prstDash val="solid"/>
                                  <a:miter/>
                                  <a:headEnd type="none" w="med" len="med"/>
                                  <a:tailEnd type="triangle" w="med" len="med"/>
                                </a:ln>
                              </wps:spPr>
                              <wps:txbx>
                                <w:txbxContent>
                                  <w:p>
                                    <w:pPr>
                                      <w:jc w:val="center"/>
                                      <w:rPr>
                                        <w:sz w:val="18"/>
                                        <w:szCs w:val="18"/>
                                      </w:rPr>
                                    </w:pPr>
                                    <w:r>
                                      <w:rPr>
                                        <w:rFonts w:hint="eastAsia"/>
                                        <w:sz w:val="18"/>
                                        <w:szCs w:val="18"/>
                                      </w:rPr>
                                      <w:t>废</w:t>
                                    </w:r>
                                    <w:r>
                                      <w:rPr>
                                        <w:rFonts w:hint="eastAsia"/>
                                        <w:sz w:val="18"/>
                                        <w:szCs w:val="18"/>
                                        <w:lang w:val="en-US" w:eastAsia="zh-CN"/>
                                      </w:rPr>
                                      <w:t>包装桶、废润滑油桶</w:t>
                                    </w:r>
                                    <w:r>
                                      <w:rPr>
                                        <w:rFonts w:hint="eastAsia"/>
                                        <w:sz w:val="18"/>
                                        <w:szCs w:val="18"/>
                                      </w:rPr>
                                      <w:t>贮存区</w:t>
                                    </w:r>
                                    <w:r>
                                      <w:rPr>
                                        <w:sz w:val="18"/>
                                        <w:szCs w:val="18"/>
                                      </w:rPr>
                                      <w:t>约</w:t>
                                    </w:r>
                                    <w:r>
                                      <w:rPr>
                                        <w:rFonts w:hint="eastAsia"/>
                                        <w:sz w:val="18"/>
                                        <w:szCs w:val="18"/>
                                        <w:lang w:val="en-US" w:eastAsia="zh-CN"/>
                                      </w:rPr>
                                      <w:t>3.5</w:t>
                                    </w:r>
                                    <w:r>
                                      <w:rPr>
                                        <w:sz w:val="18"/>
                                        <w:szCs w:val="18"/>
                                      </w:rPr>
                                      <w:t>m</w:t>
                                    </w:r>
                                    <w:r>
                                      <w:rPr>
                                        <w:sz w:val="18"/>
                                        <w:szCs w:val="18"/>
                                        <w:vertAlign w:val="superscript"/>
                                      </w:rPr>
                                      <w:t>2</w:t>
                                    </w:r>
                                  </w:p>
                                </w:txbxContent>
                              </wps:txbx>
                              <wps:bodyPr upright="1"/>
                            </wps:wsp>
                            <wps:wsp>
                              <wps:cNvPr id="21" name="矩形 21"/>
                              <wps:cNvSpPr/>
                              <wps:spPr>
                                <a:xfrm rot="5400000">
                                  <a:off x="1734185" y="1356995"/>
                                  <a:ext cx="711200" cy="241300"/>
                                </a:xfrm>
                                <a:prstGeom prst="rect">
                                  <a:avLst/>
                                </a:prstGeom>
                                <a:noFill/>
                                <a:ln w="12700" cap="flat" cmpd="sng">
                                  <a:solidFill>
                                    <a:srgbClr val="000000"/>
                                  </a:solidFill>
                                  <a:prstDash val="solid"/>
                                  <a:miter/>
                                  <a:headEnd type="none" w="med" len="med"/>
                                  <a:tailEnd type="triangle" w="med" len="med"/>
                                </a:ln>
                              </wps:spPr>
                              <wps:bodyPr upright="1"/>
                            </wps:wsp>
                            <wps:wsp>
                              <wps:cNvPr id="22" name="文本框 22"/>
                              <wps:cNvSpPr txBox="1"/>
                              <wps:spPr>
                                <a:xfrm>
                                  <a:off x="1833880" y="1221105"/>
                                  <a:ext cx="495300" cy="686435"/>
                                </a:xfrm>
                                <a:prstGeom prst="rect">
                                  <a:avLst/>
                                </a:prstGeom>
                                <a:noFill/>
                                <a:ln w="12700" cap="flat" cmpd="sng">
                                  <a:solidFill>
                                    <a:srgbClr val="000000">
                                      <a:alpha val="0"/>
                                    </a:srgbClr>
                                  </a:solidFill>
                                  <a:prstDash val="solid"/>
                                  <a:miter/>
                                  <a:headEnd type="none" w="med" len="med"/>
                                  <a:tailEnd type="triangle" w="med" len="med"/>
                                </a:ln>
                              </wps:spPr>
                              <wps:txbx>
                                <w:txbxContent>
                                  <w:p>
                                    <w:pPr>
                                      <w:jc w:val="center"/>
                                      <w:rPr>
                                        <w:rFonts w:hint="eastAsia"/>
                                        <w:sz w:val="15"/>
                                        <w:szCs w:val="15"/>
                                        <w:lang w:val="en-US" w:eastAsia="zh-CN"/>
                                      </w:rPr>
                                    </w:pPr>
                                    <w:r>
                                      <w:rPr>
                                        <w:rFonts w:hint="eastAsia"/>
                                        <w:sz w:val="15"/>
                                        <w:szCs w:val="15"/>
                                        <w:lang w:val="en-US" w:eastAsia="zh-CN"/>
                                      </w:rPr>
                                      <w:t>含油</w:t>
                                    </w:r>
                                  </w:p>
                                  <w:p>
                                    <w:pPr>
                                      <w:jc w:val="center"/>
                                      <w:rPr>
                                        <w:rFonts w:hint="eastAsia"/>
                                        <w:sz w:val="15"/>
                                        <w:szCs w:val="15"/>
                                        <w:lang w:val="en-US" w:eastAsia="zh-CN"/>
                                      </w:rPr>
                                    </w:pPr>
                                    <w:r>
                                      <w:rPr>
                                        <w:rFonts w:hint="eastAsia"/>
                                        <w:sz w:val="15"/>
                                        <w:szCs w:val="15"/>
                                        <w:lang w:val="en-US" w:eastAsia="zh-CN"/>
                                      </w:rPr>
                                      <w:t>废液</w:t>
                                    </w:r>
                                  </w:p>
                                  <w:p>
                                    <w:pPr>
                                      <w:jc w:val="center"/>
                                      <w:rPr>
                                        <w:sz w:val="15"/>
                                        <w:szCs w:val="15"/>
                                      </w:rPr>
                                    </w:pPr>
                                    <w:r>
                                      <w:rPr>
                                        <w:sz w:val="15"/>
                                        <w:szCs w:val="15"/>
                                      </w:rPr>
                                      <w:t>约</w:t>
                                    </w:r>
                                    <w:r>
                                      <w:rPr>
                                        <w:rFonts w:hint="eastAsia"/>
                                        <w:sz w:val="15"/>
                                        <w:szCs w:val="15"/>
                                        <w:lang w:val="en-US" w:eastAsia="zh-CN"/>
                                      </w:rPr>
                                      <w:t>0.5</w:t>
                                    </w:r>
                                    <w:r>
                                      <w:rPr>
                                        <w:sz w:val="15"/>
                                        <w:szCs w:val="15"/>
                                      </w:rPr>
                                      <w:t>m</w:t>
                                    </w:r>
                                    <w:r>
                                      <w:rPr>
                                        <w:sz w:val="15"/>
                                        <w:szCs w:val="15"/>
                                        <w:vertAlign w:val="superscript"/>
                                      </w:rPr>
                                      <w:t>2</w:t>
                                    </w:r>
                                  </w:p>
                                </w:txbxContent>
                              </wps:txbx>
                              <wps:bodyPr upright="1"/>
                            </wps:wsp>
                          </wpc:wpc>
                        </a:graphicData>
                      </a:graphic>
                    </wp:inline>
                  </w:drawing>
                </mc:Choice>
                <mc:Fallback>
                  <w:pict>
                    <v:group id="_x0000_s1026" o:spid="_x0000_s1026" o:spt="203" style="height:186.6pt;width:410.35pt;" coordsize="5211445,2369820" editas="canvas" o:gfxdata="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">
                      <o:lock v:ext="edit" aspectratio="f"/>
                      <v:shape id="_x0000_s1026" o:spid="_x0000_s1026" style="position:absolute;left:0;top:0;height:2369820;width:5211445;" filled="f" stroked="f" coordsize="21600,21600" o:gfxdata="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&#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AAAAAZHJzL1BLAQIUABQAAAAIAIdO4kB1yaaZ1wAAAAUBAAAPAAAAAAAAAAEAIAAAACIAAABk&#10;cnMvZG93bnJldi54bWxQSwECFAAUAAAACACHTuJAL1F3gCUFAAC1JAAADgAAAAAAAAABACAAAAAm&#10;AQAAZHJzL2Uyb0RvYy54bWxQSwUGAAAAAAYABgBZAQAAvQgAAAAA&#10;">
                        <v:fill on="f" focussize="0,0"/>
                        <v:stroke on="f"/>
                        <v:imagedata o:title=""/>
                        <o:lock v:ext="edit" aspectratio="f"/>
                      </v:shape>
                      <v:shape id="_x0000_s1026" o:spid="_x0000_s1026" o:spt="202" type="#_x0000_t202" style="position:absolute;left:1117600;top:2066926;height:274320;width:2700655;" filled="f" stroked="t" coordsize="21600,21600" o:gfxdata="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SRAtYA&#10;AAAFAQAADwAAAAAAAAABACAAAAAiAAAAZHJzL2Rvd25yZXYueG1sUEsBAhQAFAAAAAgAh07iQCW+&#10;T1ohAgAAOwQAAA4AAAAAAAAAAQAgAAAAJQEAAGRycy9lMm9Eb2MueG1sUEsFBgAAAAAGAAYAWQEA&#10;ALgFAAAAAA==&#10;">
                        <v:fill on="f" focussize="0,0"/>
                        <v:stroke weight="1pt" color="#000000" opacity="0f" joinstyle="miter" endarrow="block"/>
                        <v:imagedata o:title=""/>
                        <o:lock v:ext="edit" aspectratio="f"/>
                        <v:textbox>
                          <w:txbxContent>
                            <w:p>
                              <w:pPr>
                                <w:jc w:val="center"/>
                                <w:rPr>
                                  <w:b/>
                                  <w:bCs/>
                                  <w:sz w:val="24"/>
                                  <w:szCs w:val="24"/>
                                </w:rPr>
                              </w:pPr>
                              <w:r>
                                <w:rPr>
                                  <w:b/>
                                  <w:bCs/>
                                  <w:sz w:val="24"/>
                                  <w:szCs w:val="24"/>
                                </w:rPr>
                                <w:t>图</w:t>
                              </w:r>
                              <w:r>
                                <w:rPr>
                                  <w:rFonts w:hint="eastAsia"/>
                                  <w:b/>
                                  <w:bCs/>
                                  <w:sz w:val="24"/>
                                  <w:szCs w:val="24"/>
                                </w:rPr>
                                <w:t>4-3</w:t>
                              </w:r>
                              <w:r>
                                <w:rPr>
                                  <w:b/>
                                  <w:bCs/>
                                  <w:sz w:val="24"/>
                                  <w:szCs w:val="24"/>
                                </w:rPr>
                                <w:t xml:space="preserve"> </w:t>
                              </w:r>
                              <w:r>
                                <w:rPr>
                                  <w:rFonts w:hint="eastAsia"/>
                                  <w:b/>
                                  <w:bCs/>
                                  <w:sz w:val="24"/>
                                  <w:szCs w:val="24"/>
                                  <w:lang w:val="en-US" w:eastAsia="zh-CN"/>
                                </w:rPr>
                                <w:t xml:space="preserve"> </w:t>
                              </w:r>
                              <w:r>
                                <w:rPr>
                                  <w:rFonts w:hint="eastAsia"/>
                                  <w:b/>
                                  <w:bCs/>
                                  <w:sz w:val="24"/>
                                  <w:szCs w:val="24"/>
                                </w:rPr>
                                <w:t>本项目</w:t>
                              </w:r>
                              <w:r>
                                <w:rPr>
                                  <w:rFonts w:hint="eastAsia"/>
                                  <w:b/>
                                  <w:bCs/>
                                  <w:sz w:val="24"/>
                                  <w:szCs w:val="24"/>
                                  <w:lang w:eastAsia="zh-CN"/>
                                </w:rPr>
                                <w:t>危废贮存点</w:t>
                              </w:r>
                              <w:r>
                                <w:rPr>
                                  <w:b/>
                                  <w:bCs/>
                                  <w:sz w:val="24"/>
                                  <w:szCs w:val="24"/>
                                </w:rPr>
                                <w:t>贮存示意图</w:t>
                              </w:r>
                            </w:p>
                          </w:txbxContent>
                        </v:textbox>
                      </v:shape>
                      <v:rect id="_x0000_s1026" o:spid="_x0000_s1026" o:spt="1" style="position:absolute;left:1285875;top:114935;height:1800226;width:2160269;" filled="f" stroked="t" coordsize="21600,21600" o:gfxdata="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Y+Ju9YAAAAFAQAADwAAAAAAAAABACAAAAAiAAAA&#10;ZHJzL2Rvd25yZXYueG1sUEsBAhQAFAAAAAgAh07iQOd4WyEJAgAABgQAAA4AAAAAAAAAAQAgAAAA&#10;JQEAAGRycy9lMm9Eb2MueG1sUEsFBgAAAAAGAAYAWQEAAKAFAAAAAA==&#10;">
                        <v:fill on="f" focussize="0,0"/>
                        <v:stroke weight="1pt" color="#000000" joinstyle="miter" endarrow="block"/>
                        <v:imagedata o:title=""/>
                        <o:lock v:ext="edit" aspectratio="f"/>
                      </v:rect>
                      <v:rect id="_x0000_s1026" o:spid="_x0000_s1026" o:spt="1" style="position:absolute;left:1236980;top:774700;flip:x;height:193675;width:79374;" fillcolor="#FFFFFF" filled="t" stroked="t" coordsize="21600,21600" o:gfxdata="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ODp79YAAAAFAQAADwAAAAAA&#10;AAABACAAAAAiAAAAZHJzL2Rvd25yZXYueG1sUEsBAhQAFAAAAAgAh07iQNsis50VAgAANgQAAA4A&#10;AAAAAAAAAQAgAAAAJQEAAGRycy9lMm9Eb2MueG1sUEsFBgAAAAAGAAYAWQEAAKwFAAAAAA==&#10;">
                        <v:fill on="t" focussize="0,0"/>
                        <v:stroke weight="1pt" color="#000000" joinstyle="miter" endarrow="block"/>
                        <v:imagedata o:title=""/>
                        <o:lock v:ext="edit" aspectratio="f"/>
                      </v:rect>
                      <v:shape id="_x0000_s1026" o:spid="_x0000_s1026" o:spt="202" type="#_x0000_t202" style="position:absolute;left:1541145;top:1145540;height:741045;width:540386;" filled="f" stroked="t" coordsize="21600,21600" o:gfxdata="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H5JEC1gAAAAUB&#10;AAAPAAAAAAAAAAEAIAAAACIAAABkcnMvZG93bnJldi54bWxQSwECFAAUAAAACACHTuJA7rofkx0C&#10;AAA6BAAADgAAAAAAAAABACAAAAAlAQAAZHJzL2Uyb0RvYy54bWxQSwUGAAAAAAYABgBZAQAAtAUA&#10;AAAA&#10;">
                        <v:fill on="f" focussize="0,0"/>
                        <v:stroke weight="1pt" color="#000000" opacity="0f" joinstyle="miter" endarrow="block"/>
                        <v:imagedata o:title=""/>
                        <o:lock v:ext="edit" aspectratio="f"/>
                        <v:textbox>
                          <w:txbxContent>
                            <w:p>
                              <w:pPr>
                                <w:jc w:val="center"/>
                                <w:rPr>
                                  <w:sz w:val="15"/>
                                  <w:szCs w:val="15"/>
                                </w:rPr>
                              </w:pPr>
                              <w:r>
                                <w:rPr>
                                  <w:sz w:val="15"/>
                                  <w:szCs w:val="15"/>
                                </w:rPr>
                                <w:t>废劳保用品</w:t>
                              </w:r>
                            </w:p>
                            <w:p>
                              <w:pPr>
                                <w:jc w:val="center"/>
                                <w:rPr>
                                  <w:sz w:val="15"/>
                                  <w:szCs w:val="15"/>
                                </w:rPr>
                              </w:pPr>
                              <w:r>
                                <w:rPr>
                                  <w:sz w:val="15"/>
                                  <w:szCs w:val="15"/>
                                </w:rPr>
                                <w:t>贮存</w:t>
                              </w:r>
                            </w:p>
                            <w:p>
                              <w:pPr>
                                <w:jc w:val="center"/>
                                <w:rPr>
                                  <w:sz w:val="15"/>
                                  <w:szCs w:val="15"/>
                                </w:rPr>
                              </w:pPr>
                              <w:r>
                                <w:rPr>
                                  <w:sz w:val="15"/>
                                  <w:szCs w:val="15"/>
                                </w:rPr>
                                <w:t>区约</w:t>
                              </w:r>
                              <w:r>
                                <w:rPr>
                                  <w:rFonts w:hint="eastAsia"/>
                                  <w:sz w:val="15"/>
                                  <w:szCs w:val="15"/>
                                  <w:lang w:val="en-US" w:eastAsia="zh-CN"/>
                                </w:rPr>
                                <w:t>0.5</w:t>
                              </w:r>
                              <w:r>
                                <w:rPr>
                                  <w:sz w:val="15"/>
                                  <w:szCs w:val="15"/>
                                </w:rPr>
                                <w:t>m</w:t>
                              </w:r>
                              <w:r>
                                <w:rPr>
                                  <w:sz w:val="15"/>
                                  <w:szCs w:val="15"/>
                                  <w:vertAlign w:val="superscript"/>
                                </w:rPr>
                                <w:t>2</w:t>
                              </w:r>
                            </w:p>
                          </w:txbxContent>
                        </v:textbox>
                      </v:shape>
                      <v:shape id="_x0000_s1026" o:spid="_x0000_s1026" o:spt="202" type="#_x0000_t202" style="position:absolute;left:1253490;top:1185545;height:599440;width:506095;" filled="f" stroked="t" coordsize="21600,21600" o:gfxdata="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fkkQLW&#10;AAAABQEAAA8AAAAAAAAAAQAgAAAAIgAAAGRycy9kb3ducmV2LnhtbFBLAQIUABQAAAAIAIdO4kAK&#10;p7gSIgIAADoEAAAOAAAAAAAAAAEAIAAAACUBAABkcnMvZTJvRG9jLnhtbFBLBQYAAAAABgAGAFkB&#10;AAC5BQAAAAA=&#10;">
                        <v:fill on="f" focussize="0,0"/>
                        <v:stroke weight="1pt" color="#000000" opacity="0f" joinstyle="miter" endarrow="block"/>
                        <v:imagedata o:title=""/>
                        <o:lock v:ext="edit" aspectratio="f"/>
                        <v:textbox>
                          <w:txbxContent>
                            <w:p>
                              <w:pPr>
                                <w:jc w:val="center"/>
                                <w:rPr>
                                  <w:rFonts w:hint="eastAsia"/>
                                  <w:sz w:val="15"/>
                                  <w:szCs w:val="15"/>
                                </w:rPr>
                              </w:pPr>
                              <w:r>
                                <w:rPr>
                                  <w:rFonts w:hint="eastAsia"/>
                                  <w:sz w:val="15"/>
                                  <w:szCs w:val="15"/>
                                </w:rPr>
                                <w:t>废润</w:t>
                              </w:r>
                            </w:p>
                            <w:p>
                              <w:pPr>
                                <w:jc w:val="center"/>
                                <w:rPr>
                                  <w:rFonts w:hint="eastAsia"/>
                                  <w:sz w:val="15"/>
                                  <w:szCs w:val="15"/>
                                </w:rPr>
                              </w:pPr>
                              <w:r>
                                <w:rPr>
                                  <w:rFonts w:hint="eastAsia"/>
                                  <w:sz w:val="15"/>
                                  <w:szCs w:val="15"/>
                                </w:rPr>
                                <w:t>滑油</w:t>
                              </w:r>
                            </w:p>
                            <w:p>
                              <w:pPr>
                                <w:jc w:val="center"/>
                                <w:rPr>
                                  <w:sz w:val="15"/>
                                  <w:szCs w:val="15"/>
                                </w:rPr>
                              </w:pPr>
                              <w:r>
                                <w:rPr>
                                  <w:sz w:val="15"/>
                                  <w:szCs w:val="15"/>
                                </w:rPr>
                                <w:t>约</w:t>
                              </w:r>
                              <w:r>
                                <w:rPr>
                                  <w:rFonts w:hint="eastAsia"/>
                                  <w:sz w:val="15"/>
                                  <w:szCs w:val="15"/>
                                  <w:lang w:val="en-US" w:eastAsia="zh-CN"/>
                                </w:rPr>
                                <w:t>0.5</w:t>
                              </w:r>
                              <w:r>
                                <w:rPr>
                                  <w:sz w:val="15"/>
                                  <w:szCs w:val="15"/>
                                </w:rPr>
                                <w:t>m</w:t>
                              </w:r>
                              <w:r>
                                <w:rPr>
                                  <w:sz w:val="15"/>
                                  <w:szCs w:val="15"/>
                                  <w:vertAlign w:val="superscript"/>
                                </w:rPr>
                                <w:t>2</w:t>
                              </w:r>
                            </w:p>
                          </w:txbxContent>
                        </v:textbox>
                      </v:shape>
                      <v:shape id="_x0000_s1026" o:spid="_x0000_s1026" o:spt="202" type="#_x0000_t202" style="position:absolute;left:1309370;top:281940;height:563879;width:769621;" filled="f" stroked="t" coordsize="21600,21600" o:gfxdata="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fkkQLW&#10;AAAABQEAAA8AAAAAAAAAAQAgAAAAIgAAAGRycy9kb3ducmV2LnhtbFBLAQIUABQAAAAIAIdO4kA3&#10;4NcmIgIAADkEAAAOAAAAAAAAAAEAIAAAACUBAABkcnMvZTJvRG9jLnhtbFBLBQYAAAAABgAGAFkB&#10;AAC5BQAAAAA=&#10;">
                        <v:fill on="f" focussize="0,0"/>
                        <v:stroke weight="1pt" color="#000000" opacity="0f" joinstyle="miter" endarrow="block"/>
                        <v:imagedata o:title=""/>
                        <o:lock v:ext="edit" aspectratio="f"/>
                        <v:textbox>
                          <w:txbxContent>
                            <w:p>
                              <w:pPr>
                                <w:jc w:val="center"/>
                                <w:rPr>
                                  <w:sz w:val="18"/>
                                  <w:szCs w:val="18"/>
                                </w:rPr>
                              </w:pPr>
                              <w:r>
                                <w:rPr>
                                  <w:rFonts w:hint="eastAsia"/>
                                  <w:sz w:val="18"/>
                                  <w:szCs w:val="18"/>
                                  <w:lang w:val="en-US" w:eastAsia="zh-CN"/>
                                </w:rPr>
                                <w:t>清洗废液</w:t>
                              </w:r>
                              <w:r>
                                <w:rPr>
                                  <w:rFonts w:hint="eastAsia"/>
                                  <w:sz w:val="18"/>
                                  <w:szCs w:val="18"/>
                                </w:rPr>
                                <w:t>贮存区</w:t>
                              </w:r>
                              <w:r>
                                <w:rPr>
                                  <w:sz w:val="18"/>
                                  <w:szCs w:val="18"/>
                                </w:rPr>
                                <w:t>约</w:t>
                              </w:r>
                              <w:r>
                                <w:rPr>
                                  <w:rFonts w:hint="eastAsia"/>
                                  <w:sz w:val="18"/>
                                  <w:szCs w:val="18"/>
                                </w:rPr>
                                <w:t>2</w:t>
                              </w:r>
                              <w:r>
                                <w:rPr>
                                  <w:sz w:val="18"/>
                                  <w:szCs w:val="18"/>
                                </w:rPr>
                                <w:t>m</w:t>
                              </w:r>
                              <w:r>
                                <w:rPr>
                                  <w:sz w:val="18"/>
                                  <w:szCs w:val="18"/>
                                  <w:vertAlign w:val="superscript"/>
                                </w:rPr>
                                <w:t>2</w:t>
                              </w:r>
                            </w:p>
                          </w:txbxContent>
                        </v:textbox>
                      </v:shape>
                      <v:rect id="_x0000_s1026" o:spid="_x0000_s1026" o:spt="1" style="position:absolute;left:1376680;top:184150;height:720090;width:720091;" filled="f" stroked="t" coordsize="21600,21600" o:gfxdata="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Y+Ju9YAAAAFAQAADwAAAAAAAAABACAAAAAiAAAAZHJz&#10;L2Rvd25yZXYueG1sUEsBAhQAFAAAAAgAh07iQFwyTnUGAgAABgQAAA4AAAAAAAAAAQAgAAAAJQEA&#10;AGRycy9lMm9Eb2MueG1sUEsFBgAAAAAGAAYAWQEAAJ0FAAAAAA==&#10;">
                        <v:fill on="f" focussize="0,0"/>
                        <v:stroke weight="1pt" color="#000000" joinstyle="miter" endarrow="block"/>
                        <v:imagedata o:title=""/>
                        <o:lock v:ext="edit" aspectratio="f"/>
                      </v:rect>
                      <v:rect id="_x0000_s1026" o:spid="_x0000_s1026" o:spt="1" style="position:absolute;left:1143635;top:1350010;height:247650;width:720090;rotation:5898240f;" filled="f" stroked="t" coordsize="21600,21600" o:gfxdata="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GmGUdYAAAAFAQAADwAAAAAAAAABACAA&#10;AAAiAAAAZHJzL2Rvd25yZXYueG1sUEsBAhQAFAAAAAgAh07iQPi0XggPAgAAFQQAAA4AAAAAAAAA&#10;AQAgAAAAJQEAAGRycy9lMm9Eb2MueG1sUEsFBgAAAAAGAAYAWQEAAKYFAAAAAA==&#10;">
                        <v:fill on="f" focussize="0,0"/>
                        <v:stroke weight="1pt" color="#000000" joinstyle="miter" endarrow="block"/>
                        <v:imagedata o:title=""/>
                        <o:lock v:ext="edit" aspectratio="f"/>
                      </v:rect>
                      <v:rect id="_x0000_s1026" o:spid="_x0000_s1026" o:spt="1" style="position:absolute;left:2228215;top:180340;height:745490;width:1135380;" filled="f" stroked="t" coordsize="21600,21600" o:gfxdata="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Fj4m71gAAAAUBAAAPAAAAAAAAAAEAIAAAACIA&#10;AABkcnMvZG93bnJldi54bWxQSwECFAAUAAAACACHTuJAMzyEOwsCAAAHBAAADgAAAAAAAAABACAA&#10;AAAlAQAAZHJzL2Uyb0RvYy54bWxQSwUGAAAAAAYABgBZAQAAogUAAAAA&#10;">
                        <v:fill on="f" focussize="0,0"/>
                        <v:stroke weight="1pt" color="#000000" joinstyle="miter" endarrow="block"/>
                        <v:imagedata o:title=""/>
                        <o:lock v:ext="edit" aspectratio="f"/>
                      </v:rect>
                      <v:shape id="_x0000_s1026" o:spid="_x0000_s1026" o:spt="202" type="#_x0000_t202" style="position:absolute;left:2317115;top:290830;height:693420;width:897255;" filled="f" stroked="t" coordsize="21600,21600" o:gfxdata="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fkkQLW&#10;AAAABQEAAA8AAAAAAAAAAQAgAAAAIgAAAGRycy9kb3ducmV2LnhtbFBLAQIUABQAAAAIAIdO4kCE&#10;sATjIgIAADsEAAAOAAAAAAAAAAEAIAAAACUBAABkcnMvZTJvRG9jLnhtbFBLBQYAAAAABgAGAFkB&#10;AAC5BQAAAAA=&#10;">
                        <v:fill on="f" focussize="0,0"/>
                        <v:stroke weight="1pt" color="#000000" opacity="0f" joinstyle="miter" endarrow="block"/>
                        <v:imagedata o:title=""/>
                        <o:lock v:ext="edit" aspectratio="f"/>
                        <v:textbox>
                          <w:txbxContent>
                            <w:p>
                              <w:pPr>
                                <w:jc w:val="center"/>
                                <w:rPr>
                                  <w:sz w:val="18"/>
                                  <w:szCs w:val="18"/>
                                </w:rPr>
                              </w:pPr>
                              <w:r>
                                <w:rPr>
                                  <w:rFonts w:hint="eastAsia"/>
                                  <w:sz w:val="18"/>
                                  <w:szCs w:val="18"/>
                                </w:rPr>
                                <w:t>废</w:t>
                              </w:r>
                              <w:r>
                                <w:rPr>
                                  <w:rFonts w:hint="eastAsia"/>
                                  <w:sz w:val="18"/>
                                  <w:szCs w:val="18"/>
                                  <w:lang w:val="en-US" w:eastAsia="zh-CN"/>
                                </w:rPr>
                                <w:t>活性炭</w:t>
                              </w:r>
                              <w:r>
                                <w:rPr>
                                  <w:rFonts w:hint="eastAsia"/>
                                  <w:sz w:val="18"/>
                                  <w:szCs w:val="18"/>
                                </w:rPr>
                                <w:t>贮存区</w:t>
                              </w:r>
                              <w:r>
                                <w:rPr>
                                  <w:sz w:val="18"/>
                                  <w:szCs w:val="18"/>
                                </w:rPr>
                                <w:t>约</w:t>
                              </w:r>
                              <w:r>
                                <w:rPr>
                                  <w:rFonts w:hint="eastAsia"/>
                                  <w:sz w:val="18"/>
                                  <w:szCs w:val="18"/>
                                  <w:lang w:val="en-US" w:eastAsia="zh-CN"/>
                                </w:rPr>
                                <w:t>2</w:t>
                              </w:r>
                              <w:r>
                                <w:rPr>
                                  <w:sz w:val="18"/>
                                  <w:szCs w:val="18"/>
                                </w:rPr>
                                <w:t>m</w:t>
                              </w:r>
                              <w:r>
                                <w:rPr>
                                  <w:sz w:val="18"/>
                                  <w:szCs w:val="18"/>
                                  <w:vertAlign w:val="superscript"/>
                                </w:rPr>
                                <w:t>2</w:t>
                              </w:r>
                            </w:p>
                          </w:txbxContent>
                        </v:textbox>
                      </v:shape>
                      <v:rect id="_x0000_s1026" o:spid="_x0000_s1026" o:spt="1" style="position:absolute;left:1447165;top:1336040;height:269240;width:711201;rotation:5898240f;" filled="f" stroked="t" coordsize="21600,21600" o:gfxdata="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aYZR1gAAAAUBAAAPAAAAAAAAAAEA&#10;IAAAACIAAABkcnMvZG93bnJldi54bWxQSwECFAAUAAAACACHTuJA8aYYwhECAAAVBAAADgAAAAAA&#10;AAABACAAAAAlAQAAZHJzL2Uyb0RvYy54bWxQSwUGAAAAAAYABgBZAQAAqAUAAAAA&#10;">
                        <v:fill on="f" focussize="0,0"/>
                        <v:stroke weight="1pt" color="#000000" joinstyle="miter" endarrow="block"/>
                        <v:imagedata o:title=""/>
                        <o:lock v:ext="edit" aspectratio="f"/>
                      </v:rect>
                      <v:rect id="_x0000_s1026" o:spid="_x0000_s1026" o:spt="1" style="position:absolute;left:2245360;top:1003300;height:830580;width:1130300;" filled="f" stroked="t" coordsize="21600,21600" o:gfxdata="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Y+Ju9YAAAAFAQAADwAAAAAAAAABACAAAAAiAAAA&#10;ZHJzL2Rvd25yZXYueG1sUEsBAhQAFAAAAAgAh07iQF1Yq74JAgAACAQAAA4AAAAAAAAAAQAgAAAA&#10;JQEAAGRycy9lMm9Eb2MueG1sUEsFBgAAAAAGAAYAWQEAAKAFAAAAAA==&#10;">
                        <v:fill on="f" focussize="0,0"/>
                        <v:stroke weight="1pt" color="#000000" joinstyle="miter" endarrow="block"/>
                        <v:imagedata o:title=""/>
                        <o:lock v:ext="edit" aspectratio="f"/>
                      </v:rect>
                      <v:shape id="_x0000_s1026" o:spid="_x0000_s1026" o:spt="202" type="#_x0000_t202" style="position:absolute;left:2368550;top:1226820;height:685800;width:889000;" filled="f" stroked="t" coordsize="21600,21600" o:gfxdata="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H5JEC1gAAAAUB&#10;AAAPAAAAAAAAAAEAIAAAACIAAABkcnMvZG93bnJldi54bWxQSwECFAAUAAAACACHTuJAucj/eR0C&#10;AAA8BAAADgAAAAAAAAABACAAAAAlAQAAZHJzL2Uyb0RvYy54bWxQSwUGAAAAAAYABgBZAQAAtAUA&#10;AAAA&#10;">
                        <v:fill on="f" focussize="0,0"/>
                        <v:stroke weight="1pt" color="#000000" opacity="0f" joinstyle="miter" endarrow="block"/>
                        <v:imagedata o:title=""/>
                        <o:lock v:ext="edit" aspectratio="f"/>
                        <v:textbox>
                          <w:txbxContent>
                            <w:p>
                              <w:pPr>
                                <w:jc w:val="center"/>
                                <w:rPr>
                                  <w:sz w:val="18"/>
                                  <w:szCs w:val="18"/>
                                </w:rPr>
                              </w:pPr>
                              <w:r>
                                <w:rPr>
                                  <w:rFonts w:hint="eastAsia"/>
                                  <w:sz w:val="18"/>
                                  <w:szCs w:val="18"/>
                                </w:rPr>
                                <w:t>废</w:t>
                              </w:r>
                              <w:r>
                                <w:rPr>
                                  <w:rFonts w:hint="eastAsia"/>
                                  <w:sz w:val="18"/>
                                  <w:szCs w:val="18"/>
                                  <w:lang w:val="en-US" w:eastAsia="zh-CN"/>
                                </w:rPr>
                                <w:t>包装桶、废润滑油桶</w:t>
                              </w:r>
                              <w:r>
                                <w:rPr>
                                  <w:rFonts w:hint="eastAsia"/>
                                  <w:sz w:val="18"/>
                                  <w:szCs w:val="18"/>
                                </w:rPr>
                                <w:t>贮存区</w:t>
                              </w:r>
                              <w:r>
                                <w:rPr>
                                  <w:sz w:val="18"/>
                                  <w:szCs w:val="18"/>
                                </w:rPr>
                                <w:t>约</w:t>
                              </w:r>
                              <w:r>
                                <w:rPr>
                                  <w:rFonts w:hint="eastAsia"/>
                                  <w:sz w:val="18"/>
                                  <w:szCs w:val="18"/>
                                  <w:lang w:val="en-US" w:eastAsia="zh-CN"/>
                                </w:rPr>
                                <w:t>3.5</w:t>
                              </w:r>
                              <w:r>
                                <w:rPr>
                                  <w:sz w:val="18"/>
                                  <w:szCs w:val="18"/>
                                </w:rPr>
                                <w:t>m</w:t>
                              </w:r>
                              <w:r>
                                <w:rPr>
                                  <w:sz w:val="18"/>
                                  <w:szCs w:val="18"/>
                                  <w:vertAlign w:val="superscript"/>
                                </w:rPr>
                                <w:t>2</w:t>
                              </w:r>
                            </w:p>
                          </w:txbxContent>
                        </v:textbox>
                      </v:shape>
                      <v:rect id="_x0000_s1026" o:spid="_x0000_s1026" o:spt="1" style="position:absolute;left:1734185;top:1356995;height:241300;width:711200;rotation:5898240f;" filled="f" stroked="t" coordsize="21600,21600" o:gfxdata="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GmGUdYAAAAFAQAADwAAAAAAAAAB&#10;ACAAAAAiAAAAZHJzL2Rvd25yZXYueG1sUEsBAhQAFAAAAAgAh07iQFDb7/ASAgAAFQQAAA4AAAAA&#10;AAAAAQAgAAAAJQEAAGRycy9lMm9Eb2MueG1sUEsFBgAAAAAGAAYAWQEAAKkFAAAAAA==&#10;">
                        <v:fill on="f" focussize="0,0"/>
                        <v:stroke weight="1pt" color="#000000" joinstyle="miter" endarrow="block"/>
                        <v:imagedata o:title=""/>
                        <o:lock v:ext="edit" aspectratio="f"/>
                      </v:rect>
                      <v:shape id="_x0000_s1026" o:spid="_x0000_s1026" o:spt="202" type="#_x0000_t202" style="position:absolute;left:1833880;top:1221105;height:686435;width:495300;" filled="f" stroked="t" coordsize="21600,21600" o:gfxdata="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fkkQLW&#10;AAAABQEAAA8AAAAAAAAAAQAgAAAAIgAAAGRycy9kb3ducmV2LnhtbFBLAQIUABQAAAAIAIdO4kAW&#10;pRsTIgIAADwEAAAOAAAAAAAAAAEAIAAAACUBAABkcnMvZTJvRG9jLnhtbFBLBQYAAAAABgAGAFkB&#10;AAC5BQAAAAA=&#10;">
                        <v:fill on="f" focussize="0,0"/>
                        <v:stroke weight="1pt" color="#000000" opacity="0f" joinstyle="miter" endarrow="block"/>
                        <v:imagedata o:title=""/>
                        <o:lock v:ext="edit" aspectratio="f"/>
                        <v:textbox>
                          <w:txbxContent>
                            <w:p>
                              <w:pPr>
                                <w:jc w:val="center"/>
                                <w:rPr>
                                  <w:rFonts w:hint="eastAsia"/>
                                  <w:sz w:val="15"/>
                                  <w:szCs w:val="15"/>
                                  <w:lang w:val="en-US" w:eastAsia="zh-CN"/>
                                </w:rPr>
                              </w:pPr>
                              <w:r>
                                <w:rPr>
                                  <w:rFonts w:hint="eastAsia"/>
                                  <w:sz w:val="15"/>
                                  <w:szCs w:val="15"/>
                                  <w:lang w:val="en-US" w:eastAsia="zh-CN"/>
                                </w:rPr>
                                <w:t>含油</w:t>
                              </w:r>
                            </w:p>
                            <w:p>
                              <w:pPr>
                                <w:jc w:val="center"/>
                                <w:rPr>
                                  <w:rFonts w:hint="eastAsia"/>
                                  <w:sz w:val="15"/>
                                  <w:szCs w:val="15"/>
                                  <w:lang w:val="en-US" w:eastAsia="zh-CN"/>
                                </w:rPr>
                              </w:pPr>
                              <w:r>
                                <w:rPr>
                                  <w:rFonts w:hint="eastAsia"/>
                                  <w:sz w:val="15"/>
                                  <w:szCs w:val="15"/>
                                  <w:lang w:val="en-US" w:eastAsia="zh-CN"/>
                                </w:rPr>
                                <w:t>废液</w:t>
                              </w:r>
                            </w:p>
                            <w:p>
                              <w:pPr>
                                <w:jc w:val="center"/>
                                <w:rPr>
                                  <w:sz w:val="15"/>
                                  <w:szCs w:val="15"/>
                                </w:rPr>
                              </w:pPr>
                              <w:r>
                                <w:rPr>
                                  <w:sz w:val="15"/>
                                  <w:szCs w:val="15"/>
                                </w:rPr>
                                <w:t>约</w:t>
                              </w:r>
                              <w:r>
                                <w:rPr>
                                  <w:rFonts w:hint="eastAsia"/>
                                  <w:sz w:val="15"/>
                                  <w:szCs w:val="15"/>
                                  <w:lang w:val="en-US" w:eastAsia="zh-CN"/>
                                </w:rPr>
                                <w:t>0.5</w:t>
                              </w:r>
                              <w:r>
                                <w:rPr>
                                  <w:sz w:val="15"/>
                                  <w:szCs w:val="15"/>
                                </w:rPr>
                                <w:t>m</w:t>
                              </w:r>
                              <w:r>
                                <w:rPr>
                                  <w:sz w:val="15"/>
                                  <w:szCs w:val="15"/>
                                  <w:vertAlign w:val="superscript"/>
                                </w:rPr>
                                <w:t>2</w:t>
                              </w:r>
                            </w:p>
                          </w:txbxContent>
                        </v:textbox>
                      </v:shape>
                      <w10:wrap type="none"/>
                      <w10:anchorlock/>
                    </v:group>
                  </w:pict>
                </mc:Fallback>
              </mc:AlternateConten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atLeast"/>
              <w:ind w:left="0"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（6）运输过程的环境影响分析</w:t>
            </w:r>
          </w:p>
          <w:p>
            <w:pPr>
              <w:pStyle w:val="4"/>
              <w:pageBreakBefore w:val="0"/>
              <w:widowControl w:val="0"/>
              <w:kinsoku/>
              <w:wordWrap/>
              <w:overflowPunct/>
              <w:topLinePunct w:val="0"/>
              <w:autoSpaceDE/>
              <w:autoSpaceDN/>
              <w:bidi w:val="0"/>
              <w:spacing w:before="0" w:after="0" w:line="500" w:lineRule="atLeast"/>
              <w:ind w:firstLine="480"/>
              <w:textAlignment w:val="auto"/>
              <w:rPr>
                <w:rFonts w:hint="eastAsia" w:ascii="宋体" w:hAnsi="宋体" w:eastAsia="宋体" w:cs="宋体"/>
                <w:b w:val="0"/>
                <w:bCs w:val="0"/>
                <w:sz w:val="24"/>
                <w:szCs w:val="24"/>
                <w:lang w:val="en-US" w:eastAsia="zh-CN"/>
              </w:rPr>
            </w:pPr>
            <w:r>
              <w:rPr>
                <w:rFonts w:hint="eastAsia" w:cs="Times New Roman"/>
                <w:b w:val="0"/>
                <w:bCs w:val="0"/>
                <w:sz w:val="24"/>
                <w:szCs w:val="24"/>
                <w:lang w:val="en-US" w:eastAsia="zh-CN"/>
              </w:rPr>
              <w:t>危险废物的收集、运输按照</w:t>
            </w:r>
            <w:r>
              <w:rPr>
                <w:rFonts w:hint="eastAsia" w:ascii="宋体" w:hAnsi="宋体" w:eastAsia="宋体" w:cs="宋体"/>
                <w:b w:val="0"/>
                <w:bCs w:val="0"/>
                <w:sz w:val="24"/>
                <w:szCs w:val="24"/>
                <w:lang w:val="en-US" w:eastAsia="zh-CN"/>
              </w:rPr>
              <w:t>《危险废物收集、贮存、运输技术规范》（</w:t>
            </w:r>
            <w:r>
              <w:rPr>
                <w:rFonts w:hint="default" w:ascii="Times New Roman" w:hAnsi="Times New Roman" w:eastAsia="宋体" w:cs="Times New Roman"/>
                <w:b w:val="0"/>
                <w:bCs w:val="0"/>
                <w:sz w:val="24"/>
                <w:szCs w:val="24"/>
                <w:lang w:val="en-US" w:eastAsia="zh-CN"/>
              </w:rPr>
              <w:t>HJ2025-2012）</w:t>
            </w:r>
            <w:r>
              <w:rPr>
                <w:rFonts w:hint="eastAsia" w:ascii="Times New Roman" w:hAnsi="Times New Roman" w:eastAsia="宋体" w:cs="Times New Roman"/>
                <w:b w:val="0"/>
                <w:bCs w:val="0"/>
                <w:sz w:val="24"/>
                <w:szCs w:val="24"/>
                <w:lang w:val="en-US" w:eastAsia="zh-CN"/>
              </w:rPr>
              <w:t>的要求进行。在运输过程中，按照</w:t>
            </w:r>
            <w:r>
              <w:rPr>
                <w:rFonts w:hint="eastAsia" w:ascii="宋体" w:hAnsi="宋体" w:eastAsia="宋体" w:cs="宋体"/>
                <w:b w:val="0"/>
                <w:bCs w:val="0"/>
                <w:sz w:val="24"/>
                <w:szCs w:val="24"/>
                <w:lang w:val="en-US" w:eastAsia="zh-CN"/>
              </w:rPr>
              <w:t>《江苏省固体废物污染环境防治条例》中对危险废物的包装、运输的有关标准、技术规范和要求进行，有效防止危险废物转移过程中污染环境。项目需处理的危险废物采用专门的车辆，密闭运输，严格禁止抛洒滴漏，杜绝在运输过程中造成环境的二次污染。在危险废物的运输中执行《危险废物转移管理办法》中有关的规定和要求。</w:t>
            </w:r>
          </w:p>
          <w:p>
            <w:pPr>
              <w:pStyle w:val="4"/>
              <w:pageBreakBefore w:val="0"/>
              <w:widowControl w:val="0"/>
              <w:kinsoku/>
              <w:wordWrap/>
              <w:overflowPunct/>
              <w:topLinePunct w:val="0"/>
              <w:autoSpaceDE/>
              <w:autoSpaceDN/>
              <w:bidi w:val="0"/>
              <w:spacing w:before="0" w:after="0" w:line="500" w:lineRule="exact"/>
              <w:ind w:firstLine="480"/>
              <w:textAlignment w:val="auto"/>
              <w:rPr>
                <w:rFonts w:hint="default"/>
                <w:lang w:val="en-US" w:eastAsia="zh-CN"/>
              </w:rPr>
            </w:pPr>
            <w:r>
              <w:rPr>
                <w:rFonts w:hint="eastAsia" w:ascii="宋体" w:hAnsi="宋体" w:eastAsia="宋体" w:cs="宋体"/>
                <w:b w:val="0"/>
                <w:bCs w:val="0"/>
                <w:sz w:val="24"/>
                <w:szCs w:val="24"/>
                <w:lang w:val="en-US" w:eastAsia="zh-CN"/>
              </w:rPr>
              <w:t xml:space="preserve">建设单位拟针对员工进行培训，加强安全生产及防止污染的意识，培训通过后方可上岗，对于固体废弃物的收集、运输要实施专人专职管理制度并建立好台账。                                   </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（7）委托处置的环境影响分析</w:t>
            </w:r>
          </w:p>
          <w:p>
            <w:pPr>
              <w:pageBreakBefore w:val="0"/>
              <w:widowControl w:val="0"/>
              <w:numPr>
                <w:ilvl w:val="0"/>
                <w:numId w:val="0"/>
              </w:numPr>
              <w:kinsoku/>
              <w:wordWrap/>
              <w:overflowPunct/>
              <w:topLinePunct w:val="0"/>
              <w:autoSpaceDE/>
              <w:autoSpaceDN/>
              <w:bidi w:val="0"/>
              <w:spacing w:line="500" w:lineRule="exact"/>
              <w:ind w:leftChars="0" w:firstLine="480" w:firstLineChars="200"/>
              <w:jc w:val="left"/>
              <w:textAlignment w:val="auto"/>
              <w:rPr>
                <w:rFonts w:hint="eastAsia" w:ascii="宋体" w:hAnsi="宋体" w:eastAsia="宋体" w:cs="宋体"/>
                <w:b w:val="0"/>
                <w:bCs w:val="0"/>
                <w:sz w:val="24"/>
                <w:szCs w:val="24"/>
                <w:lang w:val="en-US" w:eastAsia="zh-CN"/>
              </w:rPr>
            </w:pPr>
            <w:r>
              <w:rPr>
                <w:rFonts w:hint="eastAsia" w:cs="Times New Roman"/>
                <w:b w:val="0"/>
                <w:bCs w:val="0"/>
                <w:sz w:val="24"/>
                <w:szCs w:val="24"/>
                <w:lang w:val="en-US" w:eastAsia="zh-CN"/>
              </w:rPr>
              <w:t>根据</w:t>
            </w:r>
            <w:r>
              <w:rPr>
                <w:rFonts w:hint="eastAsia" w:ascii="宋体" w:hAnsi="宋体" w:eastAsia="宋体" w:cs="宋体"/>
                <w:b w:val="0"/>
                <w:bCs w:val="0"/>
                <w:sz w:val="24"/>
                <w:szCs w:val="24"/>
                <w:lang w:val="en-US" w:eastAsia="zh-CN"/>
              </w:rPr>
              <w:t>《江苏省人民政府办公厅关于加强危险废物污染防治工作的意见》“严格控制产生危险废物的项目建设，禁止审批无法落实危险废物利用、处置途径的项目，从严审批危险废物产生量大、本地无配套利用处置能力、且需设区市统筹解决的项目”的要求，建设项目所有危废必须落实利用、处置途径。本项目位于江苏省海安市，周边主要的危废处置单位有南通九洲环保科技有限公司、上海电气南通国海环保科技有限公司等。危废处置单位情况见下表。</w:t>
            </w:r>
          </w:p>
          <w:p>
            <w:pPr>
              <w:pageBreakBefore w:val="0"/>
              <w:widowControl w:val="0"/>
              <w:numPr>
                <w:ilvl w:val="0"/>
                <w:numId w:val="0"/>
              </w:numPr>
              <w:kinsoku/>
              <w:wordWrap/>
              <w:overflowPunct/>
              <w:topLinePunct w:val="0"/>
              <w:autoSpaceDE/>
              <w:autoSpaceDN/>
              <w:bidi w:val="0"/>
              <w:spacing w:line="500" w:lineRule="exact"/>
              <w:ind w:leftChars="0" w:firstLine="2409" w:firstLineChars="1000"/>
              <w:jc w:val="both"/>
              <w:textAlignment w:val="auto"/>
              <w:rPr>
                <w:b/>
                <w:color w:val="auto"/>
                <w:sz w:val="24"/>
              </w:rPr>
            </w:pPr>
            <w:r>
              <w:rPr>
                <w:rFonts w:ascii="Times New Roman" w:hAnsi="Times New Roman"/>
                <w:b/>
                <w:bCs/>
                <w:color w:val="auto"/>
                <w:kern w:val="2"/>
                <w:sz w:val="24"/>
                <w:szCs w:val="24"/>
                <w:highlight w:val="none"/>
              </w:rPr>
              <w:t>表</w:t>
            </w:r>
            <w:r>
              <w:rPr>
                <w:rFonts w:hint="eastAsia"/>
                <w:b/>
                <w:bCs/>
                <w:color w:val="auto"/>
                <w:kern w:val="2"/>
                <w:sz w:val="24"/>
                <w:szCs w:val="24"/>
                <w:highlight w:val="none"/>
                <w:lang w:val="en-US" w:eastAsia="zh-CN"/>
              </w:rPr>
              <w:t xml:space="preserve">4-26  </w:t>
            </w:r>
            <w:r>
              <w:rPr>
                <w:b/>
                <w:color w:val="auto"/>
                <w:sz w:val="24"/>
              </w:rPr>
              <w:t>周边危废处置单位情况表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1"/>
              <w:gridCol w:w="975"/>
              <w:gridCol w:w="930"/>
              <w:gridCol w:w="56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b/>
                      <w:bCs/>
                      <w:color w:val="auto"/>
                      <w:sz w:val="21"/>
                      <w:szCs w:val="21"/>
                    </w:rPr>
                  </w:pPr>
                  <w:r>
                    <w:rPr>
                      <w:b/>
                      <w:bCs/>
                      <w:color w:val="auto"/>
                      <w:sz w:val="21"/>
                      <w:szCs w:val="21"/>
                    </w:rPr>
                    <w:t>单位名称</w:t>
                  </w:r>
                </w:p>
              </w:tc>
              <w:tc>
                <w:tcPr>
                  <w:tcW w:w="97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b/>
                      <w:bCs/>
                      <w:color w:val="auto"/>
                      <w:sz w:val="21"/>
                      <w:szCs w:val="21"/>
                    </w:rPr>
                  </w:pPr>
                  <w:r>
                    <w:rPr>
                      <w:b/>
                      <w:bCs/>
                      <w:color w:val="auto"/>
                      <w:sz w:val="21"/>
                      <w:szCs w:val="21"/>
                    </w:rPr>
                    <w:t>地址</w:t>
                  </w:r>
                </w:p>
              </w:tc>
              <w:tc>
                <w:tcPr>
                  <w:tcW w:w="93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b/>
                      <w:bCs/>
                      <w:color w:val="auto"/>
                      <w:sz w:val="21"/>
                      <w:szCs w:val="21"/>
                    </w:rPr>
                  </w:pPr>
                  <w:r>
                    <w:rPr>
                      <w:b/>
                      <w:bCs/>
                      <w:color w:val="auto"/>
                      <w:sz w:val="21"/>
                      <w:szCs w:val="21"/>
                    </w:rPr>
                    <w:t>许可量</w:t>
                  </w:r>
                </w:p>
              </w:tc>
              <w:tc>
                <w:tcPr>
                  <w:tcW w:w="563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b/>
                      <w:bCs/>
                      <w:color w:val="auto"/>
                      <w:sz w:val="21"/>
                      <w:szCs w:val="21"/>
                    </w:rPr>
                  </w:pPr>
                  <w:r>
                    <w:rPr>
                      <w:b/>
                      <w:bCs/>
                      <w:color w:val="auto"/>
                      <w:sz w:val="21"/>
                      <w:szCs w:val="21"/>
                    </w:rPr>
                    <w:t>经营范围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color w:val="auto"/>
                      <w:sz w:val="21"/>
                      <w:szCs w:val="21"/>
                    </w:rPr>
                  </w:pPr>
                  <w:r>
                    <w:rPr>
                      <w:color w:val="auto"/>
                      <w:sz w:val="21"/>
                      <w:szCs w:val="21"/>
                    </w:rPr>
                    <w:t>南通润启环保服务有限公司</w:t>
                  </w:r>
                </w:p>
              </w:tc>
              <w:tc>
                <w:tcPr>
                  <w:tcW w:w="97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color w:val="auto"/>
                      <w:sz w:val="21"/>
                      <w:szCs w:val="21"/>
                    </w:rPr>
                  </w:pPr>
                  <w:r>
                    <w:rPr>
                      <w:color w:val="auto"/>
                      <w:sz w:val="21"/>
                      <w:szCs w:val="21"/>
                    </w:rPr>
                    <w:t>启东市滨江精细化工园上海路318号</w:t>
                  </w:r>
                </w:p>
              </w:tc>
              <w:tc>
                <w:tcPr>
                  <w:tcW w:w="93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color w:val="auto"/>
                      <w:sz w:val="21"/>
                      <w:szCs w:val="21"/>
                    </w:rPr>
                  </w:pPr>
                  <w:r>
                    <w:rPr>
                      <w:color w:val="auto"/>
                      <w:sz w:val="21"/>
                      <w:szCs w:val="21"/>
                    </w:rPr>
                    <w:t>25000t/a</w:t>
                  </w:r>
                </w:p>
              </w:tc>
              <w:tc>
                <w:tcPr>
                  <w:tcW w:w="5638"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color w:val="auto"/>
                      <w:sz w:val="21"/>
                      <w:szCs w:val="21"/>
                      <w:lang w:eastAsia="zh-CN"/>
                    </w:rPr>
                  </w:pPr>
                  <w:r>
                    <w:rPr>
                      <w:rFonts w:ascii="Times New Roman" w:hAnsi="Times New Roman"/>
                      <w:color w:val="auto"/>
                      <w:sz w:val="21"/>
                      <w:szCs w:val="21"/>
                      <w:lang w:eastAsia="zh-CN"/>
                    </w:rPr>
                    <w:t>焚烧处置医药废物（HW02）、废药物药品（HW03）、农药废物（HW04）、木材防腐剂废物（HW05）、废有机溶剂与含有机溶剂废物（HW06）、废矿物油与含矿物油废物（HW08）、油/水、烃/水混合物或乳化液（HW09）、精（蒸）馏残渣（HW11）、染料及涂料废物（HW12）、有机树脂类废物（HW13）、新化学物质废物（HW14）、表面处理废物（HW17，仅限336-050-17、336-051-17、336-053-17、336-055-17、336-060-17、336-067-17、336-068-17、336-069-17、336-101-17）、有机磷化合物废物（HW37）、有机氰化物废物（HW38）、含酚废物（HW39）、含醚废物（HW40）、含有机卤化物废物（HW45）、其他废物（HW49，仅限900-039-49、900-041-49、900-042-49、900-046-49、900-047-49、900-999-49）、废催化剂（HW50，仅限261-151-50、261-152-50、261-183-50、263-013-50、271-006-50、275-009-50、276-006-50、900-048-50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color w:val="auto"/>
                      <w:sz w:val="21"/>
                      <w:szCs w:val="21"/>
                    </w:rPr>
                  </w:pPr>
                  <w:r>
                    <w:rPr>
                      <w:color w:val="auto"/>
                      <w:sz w:val="21"/>
                      <w:szCs w:val="21"/>
                    </w:rPr>
                    <w:t>上海电气南通国海环保科技有限公司</w:t>
                  </w:r>
                </w:p>
              </w:tc>
              <w:tc>
                <w:tcPr>
                  <w:tcW w:w="975"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ind w:left="0" w:leftChars="0"/>
                    <w:jc w:val="center"/>
                    <w:textAlignment w:val="auto"/>
                    <w:rPr>
                      <w:color w:val="auto"/>
                      <w:sz w:val="21"/>
                      <w:szCs w:val="21"/>
                    </w:rPr>
                  </w:pPr>
                  <w:r>
                    <w:rPr>
                      <w:rFonts w:ascii="Times New Roman" w:hAnsi="Times New Roman"/>
                      <w:color w:val="auto"/>
                      <w:sz w:val="21"/>
                      <w:szCs w:val="21"/>
                      <w:lang w:eastAsia="zh-CN"/>
                    </w:rPr>
                    <w:t>老坝港滨海新区(角斜镇)</w:t>
                  </w:r>
                  <w:r>
                    <w:rPr>
                      <w:rStyle w:val="23"/>
                      <w:rFonts w:ascii="Times New Roman" w:hAnsi="Times New Roman"/>
                      <w:color w:val="auto"/>
                      <w:kern w:val="2"/>
                      <w:sz w:val="21"/>
                      <w:szCs w:val="21"/>
                      <w:lang w:eastAsia="zh-CN"/>
                    </w:rPr>
                    <w:t>金港大道</w:t>
                  </w:r>
                  <w:r>
                    <w:rPr>
                      <w:rFonts w:ascii="Times New Roman" w:hAnsi="Times New Roman"/>
                      <w:color w:val="auto"/>
                      <w:sz w:val="21"/>
                      <w:szCs w:val="21"/>
                      <w:lang w:eastAsia="zh-CN"/>
                    </w:rPr>
                    <w:t>6</w:t>
                  </w:r>
                  <w:r>
                    <w:rPr>
                      <w:color w:val="auto"/>
                      <w:sz w:val="21"/>
                      <w:szCs w:val="21"/>
                    </w:rPr>
                    <w:t>号</w:t>
                  </w:r>
                </w:p>
              </w:tc>
              <w:tc>
                <w:tcPr>
                  <w:tcW w:w="93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color w:val="auto"/>
                      <w:sz w:val="21"/>
                      <w:szCs w:val="21"/>
                    </w:rPr>
                  </w:pPr>
                  <w:r>
                    <w:rPr>
                      <w:color w:val="auto"/>
                      <w:sz w:val="21"/>
                      <w:szCs w:val="21"/>
                    </w:rPr>
                    <w:t>13000t/a</w:t>
                  </w:r>
                </w:p>
              </w:tc>
              <w:tc>
                <w:tcPr>
                  <w:tcW w:w="5638"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color w:val="auto"/>
                      <w:sz w:val="21"/>
                      <w:szCs w:val="21"/>
                      <w:lang w:eastAsia="zh-CN"/>
                    </w:rPr>
                  </w:pPr>
                  <w:r>
                    <w:rPr>
                      <w:rFonts w:ascii="Times New Roman" w:hAnsi="Times New Roman"/>
                      <w:color w:val="auto"/>
                      <w:sz w:val="21"/>
                      <w:szCs w:val="21"/>
                      <w:lang w:eastAsia="zh-CN"/>
                    </w:rPr>
                    <w:t>焚烧处置HW02 医药废物，HW03废药物、药品，HW04 农药废物，HW06废有机溶剂与含有机溶剂废物，HW08废矿物油与含矿物油废物，HW09油/水、烃/水混合物或乳化液，HW11精（蒸）馏残渣，HW12染料、涂料废物，HW49等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color w:val="auto"/>
                      <w:sz w:val="21"/>
                      <w:szCs w:val="21"/>
                    </w:rPr>
                  </w:pPr>
                  <w:r>
                    <w:rPr>
                      <w:color w:val="auto"/>
                      <w:sz w:val="21"/>
                      <w:szCs w:val="21"/>
                    </w:rPr>
                    <w:t>南通九洲环保科技有限公司</w:t>
                  </w:r>
                </w:p>
              </w:tc>
              <w:tc>
                <w:tcPr>
                  <w:tcW w:w="97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color w:val="auto"/>
                      <w:sz w:val="21"/>
                      <w:szCs w:val="21"/>
                    </w:rPr>
                  </w:pPr>
                  <w:r>
                    <w:rPr>
                      <w:color w:val="auto"/>
                      <w:sz w:val="21"/>
                      <w:szCs w:val="21"/>
                    </w:rPr>
                    <w:t>南通市如皋市长江镇规划路 1号</w:t>
                  </w:r>
                </w:p>
              </w:tc>
              <w:tc>
                <w:tcPr>
                  <w:tcW w:w="93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color w:val="auto"/>
                      <w:sz w:val="21"/>
                      <w:szCs w:val="21"/>
                    </w:rPr>
                  </w:pPr>
                  <w:r>
                    <w:rPr>
                      <w:color w:val="auto"/>
                      <w:sz w:val="21"/>
                      <w:szCs w:val="21"/>
                    </w:rPr>
                    <w:t>20000t/a</w:t>
                  </w:r>
                </w:p>
              </w:tc>
              <w:tc>
                <w:tcPr>
                  <w:tcW w:w="5638"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color w:val="auto"/>
                      <w:sz w:val="21"/>
                      <w:szCs w:val="21"/>
                      <w:lang w:eastAsia="zh-CN"/>
                    </w:rPr>
                  </w:pPr>
                  <w:r>
                    <w:rPr>
                      <w:rFonts w:ascii="Times New Roman" w:hAnsi="Times New Roman"/>
                      <w:color w:val="auto"/>
                      <w:sz w:val="21"/>
                      <w:szCs w:val="21"/>
                      <w:lang w:eastAsia="zh-CN"/>
                    </w:rPr>
                    <w:t>焚烧处置医药废物（HW02）、废药物药品（HW03）、农药废物（HW04）、木材防腐剂废物（HW05）、废有机溶剂与含有机溶剂废物（HW06）、废矿物油与含矿物油废物（HW08）、油/水、烃/水混合物或乳化液（HW09）、精（蒸）馏残渣（HW11）、染料、涂料废物（HW12）、有机树脂类废物（HW13）、新化学药品废物（HW14）、表面处理废物（HW17）、有机磷化合物废物（HW37）、有机氰化物废物（HW38）、含酚废物（HW39）、含醚类废物（HW40）、含有机卤化物废物（HW45）、其他废物（HW49）（不含309-001-49、900-042-49、900-044-49、900-045-49、900-999-49）、废催化剂（HW50，275-009-50、276-006-50、263-013-50、261-151-50、261-183-50）共计20000吨/年</w:t>
                  </w:r>
                </w:p>
              </w:tc>
            </w:tr>
          </w:tbl>
          <w:p>
            <w:pPr>
              <w:pStyle w:val="4"/>
              <w:pageBreakBefore w:val="0"/>
              <w:widowControl w:val="0"/>
              <w:kinsoku/>
              <w:wordWrap/>
              <w:overflowPunct/>
              <w:topLinePunct w:val="0"/>
              <w:bidi w:val="0"/>
              <w:spacing w:before="0" w:after="0" w:line="50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本项目产生的危废可根据实际情况委托上表中的企业处置。综上分析可知，本项目产生的固体废物经有效处理和处置后对环境影响较小。</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（8）污染防治措施及其经济、技术分析</w:t>
            </w:r>
          </w:p>
          <w:p>
            <w:pPr>
              <w:pageBreakBefore w:val="0"/>
              <w:widowControl w:val="0"/>
              <w:kinsoku/>
              <w:wordWrap/>
              <w:overflowPunct/>
              <w:topLinePunct w:val="0"/>
              <w:bidi w:val="0"/>
              <w:spacing w:line="500" w:lineRule="exact"/>
              <w:ind w:firstLine="480" w:firstLineChars="200"/>
              <w:jc w:val="left"/>
              <w:textAlignment w:val="auto"/>
              <w:rPr>
                <w:color w:val="auto"/>
                <w:sz w:val="24"/>
              </w:rPr>
            </w:pPr>
            <w:r>
              <w:rPr>
                <w:color w:val="auto"/>
                <w:sz w:val="24"/>
              </w:rPr>
              <w:t>1）贮存场所（设施）污染防治措施</w:t>
            </w:r>
          </w:p>
          <w:p>
            <w:pPr>
              <w:pageBreakBefore w:val="0"/>
              <w:widowControl w:val="0"/>
              <w:kinsoku/>
              <w:wordWrap/>
              <w:overflowPunct/>
              <w:topLinePunct w:val="0"/>
              <w:bidi w:val="0"/>
              <w:spacing w:line="500" w:lineRule="exact"/>
              <w:ind w:firstLine="480" w:firstLineChars="200"/>
              <w:jc w:val="left"/>
              <w:textAlignment w:val="auto"/>
              <w:rPr>
                <w:color w:val="auto"/>
                <w:sz w:val="24"/>
              </w:rPr>
            </w:pPr>
            <w:r>
              <w:rPr>
                <w:color w:val="auto"/>
                <w:sz w:val="24"/>
              </w:rPr>
              <w:t>①一般固废贮存场所（设施）污染防治措施</w:t>
            </w:r>
          </w:p>
          <w:p>
            <w:pPr>
              <w:pageBreakBefore w:val="0"/>
              <w:widowControl w:val="0"/>
              <w:kinsoku/>
              <w:wordWrap/>
              <w:overflowPunct/>
              <w:topLinePunct w:val="0"/>
              <w:bidi w:val="0"/>
              <w:spacing w:line="500" w:lineRule="exact"/>
              <w:ind w:firstLine="480" w:firstLineChars="200"/>
              <w:jc w:val="left"/>
              <w:textAlignment w:val="auto"/>
              <w:rPr>
                <w:color w:val="auto"/>
                <w:sz w:val="24"/>
              </w:rPr>
            </w:pPr>
            <w:r>
              <w:rPr>
                <w:color w:val="auto"/>
                <w:sz w:val="24"/>
              </w:rPr>
              <w:t>本项目一般工业固废，应按照相关要求分类收集贮存，暂存场所应满足</w:t>
            </w:r>
            <w:r>
              <w:rPr>
                <w:rFonts w:hint="eastAsia"/>
                <w:color w:val="auto"/>
                <w:sz w:val="24"/>
              </w:rPr>
              <w:t>《一般工业固体废物贮存和填埋污染控制标准》（GB18599-2020）</w:t>
            </w:r>
            <w:r>
              <w:rPr>
                <w:color w:val="auto"/>
                <w:sz w:val="24"/>
              </w:rPr>
              <w:t>、《环境保护图形标志—固体废物贮存（处置场）》（GB15562.2-1995）</w:t>
            </w:r>
            <w:r>
              <w:rPr>
                <w:rFonts w:hint="eastAsia"/>
                <w:color w:val="auto"/>
                <w:sz w:val="24"/>
                <w:lang w:val="en-US" w:eastAsia="zh-CN"/>
              </w:rPr>
              <w:t>及修改单</w:t>
            </w:r>
            <w:r>
              <w:rPr>
                <w:color w:val="auto"/>
                <w:sz w:val="24"/>
              </w:rPr>
              <w:t>等规定要求。</w:t>
            </w:r>
          </w:p>
          <w:p>
            <w:pPr>
              <w:pageBreakBefore w:val="0"/>
              <w:widowControl w:val="0"/>
              <w:kinsoku/>
              <w:wordWrap/>
              <w:overflowPunct/>
              <w:topLinePunct w:val="0"/>
              <w:bidi w:val="0"/>
              <w:spacing w:line="500" w:lineRule="exact"/>
              <w:ind w:firstLine="480" w:firstLineChars="200"/>
              <w:jc w:val="left"/>
              <w:textAlignment w:val="auto"/>
              <w:rPr>
                <w:color w:val="auto"/>
                <w:sz w:val="24"/>
              </w:rPr>
            </w:pPr>
            <w:r>
              <w:rPr>
                <w:color w:val="auto"/>
                <w:sz w:val="24"/>
              </w:rPr>
              <w:t>Ⅰ、贮存、处置场的建设类型，必须与将要堆放的一般工业固体废物的类别相一致。</w:t>
            </w:r>
          </w:p>
          <w:p>
            <w:pPr>
              <w:pageBreakBefore w:val="0"/>
              <w:widowControl w:val="0"/>
              <w:kinsoku/>
              <w:wordWrap/>
              <w:overflowPunct/>
              <w:topLinePunct w:val="0"/>
              <w:bidi w:val="0"/>
              <w:spacing w:line="500" w:lineRule="exact"/>
              <w:ind w:firstLine="480" w:firstLineChars="200"/>
              <w:jc w:val="left"/>
              <w:textAlignment w:val="auto"/>
              <w:rPr>
                <w:color w:val="auto"/>
                <w:sz w:val="24"/>
              </w:rPr>
            </w:pPr>
            <w:r>
              <w:rPr>
                <w:color w:val="auto"/>
                <w:sz w:val="24"/>
              </w:rPr>
              <w:t>Ⅱ、为保障设施、设备正常运营，必要时应采取措施防止地基下沉，尤其是防止不均匀或局部下沉。</w:t>
            </w:r>
          </w:p>
          <w:p>
            <w:pPr>
              <w:pageBreakBefore w:val="0"/>
              <w:widowControl w:val="0"/>
              <w:kinsoku/>
              <w:wordWrap/>
              <w:overflowPunct/>
              <w:topLinePunct w:val="0"/>
              <w:autoSpaceDE w:val="0"/>
              <w:autoSpaceDN w:val="0"/>
              <w:bidi w:val="0"/>
              <w:adjustRightInd w:val="0"/>
              <w:spacing w:line="500" w:lineRule="exact"/>
              <w:ind w:firstLine="480" w:firstLineChars="200"/>
              <w:jc w:val="left"/>
              <w:textAlignment w:val="auto"/>
              <w:rPr>
                <w:color w:val="auto"/>
                <w:kern w:val="0"/>
                <w:sz w:val="24"/>
              </w:rPr>
            </w:pPr>
            <w:r>
              <w:rPr>
                <w:color w:val="auto"/>
                <w:kern w:val="0"/>
                <w:sz w:val="24"/>
              </w:rPr>
              <w:t>Ⅲ、贮存、处置场的使用单位，应建立档案制度。应将入场的一般工业固体废物的种类和数量以及下列资料，详细记录在案，长期保存，供随时查阅。</w:t>
            </w:r>
          </w:p>
          <w:p>
            <w:pPr>
              <w:pageBreakBefore w:val="0"/>
              <w:widowControl w:val="0"/>
              <w:kinsoku/>
              <w:wordWrap/>
              <w:overflowPunct/>
              <w:topLinePunct w:val="0"/>
              <w:bidi w:val="0"/>
              <w:spacing w:line="500" w:lineRule="exact"/>
              <w:ind w:firstLine="480" w:firstLineChars="200"/>
              <w:jc w:val="left"/>
              <w:textAlignment w:val="auto"/>
              <w:rPr>
                <w:color w:val="auto"/>
                <w:sz w:val="24"/>
              </w:rPr>
            </w:pPr>
            <w:r>
              <w:rPr>
                <w:color w:val="auto"/>
                <w:sz w:val="24"/>
              </w:rPr>
              <w:t>②危险废物贮存场所（设施）污染防治措施</w:t>
            </w:r>
          </w:p>
          <w:p>
            <w:pPr>
              <w:keepNext w:val="0"/>
              <w:keepLines w:val="0"/>
              <w:pageBreakBefore w:val="0"/>
              <w:kinsoku/>
              <w:wordWrap/>
              <w:overflowPunct/>
              <w:topLinePunct w:val="0"/>
              <w:bidi w:val="0"/>
              <w:adjustRightInd w:val="0"/>
              <w:snapToGrid w:val="0"/>
              <w:spacing w:line="500" w:lineRule="exact"/>
              <w:ind w:firstLine="480" w:firstLineChars="200"/>
              <w:jc w:val="both"/>
              <w:textAlignment w:val="auto"/>
              <w:rPr>
                <w:rFonts w:ascii="Times New Roman" w:hAnsi="Times New Roman"/>
                <w:b/>
                <w:color w:val="auto"/>
                <w:sz w:val="24"/>
                <w:szCs w:val="24"/>
              </w:rPr>
            </w:pPr>
            <w:r>
              <w:rPr>
                <w:rFonts w:hint="default" w:ascii="Times New Roman" w:hAnsi="Times New Roman" w:cs="Times New Roman"/>
                <w:color w:val="auto"/>
                <w:sz w:val="24"/>
                <w:szCs w:val="24"/>
              </w:rPr>
              <w:t>企业</w:t>
            </w:r>
            <w:r>
              <w:rPr>
                <w:rFonts w:hint="default" w:ascii="Times New Roman" w:hAnsi="Times New Roman" w:cs="Times New Roman"/>
                <w:color w:val="auto"/>
                <w:sz w:val="24"/>
                <w:szCs w:val="24"/>
                <w:lang w:val="en-US" w:eastAsia="zh-CN"/>
              </w:rPr>
              <w:t>设</w:t>
            </w:r>
            <w:r>
              <w:rPr>
                <w:rFonts w:hint="eastAsia" w:ascii="Times New Roman" w:hAnsi="Times New Roman" w:cs="Times New Roman"/>
                <w:color w:val="auto"/>
                <w:sz w:val="24"/>
                <w:szCs w:val="24"/>
                <w:highlight w:val="none"/>
                <w:lang w:val="en-US" w:eastAsia="zh-CN"/>
              </w:rPr>
              <w:t>1</w:t>
            </w:r>
            <w:r>
              <w:rPr>
                <w:rFonts w:hint="eastAsia"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的危险废物</w:t>
            </w:r>
            <w:r>
              <w:rPr>
                <w:rFonts w:hint="eastAsia" w:cs="Times New Roman"/>
                <w:color w:val="auto"/>
                <w:sz w:val="24"/>
                <w:szCs w:val="24"/>
                <w:highlight w:val="none"/>
                <w:lang w:val="en-US" w:eastAsia="zh-CN"/>
              </w:rPr>
              <w:t>贮存点</w:t>
            </w:r>
            <w:r>
              <w:rPr>
                <w:rFonts w:hint="default" w:ascii="Times New Roman" w:hAnsi="Times New Roman" w:cs="Times New Roman"/>
                <w:color w:val="auto"/>
                <w:sz w:val="24"/>
                <w:szCs w:val="24"/>
                <w:highlight w:val="none"/>
              </w:rPr>
              <w:t>位于</w:t>
            </w:r>
            <w:r>
              <w:rPr>
                <w:rFonts w:hint="eastAsia" w:cs="Times New Roman"/>
                <w:color w:val="auto"/>
                <w:sz w:val="24"/>
                <w:szCs w:val="24"/>
                <w:highlight w:val="none"/>
                <w:lang w:val="en-US" w:eastAsia="zh-CN"/>
              </w:rPr>
              <w:t>车间东侧</w:t>
            </w:r>
            <w:r>
              <w:rPr>
                <w:rFonts w:hint="default" w:ascii="Times New Roman" w:hAnsi="Times New Roman" w:cs="Times New Roman"/>
                <w:color w:val="auto"/>
                <w:sz w:val="24"/>
                <w:szCs w:val="24"/>
                <w:highlight w:val="none"/>
              </w:rPr>
              <w:t>，</w:t>
            </w:r>
            <w:r>
              <w:rPr>
                <w:rFonts w:hint="eastAsia" w:cs="Times New Roman"/>
                <w:color w:val="auto"/>
                <w:sz w:val="24"/>
                <w:szCs w:val="24"/>
                <w:lang w:val="en-US" w:eastAsia="zh-CN"/>
              </w:rPr>
              <w:t>贮存点</w:t>
            </w:r>
            <w:r>
              <w:rPr>
                <w:rFonts w:hint="default" w:ascii="Times New Roman" w:hAnsi="Times New Roman" w:cs="Times New Roman"/>
                <w:color w:val="auto"/>
                <w:sz w:val="24"/>
                <w:szCs w:val="24"/>
              </w:rPr>
              <w:t>所贮存能力满足要求</w:t>
            </w:r>
            <w:r>
              <w:rPr>
                <w:rFonts w:ascii="Times New Roman" w:hAnsi="Times New Roman"/>
                <w:color w:val="auto"/>
                <w:sz w:val="24"/>
                <w:szCs w:val="24"/>
              </w:rPr>
              <w:t>。</w:t>
            </w:r>
            <w:r>
              <w:rPr>
                <w:rFonts w:hint="eastAsia"/>
                <w:color w:val="auto"/>
                <w:kern w:val="0"/>
                <w:sz w:val="24"/>
                <w:szCs w:val="24"/>
              </w:rPr>
              <w:t>本项目</w:t>
            </w:r>
            <w:r>
              <w:rPr>
                <w:rFonts w:ascii="Times New Roman" w:hAnsi="Times New Roman"/>
                <w:color w:val="auto"/>
                <w:kern w:val="0"/>
                <w:sz w:val="24"/>
                <w:szCs w:val="24"/>
              </w:rPr>
              <w:t>危险废物</w:t>
            </w:r>
            <w:r>
              <w:rPr>
                <w:rFonts w:hint="eastAsia"/>
                <w:color w:val="auto"/>
                <w:kern w:val="0"/>
                <w:sz w:val="24"/>
                <w:szCs w:val="24"/>
                <w:lang w:val="en-US" w:eastAsia="zh-CN"/>
              </w:rPr>
              <w:t>贮存点</w:t>
            </w:r>
            <w:r>
              <w:rPr>
                <w:rFonts w:ascii="Times New Roman" w:hAnsi="Times New Roman"/>
                <w:color w:val="auto"/>
                <w:kern w:val="0"/>
                <w:sz w:val="24"/>
                <w:szCs w:val="24"/>
              </w:rPr>
              <w:t>基本情况见</w:t>
            </w:r>
            <w:r>
              <w:rPr>
                <w:rFonts w:hint="eastAsia" w:ascii="Times New Roman" w:hAnsi="Times New Roman"/>
                <w:color w:val="auto"/>
                <w:kern w:val="0"/>
                <w:sz w:val="24"/>
                <w:szCs w:val="24"/>
                <w:lang w:val="en-US" w:eastAsia="zh-CN"/>
              </w:rPr>
              <w:t>下</w:t>
            </w:r>
            <w:r>
              <w:rPr>
                <w:rFonts w:ascii="Times New Roman" w:hAnsi="Times New Roman"/>
                <w:color w:val="auto"/>
                <w:kern w:val="0"/>
                <w:sz w:val="24"/>
                <w:szCs w:val="24"/>
              </w:rPr>
              <w:t>表。</w:t>
            </w:r>
          </w:p>
          <w:p>
            <w:pPr>
              <w:pageBreakBefore w:val="0"/>
              <w:widowControl w:val="0"/>
              <w:numPr>
                <w:ilvl w:val="0"/>
                <w:numId w:val="0"/>
              </w:numPr>
              <w:kinsoku/>
              <w:wordWrap/>
              <w:overflowPunct/>
              <w:topLinePunct w:val="0"/>
              <w:bidi w:val="0"/>
              <w:spacing w:line="500" w:lineRule="exact"/>
              <w:ind w:leftChars="0"/>
              <w:jc w:val="center"/>
              <w:textAlignment w:val="auto"/>
              <w:rPr>
                <w:b/>
                <w:color w:val="auto"/>
                <w:sz w:val="24"/>
                <w:highlight w:val="none"/>
              </w:rPr>
            </w:pPr>
            <w:r>
              <w:rPr>
                <w:rFonts w:ascii="Times New Roman" w:hAnsi="Times New Roman"/>
                <w:b/>
                <w:bCs/>
                <w:color w:val="auto"/>
                <w:kern w:val="2"/>
                <w:sz w:val="24"/>
                <w:szCs w:val="24"/>
                <w:highlight w:val="none"/>
              </w:rPr>
              <w:t>表</w:t>
            </w:r>
            <w:r>
              <w:rPr>
                <w:rFonts w:hint="eastAsia"/>
                <w:b/>
                <w:bCs/>
                <w:color w:val="auto"/>
                <w:kern w:val="2"/>
                <w:sz w:val="24"/>
                <w:szCs w:val="24"/>
                <w:highlight w:val="none"/>
                <w:lang w:val="en-US" w:eastAsia="zh-CN"/>
              </w:rPr>
              <w:t xml:space="preserve">4-27  </w:t>
            </w:r>
            <w:r>
              <w:rPr>
                <w:rFonts w:hint="eastAsia"/>
                <w:b/>
                <w:color w:val="auto"/>
                <w:sz w:val="24"/>
                <w:highlight w:val="none"/>
                <w:lang w:val="en-US" w:eastAsia="zh-CN"/>
              </w:rPr>
              <w:t>本</w:t>
            </w:r>
            <w:r>
              <w:rPr>
                <w:b/>
                <w:color w:val="auto"/>
                <w:sz w:val="24"/>
                <w:highlight w:val="none"/>
              </w:rPr>
              <w:t>项目危险废物贮存场所（设施）基本情况表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96"/>
              <w:gridCol w:w="1132"/>
              <w:gridCol w:w="1153"/>
              <w:gridCol w:w="839"/>
              <w:gridCol w:w="1175"/>
              <w:gridCol w:w="584"/>
              <w:gridCol w:w="668"/>
              <w:gridCol w:w="1117"/>
              <w:gridCol w:w="803"/>
              <w:gridCol w:w="6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6" w:type="dxa"/>
                  <w:tcBorders>
                    <w:tl2br w:val="nil"/>
                    <w:tr2bl w:val="nil"/>
                  </w:tcBorders>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132" w:type="dxa"/>
                  <w:tcBorders>
                    <w:tl2br w:val="nil"/>
                    <w:tr2bl w:val="nil"/>
                  </w:tcBorders>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贮存场所(设施)名称</w:t>
                  </w:r>
                </w:p>
              </w:tc>
              <w:tc>
                <w:tcPr>
                  <w:tcW w:w="1153" w:type="dxa"/>
                  <w:tcBorders>
                    <w:tl2br w:val="nil"/>
                    <w:tr2bl w:val="nil"/>
                  </w:tcBorders>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危险废物名称</w:t>
                  </w:r>
                </w:p>
              </w:tc>
              <w:tc>
                <w:tcPr>
                  <w:tcW w:w="839" w:type="dxa"/>
                  <w:tcBorders>
                    <w:tl2br w:val="nil"/>
                    <w:tr2bl w:val="nil"/>
                  </w:tcBorders>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危险废物类别</w:t>
                  </w:r>
                </w:p>
              </w:tc>
              <w:tc>
                <w:tcPr>
                  <w:tcW w:w="1175" w:type="dxa"/>
                  <w:tcBorders>
                    <w:tl2br w:val="nil"/>
                    <w:tr2bl w:val="nil"/>
                  </w:tcBorders>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w:t>
                  </w:r>
                </w:p>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物代码</w:t>
                  </w:r>
                </w:p>
              </w:tc>
              <w:tc>
                <w:tcPr>
                  <w:tcW w:w="584" w:type="dxa"/>
                  <w:tcBorders>
                    <w:tl2br w:val="nil"/>
                    <w:tr2bl w:val="nil"/>
                  </w:tcBorders>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位置</w:t>
                  </w:r>
                </w:p>
              </w:tc>
              <w:tc>
                <w:tcPr>
                  <w:tcW w:w="668" w:type="dxa"/>
                  <w:tcBorders>
                    <w:tl2br w:val="nil"/>
                    <w:tr2bl w:val="nil"/>
                  </w:tcBorders>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占地</w:t>
                  </w:r>
                </w:p>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面积</w:t>
                  </w:r>
                </w:p>
              </w:tc>
              <w:tc>
                <w:tcPr>
                  <w:tcW w:w="1117" w:type="dxa"/>
                  <w:tcBorders>
                    <w:tl2br w:val="nil"/>
                    <w:tr2bl w:val="nil"/>
                  </w:tcBorders>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贮存方式</w:t>
                  </w:r>
                </w:p>
              </w:tc>
              <w:tc>
                <w:tcPr>
                  <w:tcW w:w="803" w:type="dxa"/>
                  <w:tcBorders>
                    <w:tl2br w:val="nil"/>
                    <w:tr2bl w:val="nil"/>
                  </w:tcBorders>
                  <w:noWrap w:val="0"/>
                  <w:vAlign w:val="center"/>
                </w:tcPr>
                <w:p>
                  <w:pPr>
                    <w:jc w:val="center"/>
                    <w:rPr>
                      <w:rFonts w:ascii="Times New Roman" w:hAnsi="Times New Roman"/>
                      <w:b/>
                      <w:bCs/>
                      <w:color w:val="auto"/>
                      <w:sz w:val="21"/>
                      <w:szCs w:val="21"/>
                    </w:rPr>
                  </w:pPr>
                  <w:r>
                    <w:rPr>
                      <w:rFonts w:ascii="Times New Roman" w:hAnsi="Times New Roman"/>
                      <w:b/>
                      <w:bCs/>
                      <w:color w:val="auto"/>
                      <w:sz w:val="21"/>
                      <w:szCs w:val="21"/>
                    </w:rPr>
                    <w:t>贮存</w:t>
                  </w:r>
                </w:p>
                <w:p>
                  <w:pPr>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b/>
                      <w:bCs/>
                      <w:color w:val="auto"/>
                      <w:sz w:val="21"/>
                      <w:szCs w:val="21"/>
                      <w:lang w:val="en-US" w:eastAsia="zh-CN"/>
                    </w:rPr>
                    <w:t>量</w:t>
                  </w:r>
                  <w:r>
                    <w:rPr>
                      <w:rFonts w:ascii="Times New Roman" w:hAnsi="Times New Roman"/>
                      <w:b/>
                      <w:bCs/>
                      <w:color w:val="auto"/>
                      <w:sz w:val="21"/>
                      <w:szCs w:val="21"/>
                    </w:rPr>
                    <w:t>t</w:t>
                  </w:r>
                </w:p>
              </w:tc>
              <w:tc>
                <w:tcPr>
                  <w:tcW w:w="637" w:type="dxa"/>
                  <w:tcBorders>
                    <w:tl2br w:val="nil"/>
                    <w:tr2bl w:val="nil"/>
                  </w:tcBorders>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贮存</w:t>
                  </w:r>
                </w:p>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6" w:type="dxa"/>
                  <w:tcBorders>
                    <w:tl2br w:val="nil"/>
                    <w:tr2bl w:val="nil"/>
                  </w:tcBorders>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color w:val="auto"/>
                      <w:sz w:val="21"/>
                      <w:szCs w:val="21"/>
                      <w:highlight w:val="none"/>
                    </w:rPr>
                    <w:t>1</w:t>
                  </w:r>
                </w:p>
              </w:tc>
              <w:tc>
                <w:tcPr>
                  <w:tcW w:w="1132" w:type="dxa"/>
                  <w:vMerge w:val="restart"/>
                  <w:tcBorders>
                    <w:tl2br w:val="nil"/>
                    <w:tr2bl w:val="nil"/>
                  </w:tcBorders>
                  <w:noWrap w:val="0"/>
                  <w:vAlign w:val="center"/>
                </w:tcPr>
                <w:p>
                  <w:pPr>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危废贮存点</w:t>
                  </w:r>
                </w:p>
              </w:tc>
              <w:tc>
                <w:tcPr>
                  <w:tcW w:w="1153" w:type="dxa"/>
                  <w:tcBorders>
                    <w:tl2br w:val="nil"/>
                    <w:tr2bl w:val="nil"/>
                  </w:tcBorders>
                  <w:noWrap w:val="0"/>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rPr>
                    <w:t>废包装桶</w:t>
                  </w:r>
                </w:p>
              </w:tc>
              <w:tc>
                <w:tcPr>
                  <w:tcW w:w="839" w:type="dxa"/>
                  <w:tcBorders>
                    <w:tl2br w:val="nil"/>
                    <w:tr2bl w:val="nil"/>
                  </w:tcBorders>
                  <w:noWrap w:val="0"/>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rPr>
                    <w:t>HW49</w:t>
                  </w:r>
                </w:p>
              </w:tc>
              <w:tc>
                <w:tcPr>
                  <w:tcW w:w="1175" w:type="dxa"/>
                  <w:tcBorders>
                    <w:tl2br w:val="nil"/>
                    <w:tr2bl w:val="nil"/>
                  </w:tcBorders>
                  <w:noWrap w:val="0"/>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rPr>
                    <w:t>900-041-49</w:t>
                  </w:r>
                </w:p>
              </w:tc>
              <w:tc>
                <w:tcPr>
                  <w:tcW w:w="584" w:type="dxa"/>
                  <w:vMerge w:val="restart"/>
                  <w:tcBorders>
                    <w:tl2br w:val="nil"/>
                    <w:tr2bl w:val="nil"/>
                  </w:tcBorders>
                  <w:noWrap w:val="0"/>
                  <w:vAlign w:val="center"/>
                </w:tcPr>
                <w:p>
                  <w:pPr>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车间东</w:t>
                  </w:r>
                  <w:r>
                    <w:rPr>
                      <w:rFonts w:hint="default" w:ascii="Times New Roman" w:hAnsi="Times New Roman" w:cs="Times New Roman"/>
                      <w:color w:val="auto"/>
                      <w:sz w:val="21"/>
                      <w:szCs w:val="21"/>
                      <w:highlight w:val="none"/>
                    </w:rPr>
                    <w:t>侧</w:t>
                  </w:r>
                </w:p>
              </w:tc>
              <w:tc>
                <w:tcPr>
                  <w:tcW w:w="668" w:type="dxa"/>
                  <w:vMerge w:val="restart"/>
                  <w:tcBorders>
                    <w:tl2br w:val="nil"/>
                    <w:tr2bl w:val="nil"/>
                  </w:tcBorders>
                  <w:noWrap w:val="0"/>
                  <w:vAlign w:val="center"/>
                </w:tcPr>
                <w:p>
                  <w:pPr>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2</w:t>
                  </w:r>
                </w:p>
              </w:tc>
              <w:tc>
                <w:tcPr>
                  <w:tcW w:w="1117" w:type="dxa"/>
                  <w:tcBorders>
                    <w:tl2br w:val="nil"/>
                    <w:tr2bl w:val="nil"/>
                  </w:tcBorders>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color w:val="auto"/>
                      <w:sz w:val="21"/>
                      <w:szCs w:val="21"/>
                    </w:rPr>
                    <w:t>加盖密封</w:t>
                  </w:r>
                </w:p>
              </w:tc>
              <w:tc>
                <w:tcPr>
                  <w:tcW w:w="803" w:type="dxa"/>
                  <w:tcBorders>
                    <w:tl2br w:val="nil"/>
                    <w:tr2bl w:val="nil"/>
                  </w:tcBorders>
                  <w:noWrap w:val="0"/>
                  <w:vAlign w:val="center"/>
                </w:tcPr>
                <w:p>
                  <w:pPr>
                    <w:jc w:val="center"/>
                    <w:rPr>
                      <w:rFonts w:hint="default" w:ascii="Times New Roman" w:hAnsi="Times New Roman" w:cs="Times New Roman"/>
                      <w:color w:val="auto"/>
                      <w:sz w:val="21"/>
                      <w:szCs w:val="21"/>
                      <w:highlight w:val="none"/>
                      <w:lang w:val="en-US"/>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004</w:t>
                  </w:r>
                </w:p>
              </w:tc>
              <w:tc>
                <w:tcPr>
                  <w:tcW w:w="637" w:type="dxa"/>
                  <w:tcBorders>
                    <w:tl2br w:val="nil"/>
                    <w:tr2bl w:val="nil"/>
                  </w:tcBorders>
                  <w:noWrap w:val="0"/>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6" w:type="dxa"/>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2</w:t>
                  </w:r>
                </w:p>
              </w:tc>
              <w:tc>
                <w:tcPr>
                  <w:tcW w:w="1132"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153" w:type="dxa"/>
                  <w:tcBorders>
                    <w:tl2br w:val="nil"/>
                    <w:tr2bl w:val="nil"/>
                  </w:tcBorders>
                  <w:noWrap w:val="0"/>
                  <w:vAlign w:val="center"/>
                </w:tcPr>
                <w:p>
                  <w:pPr>
                    <w:widowControl/>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废活性炭</w:t>
                  </w:r>
                </w:p>
              </w:tc>
              <w:tc>
                <w:tcPr>
                  <w:tcW w:w="839" w:type="dxa"/>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HW49</w:t>
                  </w:r>
                </w:p>
              </w:tc>
              <w:tc>
                <w:tcPr>
                  <w:tcW w:w="1175" w:type="dxa"/>
                  <w:tcBorders>
                    <w:tl2br w:val="nil"/>
                    <w:tr2bl w:val="nil"/>
                  </w:tcBorders>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900-039-49</w:t>
                  </w:r>
                </w:p>
              </w:tc>
              <w:tc>
                <w:tcPr>
                  <w:tcW w:w="584" w:type="dxa"/>
                  <w:vMerge w:val="continue"/>
                  <w:tcBorders>
                    <w:tl2br w:val="nil"/>
                    <w:tr2bl w:val="nil"/>
                  </w:tcBorders>
                  <w:noWrap w:val="0"/>
                  <w:vAlign w:val="center"/>
                </w:tcPr>
                <w:p>
                  <w:pPr>
                    <w:jc w:val="center"/>
                    <w:rPr>
                      <w:rFonts w:hint="default" w:ascii="Times New Roman" w:hAnsi="Times New Roman" w:cs="Times New Roman"/>
                      <w:color w:val="auto"/>
                      <w:sz w:val="21"/>
                      <w:szCs w:val="21"/>
                      <w:highlight w:val="yellow"/>
                    </w:rPr>
                  </w:pPr>
                </w:p>
              </w:tc>
              <w:tc>
                <w:tcPr>
                  <w:tcW w:w="668" w:type="dxa"/>
                  <w:vMerge w:val="continue"/>
                  <w:tcBorders>
                    <w:tl2br w:val="nil"/>
                    <w:tr2bl w:val="nil"/>
                  </w:tcBorders>
                  <w:noWrap w:val="0"/>
                  <w:vAlign w:val="center"/>
                </w:tcPr>
                <w:p>
                  <w:pPr>
                    <w:jc w:val="center"/>
                    <w:rPr>
                      <w:rFonts w:hint="default" w:ascii="Times New Roman" w:hAnsi="Times New Roman" w:cs="Times New Roman"/>
                      <w:color w:val="auto"/>
                      <w:sz w:val="21"/>
                      <w:szCs w:val="21"/>
                      <w:highlight w:val="yellow"/>
                    </w:rPr>
                  </w:pPr>
                </w:p>
              </w:tc>
              <w:tc>
                <w:tcPr>
                  <w:tcW w:w="1117"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袋装，密封</w:t>
                  </w:r>
                </w:p>
              </w:tc>
              <w:tc>
                <w:tcPr>
                  <w:tcW w:w="803" w:type="dxa"/>
                  <w:tcBorders>
                    <w:tl2br w:val="nil"/>
                    <w:tr2bl w:val="nil"/>
                  </w:tcBorders>
                  <w:noWrap w:val="0"/>
                  <w:vAlign w:val="center"/>
                </w:tcPr>
                <w:p>
                  <w:pPr>
                    <w:jc w:val="center"/>
                    <w:rPr>
                      <w:rFonts w:hint="default" w:ascii="Times New Roman" w:hAnsi="Times New Roman" w:cs="Times New Roman"/>
                      <w:color w:val="auto"/>
                      <w:sz w:val="21"/>
                      <w:szCs w:val="21"/>
                      <w:highlight w:val="yellow"/>
                      <w:lang w:val="en-US"/>
                    </w:rPr>
                  </w:pPr>
                  <w:r>
                    <w:rPr>
                      <w:rFonts w:hint="eastAsia" w:cs="Times New Roman"/>
                      <w:color w:val="auto"/>
                      <w:sz w:val="21"/>
                      <w:szCs w:val="21"/>
                      <w:lang w:val="en-US" w:eastAsia="zh-CN"/>
                    </w:rPr>
                    <w:t>0.96</w:t>
                  </w:r>
                </w:p>
              </w:tc>
              <w:tc>
                <w:tcPr>
                  <w:tcW w:w="637" w:type="dxa"/>
                  <w:tcBorders>
                    <w:tl2br w:val="nil"/>
                    <w:tr2bl w:val="nil"/>
                  </w:tcBorders>
                  <w:noWrap w:val="0"/>
                  <w:vAlign w:val="center"/>
                </w:tcPr>
                <w:p>
                  <w:pPr>
                    <w:jc w:val="center"/>
                    <w:rPr>
                      <w:rFonts w:hint="eastAsia" w:ascii="Times New Roman" w:hAnsi="Times New Roman" w:eastAsia="宋体" w:cs="Times New Roman"/>
                      <w:color w:val="auto"/>
                      <w:sz w:val="21"/>
                      <w:szCs w:val="21"/>
                      <w:highlight w:val="yellow"/>
                      <w:lang w:eastAsia="zh-CN"/>
                    </w:rPr>
                  </w:pP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6" w:type="dxa"/>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3</w:t>
                  </w:r>
                </w:p>
              </w:tc>
              <w:tc>
                <w:tcPr>
                  <w:tcW w:w="1132"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153" w:type="dxa"/>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ascii="Times New Roman" w:hAnsi="Times New Roman"/>
                      <w:color w:val="auto"/>
                      <w:sz w:val="21"/>
                      <w:szCs w:val="21"/>
                    </w:rPr>
                    <w:t>含油废</w:t>
                  </w:r>
                  <w:r>
                    <w:rPr>
                      <w:rFonts w:hint="eastAsia"/>
                      <w:color w:val="auto"/>
                      <w:sz w:val="21"/>
                      <w:szCs w:val="21"/>
                      <w:lang w:val="en-US" w:eastAsia="zh-CN"/>
                    </w:rPr>
                    <w:t>液</w:t>
                  </w:r>
                </w:p>
              </w:tc>
              <w:tc>
                <w:tcPr>
                  <w:tcW w:w="839"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ascii="Times New Roman" w:hAnsi="Times New Roman"/>
                      <w:color w:val="auto"/>
                      <w:sz w:val="21"/>
                      <w:szCs w:val="21"/>
                    </w:rPr>
                    <w:t>HW09</w:t>
                  </w:r>
                </w:p>
              </w:tc>
              <w:tc>
                <w:tcPr>
                  <w:tcW w:w="1175"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ascii="Times New Roman" w:hAnsi="Times New Roman"/>
                      <w:color w:val="auto"/>
                      <w:sz w:val="21"/>
                      <w:szCs w:val="21"/>
                    </w:rPr>
                    <w:t>900-007-09</w:t>
                  </w:r>
                </w:p>
              </w:tc>
              <w:tc>
                <w:tcPr>
                  <w:tcW w:w="584"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668"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117"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ascii="Times New Roman" w:hAnsi="Times New Roman"/>
                      <w:color w:val="auto"/>
                      <w:sz w:val="21"/>
                      <w:szCs w:val="21"/>
                    </w:rPr>
                    <w:t>桶装，密封</w:t>
                  </w:r>
                </w:p>
              </w:tc>
              <w:tc>
                <w:tcPr>
                  <w:tcW w:w="803"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0.0225</w:t>
                  </w:r>
                </w:p>
              </w:tc>
              <w:tc>
                <w:tcPr>
                  <w:tcW w:w="637"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1个月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6" w:type="dxa"/>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4</w:t>
                  </w:r>
                </w:p>
              </w:tc>
              <w:tc>
                <w:tcPr>
                  <w:tcW w:w="1132"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153" w:type="dxa"/>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r>
                    <w:rPr>
                      <w:rFonts w:ascii="Times New Roman" w:hAnsi="Times New Roman"/>
                      <w:color w:val="auto"/>
                      <w:sz w:val="21"/>
                      <w:szCs w:val="21"/>
                    </w:rPr>
                    <w:t>废劳保用品</w:t>
                  </w:r>
                </w:p>
              </w:tc>
              <w:tc>
                <w:tcPr>
                  <w:tcW w:w="839"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ascii="Times New Roman" w:hAnsi="Times New Roman"/>
                      <w:color w:val="auto"/>
                      <w:sz w:val="21"/>
                      <w:szCs w:val="21"/>
                    </w:rPr>
                    <w:t>HW49</w:t>
                  </w:r>
                </w:p>
              </w:tc>
              <w:tc>
                <w:tcPr>
                  <w:tcW w:w="1175"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ascii="Times New Roman" w:hAnsi="Times New Roman"/>
                      <w:color w:val="auto"/>
                      <w:sz w:val="21"/>
                      <w:szCs w:val="21"/>
                    </w:rPr>
                    <w:t>900-041-49</w:t>
                  </w:r>
                </w:p>
              </w:tc>
              <w:tc>
                <w:tcPr>
                  <w:tcW w:w="584"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668"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117"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ascii="Times New Roman" w:hAnsi="Times New Roman"/>
                      <w:color w:val="auto"/>
                      <w:sz w:val="21"/>
                      <w:szCs w:val="21"/>
                    </w:rPr>
                    <w:t>袋装，密封</w:t>
                  </w:r>
                </w:p>
              </w:tc>
              <w:tc>
                <w:tcPr>
                  <w:tcW w:w="803"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0.04</w:t>
                  </w:r>
                </w:p>
              </w:tc>
              <w:tc>
                <w:tcPr>
                  <w:tcW w:w="637"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1个月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6" w:type="dxa"/>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5</w:t>
                  </w:r>
                </w:p>
              </w:tc>
              <w:tc>
                <w:tcPr>
                  <w:tcW w:w="1132"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15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废润滑油</w:t>
                  </w:r>
                </w:p>
              </w:tc>
              <w:tc>
                <w:tcPr>
                  <w:tcW w:w="839" w:type="dxa"/>
                  <w:tcBorders>
                    <w:tl2br w:val="nil"/>
                    <w:tr2bl w:val="nil"/>
                  </w:tcBorders>
                  <w:noWrap w:val="0"/>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HW</w:t>
                  </w:r>
                  <w:r>
                    <w:rPr>
                      <w:rFonts w:hint="default" w:ascii="Times New Roman" w:hAnsi="Times New Roman" w:eastAsia="宋体" w:cs="Times New Roman"/>
                      <w:color w:val="auto"/>
                      <w:sz w:val="21"/>
                      <w:szCs w:val="21"/>
                      <w:lang w:val="en-US" w:eastAsia="zh-CN"/>
                    </w:rPr>
                    <w:t>08</w:t>
                  </w:r>
                </w:p>
              </w:tc>
              <w:tc>
                <w:tcPr>
                  <w:tcW w:w="1175" w:type="dxa"/>
                  <w:tcBorders>
                    <w:tl2br w:val="nil"/>
                    <w:tr2bl w:val="nil"/>
                  </w:tcBorders>
                  <w:noWrap w:val="0"/>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eastAsia="zh-CN"/>
                    </w:rPr>
                    <w:t>900-217-08</w:t>
                  </w:r>
                </w:p>
              </w:tc>
              <w:tc>
                <w:tcPr>
                  <w:tcW w:w="584"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668"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117"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b w:val="0"/>
                      <w:bCs w:val="0"/>
                      <w:color w:val="auto"/>
                      <w:sz w:val="21"/>
                      <w:szCs w:val="21"/>
                      <w:lang w:val="en-US" w:eastAsia="zh-CN"/>
                    </w:rPr>
                    <w:t>桶装密封</w:t>
                  </w:r>
                </w:p>
              </w:tc>
              <w:tc>
                <w:tcPr>
                  <w:tcW w:w="803"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0.00015</w:t>
                  </w:r>
                </w:p>
              </w:tc>
              <w:tc>
                <w:tcPr>
                  <w:tcW w:w="637"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1个月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6" w:type="dxa"/>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6</w:t>
                  </w:r>
                </w:p>
              </w:tc>
              <w:tc>
                <w:tcPr>
                  <w:tcW w:w="1132"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15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废</w:t>
                  </w:r>
                  <w:r>
                    <w:rPr>
                      <w:rFonts w:hint="eastAsia" w:cs="Times New Roman"/>
                      <w:b w:val="0"/>
                      <w:bCs w:val="0"/>
                      <w:color w:val="auto"/>
                      <w:sz w:val="21"/>
                      <w:szCs w:val="21"/>
                      <w:lang w:val="en-US" w:eastAsia="zh-CN"/>
                    </w:rPr>
                    <w:t>润滑</w:t>
                  </w:r>
                  <w:r>
                    <w:rPr>
                      <w:rFonts w:hint="default" w:ascii="Times New Roman" w:hAnsi="Times New Roman" w:eastAsia="宋体" w:cs="Times New Roman"/>
                      <w:b w:val="0"/>
                      <w:bCs w:val="0"/>
                      <w:color w:val="auto"/>
                      <w:sz w:val="21"/>
                      <w:szCs w:val="21"/>
                      <w:lang w:val="en-US" w:eastAsia="zh-CN"/>
                    </w:rPr>
                    <w:t>油桶</w:t>
                  </w:r>
                </w:p>
              </w:tc>
              <w:tc>
                <w:tcPr>
                  <w:tcW w:w="839" w:type="dxa"/>
                  <w:tcBorders>
                    <w:tl2br w:val="nil"/>
                    <w:tr2bl w:val="nil"/>
                  </w:tcBorders>
                  <w:noWrap w:val="0"/>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HW08</w:t>
                  </w:r>
                </w:p>
              </w:tc>
              <w:tc>
                <w:tcPr>
                  <w:tcW w:w="1175" w:type="dxa"/>
                  <w:tcBorders>
                    <w:tl2br w:val="nil"/>
                    <w:tr2bl w:val="nil"/>
                  </w:tcBorders>
                  <w:noWrap w:val="0"/>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900-249-08</w:t>
                  </w:r>
                </w:p>
              </w:tc>
              <w:tc>
                <w:tcPr>
                  <w:tcW w:w="584"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668"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117"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b w:val="0"/>
                      <w:bCs w:val="0"/>
                      <w:color w:val="auto"/>
                      <w:sz w:val="21"/>
                      <w:szCs w:val="21"/>
                      <w:lang w:val="en-US" w:eastAsia="zh-CN"/>
                    </w:rPr>
                    <w:t>加盖密封</w:t>
                  </w:r>
                </w:p>
              </w:tc>
              <w:tc>
                <w:tcPr>
                  <w:tcW w:w="803" w:type="dxa"/>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olor w:val="auto"/>
                      <w:sz w:val="21"/>
                      <w:szCs w:val="21"/>
                      <w:lang w:val="en-US" w:eastAsia="zh-CN"/>
                    </w:rPr>
                    <w:t>0.0005</w:t>
                  </w:r>
                </w:p>
              </w:tc>
              <w:tc>
                <w:tcPr>
                  <w:tcW w:w="637"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1个月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6" w:type="dxa"/>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7</w:t>
                  </w:r>
                </w:p>
              </w:tc>
              <w:tc>
                <w:tcPr>
                  <w:tcW w:w="1132"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15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清洗废液</w:t>
                  </w:r>
                </w:p>
              </w:tc>
              <w:tc>
                <w:tcPr>
                  <w:tcW w:w="839" w:type="dxa"/>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HW</w:t>
                  </w:r>
                  <w:r>
                    <w:rPr>
                      <w:rFonts w:hint="eastAsia" w:cs="Times New Roman"/>
                      <w:color w:val="auto"/>
                      <w:sz w:val="21"/>
                      <w:szCs w:val="21"/>
                      <w:lang w:val="en-US" w:eastAsia="zh-CN"/>
                    </w:rPr>
                    <w:t>49</w:t>
                  </w:r>
                </w:p>
              </w:tc>
              <w:tc>
                <w:tcPr>
                  <w:tcW w:w="1175" w:type="dxa"/>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900-0</w:t>
                  </w:r>
                  <w:r>
                    <w:rPr>
                      <w:rFonts w:hint="eastAsia" w:cs="Times New Roman"/>
                      <w:color w:val="auto"/>
                      <w:kern w:val="2"/>
                      <w:sz w:val="21"/>
                      <w:szCs w:val="21"/>
                      <w:lang w:val="en-US" w:eastAsia="zh-CN" w:bidi="ar-SA"/>
                    </w:rPr>
                    <w:t>41</w:t>
                  </w:r>
                  <w:r>
                    <w:rPr>
                      <w:rFonts w:hint="eastAsia"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49</w:t>
                  </w:r>
                </w:p>
              </w:tc>
              <w:tc>
                <w:tcPr>
                  <w:tcW w:w="584"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668"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117" w:type="dxa"/>
                  <w:tcBorders>
                    <w:tl2br w:val="nil"/>
                    <w:tr2bl w:val="nil"/>
                  </w:tcBorders>
                  <w:noWrap w:val="0"/>
                  <w:vAlign w:val="center"/>
                </w:tcPr>
                <w:p>
                  <w:pPr>
                    <w:jc w:val="center"/>
                    <w:rPr>
                      <w:rFonts w:hint="eastAsia"/>
                      <w:b w:val="0"/>
                      <w:bCs w:val="0"/>
                      <w:color w:val="auto"/>
                      <w:sz w:val="21"/>
                      <w:szCs w:val="21"/>
                      <w:lang w:val="en-US" w:eastAsia="zh-CN"/>
                    </w:rPr>
                  </w:pPr>
                  <w:r>
                    <w:rPr>
                      <w:rFonts w:hint="eastAsia" w:cs="Times New Roman"/>
                      <w:color w:val="auto"/>
                      <w:sz w:val="21"/>
                      <w:szCs w:val="21"/>
                      <w:lang w:val="en-US" w:eastAsia="zh-CN"/>
                    </w:rPr>
                    <w:t>桶装</w:t>
                  </w:r>
                  <w:r>
                    <w:rPr>
                      <w:rFonts w:hint="default" w:ascii="Times New Roman" w:hAnsi="Times New Roman" w:cs="Times New Roman"/>
                      <w:color w:val="auto"/>
                      <w:sz w:val="21"/>
                      <w:szCs w:val="21"/>
                    </w:rPr>
                    <w:t>，密封</w:t>
                  </w:r>
                </w:p>
              </w:tc>
              <w:tc>
                <w:tcPr>
                  <w:tcW w:w="803" w:type="dxa"/>
                  <w:tcBorders>
                    <w:tl2br w:val="nil"/>
                    <w:tr2bl w:val="nil"/>
                  </w:tcBorders>
                  <w:noWrap w:val="0"/>
                  <w:vAlign w:val="center"/>
                </w:tcPr>
                <w:p>
                  <w:pPr>
                    <w:jc w:val="center"/>
                    <w:rPr>
                      <w:rFonts w:hint="default"/>
                      <w:color w:val="auto"/>
                      <w:sz w:val="21"/>
                      <w:szCs w:val="21"/>
                      <w:lang w:val="en-US" w:eastAsia="zh-CN"/>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4</w:t>
                  </w:r>
                </w:p>
              </w:tc>
              <w:tc>
                <w:tcPr>
                  <w:tcW w:w="637"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1个月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ascii="Times New Roman" w:hAnsi="Times New Roman"/>
                <w:color w:val="auto"/>
                <w:sz w:val="24"/>
                <w:szCs w:val="24"/>
              </w:rPr>
            </w:pPr>
            <w:r>
              <w:rPr>
                <w:rFonts w:ascii="Times New Roman" w:hAnsi="Times New Roman"/>
                <w:color w:val="auto"/>
                <w:sz w:val="24"/>
                <w:szCs w:val="24"/>
              </w:rPr>
              <w:t>Ⅰ、</w:t>
            </w:r>
            <w:r>
              <w:rPr>
                <w:rFonts w:hint="eastAsia"/>
                <w:color w:val="auto"/>
                <w:sz w:val="24"/>
                <w:szCs w:val="24"/>
                <w:lang w:val="en-US" w:eastAsia="zh-CN"/>
              </w:rPr>
              <w:t>包装</w:t>
            </w:r>
            <w:r>
              <w:rPr>
                <w:rFonts w:ascii="Times New Roman" w:hAnsi="Times New Roman"/>
                <w:color w:val="auto"/>
                <w:sz w:val="24"/>
                <w:szCs w:val="24"/>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1 \* GB3 \* MERGEFORMAT </w:instrText>
            </w:r>
            <w:r>
              <w:rPr>
                <w:rFonts w:hint="default" w:ascii="Times New Roman" w:hAnsi="Times New Roman" w:eastAsia="宋体" w:cs="Times New Roman"/>
                <w:color w:val="auto"/>
                <w:sz w:val="24"/>
                <w:szCs w:val="24"/>
                <w:lang w:val="en-US" w:eastAsia="zh-CN"/>
              </w:rPr>
              <w:fldChar w:fldCharType="separate"/>
            </w:r>
            <w:r>
              <w:rPr>
                <w:color w:val="auto"/>
                <w:sz w:val="24"/>
                <w:szCs w:val="24"/>
              </w:rPr>
              <w:t>①</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满足《危险废物贮存污染控制标准》</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GB18597</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包装要求，且包装外表面需保持清洁；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2 \* GB3 \* MERGEFORMAT </w:instrText>
            </w:r>
            <w:r>
              <w:rPr>
                <w:rFonts w:hint="default" w:ascii="Times New Roman" w:hAnsi="Times New Roman" w:eastAsia="宋体" w:cs="Times New Roman"/>
                <w:color w:val="auto"/>
                <w:sz w:val="24"/>
                <w:szCs w:val="24"/>
                <w:lang w:val="en-US" w:eastAsia="zh-CN"/>
              </w:rPr>
              <w:fldChar w:fldCharType="separate"/>
            </w:r>
            <w:r>
              <w:rPr>
                <w:color w:val="auto"/>
                <w:sz w:val="24"/>
                <w:szCs w:val="24"/>
              </w:rPr>
              <w:t>②</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废弃危化品满足危险化学品包装要求；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3 \* GB3 \* MERGEFORMAT </w:instrText>
            </w:r>
            <w:r>
              <w:rPr>
                <w:rFonts w:hint="default" w:ascii="Times New Roman" w:hAnsi="Times New Roman" w:eastAsia="宋体" w:cs="Times New Roman"/>
                <w:color w:val="auto"/>
                <w:sz w:val="24"/>
                <w:szCs w:val="24"/>
                <w:lang w:val="en-US" w:eastAsia="zh-CN"/>
              </w:rPr>
              <w:fldChar w:fldCharType="separate"/>
            </w:r>
            <w:r>
              <w:rPr>
                <w:color w:val="auto"/>
                <w:sz w:val="24"/>
                <w:szCs w:val="24"/>
              </w:rPr>
              <w:t>③</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具有易燃性的危险废物满足易燃性危险化学品包装要求；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4 \* GB3 \* MERGEFORMAT </w:instrText>
            </w:r>
            <w:r>
              <w:rPr>
                <w:rFonts w:hint="default" w:ascii="Times New Roman" w:hAnsi="Times New Roman" w:eastAsia="宋体" w:cs="Times New Roman"/>
                <w:color w:val="auto"/>
                <w:sz w:val="24"/>
                <w:szCs w:val="24"/>
                <w:lang w:val="en-US" w:eastAsia="zh-CN"/>
              </w:rPr>
              <w:fldChar w:fldCharType="separate"/>
            </w:r>
            <w:r>
              <w:rPr>
                <w:color w:val="auto"/>
                <w:sz w:val="24"/>
                <w:szCs w:val="24"/>
              </w:rPr>
              <w:t>④</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具有爆炸性或者排出有毒气体的危险废物经预处理稳定化后，包装封口需严密，能有效保证内装稳定剂的百分比在规定的范围内；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5 \* GB3 \* MERGEFORMAT </w:instrText>
            </w:r>
            <w:r>
              <w:rPr>
                <w:rFonts w:hint="default" w:ascii="Times New Roman" w:hAnsi="Times New Roman" w:eastAsia="宋体" w:cs="Times New Roman"/>
                <w:color w:val="auto"/>
                <w:sz w:val="24"/>
                <w:szCs w:val="24"/>
                <w:lang w:val="en-US" w:eastAsia="zh-CN"/>
              </w:rPr>
              <w:fldChar w:fldCharType="separate"/>
            </w:r>
            <w:r>
              <w:rPr>
                <w:color w:val="auto"/>
                <w:sz w:val="24"/>
                <w:szCs w:val="24"/>
              </w:rPr>
              <w:t>⑤</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具有毒性的危险废物，其容器封闭形式能有效隔断污染物迁移扩散途径；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6 \* GB3 \* MERGEFORMAT </w:instrText>
            </w:r>
            <w:r>
              <w:rPr>
                <w:rFonts w:hint="default" w:ascii="Times New Roman" w:hAnsi="Times New Roman" w:eastAsia="宋体" w:cs="Times New Roman"/>
                <w:color w:val="auto"/>
                <w:sz w:val="24"/>
                <w:szCs w:val="24"/>
                <w:lang w:val="en-US" w:eastAsia="zh-CN"/>
              </w:rPr>
              <w:fldChar w:fldCharType="separate"/>
            </w:r>
            <w:r>
              <w:rPr>
                <w:color w:val="auto"/>
                <w:sz w:val="24"/>
                <w:szCs w:val="24"/>
              </w:rPr>
              <w:t>⑥</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具有腐蚀性的危险废物，其包装容器的材质应具有相容性，并且具有一定强度；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7 \* GB3 \* MERGEFORMAT </w:instrText>
            </w:r>
            <w:r>
              <w:rPr>
                <w:rFonts w:hint="default" w:ascii="Times New Roman" w:hAnsi="Times New Roman" w:eastAsia="宋体" w:cs="Times New Roman"/>
                <w:color w:val="auto"/>
                <w:sz w:val="24"/>
                <w:szCs w:val="24"/>
                <w:lang w:val="en-US" w:eastAsia="zh-CN"/>
              </w:rPr>
              <w:fldChar w:fldCharType="separate"/>
            </w:r>
            <w:r>
              <w:rPr>
                <w:color w:val="auto"/>
                <w:sz w:val="24"/>
                <w:szCs w:val="24"/>
              </w:rPr>
              <w:t>⑦</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液态、半固态的危险废物不宜盛装过满，应保留约20%的剩余容积，或容器顶部与液面之间保留100mm以上的空间；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8 \* GB3 \* MERGEFORMAT </w:instrText>
            </w:r>
            <w:r>
              <w:rPr>
                <w:rFonts w:hint="default" w:ascii="Times New Roman" w:hAnsi="Times New Roman" w:eastAsia="宋体" w:cs="Times New Roman"/>
                <w:color w:val="auto"/>
                <w:sz w:val="24"/>
                <w:szCs w:val="24"/>
                <w:lang w:val="en-US" w:eastAsia="zh-CN"/>
              </w:rPr>
              <w:fldChar w:fldCharType="separate"/>
            </w:r>
            <w:r>
              <w:rPr>
                <w:color w:val="auto"/>
                <w:sz w:val="24"/>
                <w:szCs w:val="24"/>
              </w:rPr>
              <w:t>⑧</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可能有粉尘产生的固态危险废物，包装封口需严密，避免粉尘扩散;可能有渗滤液产生的固态危险废物，应使用防渗包装，确保渗滤液不</w:t>
            </w:r>
            <w:r>
              <w:rPr>
                <w:rFonts w:hint="eastAsia" w:cs="Times New Roman"/>
                <w:color w:val="auto"/>
                <w:sz w:val="24"/>
                <w:szCs w:val="24"/>
                <w:lang w:val="en-US" w:eastAsia="zh-CN"/>
              </w:rPr>
              <w:t>泄漏</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olor w:val="auto"/>
                <w:sz w:val="24"/>
                <w:szCs w:val="24"/>
                <w:lang w:val="en-US" w:eastAsia="zh-CN"/>
              </w:rPr>
            </w:pPr>
            <w:r>
              <w:rPr>
                <w:rFonts w:hint="default" w:ascii="Times New Roman" w:hAnsi="Times New Roman"/>
                <w:color w:val="auto"/>
                <w:sz w:val="24"/>
                <w:szCs w:val="24"/>
              </w:rPr>
              <w:t>Ⅱ</w:t>
            </w:r>
            <w:r>
              <w:rPr>
                <w:rFonts w:ascii="Times New Roman" w:hAnsi="Times New Roman"/>
                <w:color w:val="auto"/>
                <w:sz w:val="24"/>
                <w:szCs w:val="24"/>
              </w:rPr>
              <w:t>、</w:t>
            </w:r>
            <w:r>
              <w:rPr>
                <w:rFonts w:hint="default" w:ascii="Times New Roman" w:hAnsi="Times New Roman"/>
                <w:color w:val="auto"/>
                <w:sz w:val="24"/>
                <w:szCs w:val="24"/>
                <w:lang w:val="en-US" w:eastAsia="zh-CN"/>
              </w:rPr>
              <w:t>危险废物一般源单位环境管理要求</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危险废物一般源单位在满足危险废物污染环境防治主体责任落实到位和危险废物可追溯的条件下，可在以下环节优化管理</w:t>
            </w:r>
            <w:r>
              <w:rPr>
                <w:rFonts w:hint="eastAsia" w:cs="Times New Roman"/>
                <w:b w:val="0"/>
                <w:bCs/>
                <w:color w:val="auto"/>
                <w:sz w:val="24"/>
                <w:szCs w:val="24"/>
                <w:lang w:val="en-US" w:eastAsia="zh-CN"/>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val="0"/>
                <w:color w:val="auto"/>
                <w:kern w:val="2"/>
                <w:sz w:val="24"/>
                <w:szCs w:val="24"/>
                <w:lang w:val="en-US" w:eastAsia="zh-CN" w:bidi="ar-SA"/>
              </w:rPr>
              <w:fldChar w:fldCharType="begin"/>
            </w:r>
            <w:r>
              <w:rPr>
                <w:rFonts w:hint="default" w:ascii="Times New Roman" w:hAnsi="Times New Roman" w:eastAsia="宋体" w:cs="Times New Roman"/>
                <w:b w:val="0"/>
                <w:bCs w:val="0"/>
                <w:color w:val="auto"/>
                <w:kern w:val="2"/>
                <w:sz w:val="24"/>
                <w:szCs w:val="24"/>
                <w:lang w:val="en-US" w:eastAsia="zh-CN" w:bidi="ar-SA"/>
              </w:rPr>
              <w:instrText xml:space="preserve"> = 1 \* GB3 \* MERGEFORMAT </w:instrText>
            </w:r>
            <w:r>
              <w:rPr>
                <w:rFonts w:hint="default" w:ascii="Times New Roman" w:hAnsi="Times New Roman" w:eastAsia="宋体" w:cs="Times New Roman"/>
                <w:b w:val="0"/>
                <w:bCs w:val="0"/>
                <w:color w:val="auto"/>
                <w:kern w:val="2"/>
                <w:sz w:val="24"/>
                <w:szCs w:val="24"/>
                <w:lang w:val="en-US" w:eastAsia="zh-CN" w:bidi="ar-SA"/>
              </w:rPr>
              <w:fldChar w:fldCharType="separate"/>
            </w:r>
            <w:r>
              <w:rPr>
                <w:rFonts w:hint="default" w:ascii="Times New Roman" w:hAnsi="Times New Roman" w:eastAsia="宋体" w:cs="Times New Roman"/>
                <w:b w:val="0"/>
                <w:bCs w:val="0"/>
                <w:color w:val="auto"/>
                <w:kern w:val="2"/>
                <w:sz w:val="24"/>
                <w:szCs w:val="24"/>
                <w:lang w:val="en-US" w:eastAsia="zh-CN" w:bidi="ar-SA"/>
              </w:rPr>
              <w:t>①</w:t>
            </w:r>
            <w:r>
              <w:rPr>
                <w:rFonts w:hint="default" w:ascii="Times New Roman" w:hAnsi="Times New Roman" w:eastAsia="宋体" w:cs="Times New Roman"/>
                <w:b w:val="0"/>
                <w:bCs w:val="0"/>
                <w:color w:val="auto"/>
                <w:kern w:val="2"/>
                <w:sz w:val="24"/>
                <w:szCs w:val="24"/>
                <w:lang w:val="en-US" w:eastAsia="zh-CN" w:bidi="ar-SA"/>
              </w:rPr>
              <w:fldChar w:fldCharType="end"/>
            </w:r>
            <w:r>
              <w:rPr>
                <w:rFonts w:hint="default" w:ascii="Times New Roman" w:hAnsi="Times New Roman" w:eastAsia="宋体" w:cs="Times New Roman"/>
                <w:b w:val="0"/>
                <w:bCs/>
                <w:color w:val="auto"/>
                <w:sz w:val="24"/>
                <w:szCs w:val="24"/>
                <w:lang w:val="en-US" w:eastAsia="zh-CN"/>
              </w:rPr>
              <w:t>在省危险废物全生命周期监控系统中申报产生、贮存、转移等相关信息，实现废物的信息化追溯；也可通过集中收集单位自建ERP系统完成相关操作，相关信息对接至省危险废物全生命周期监控系统。根据企业申报信息自动生成危险废物管理计划（简版），确认后向属地生态环境部门备案。</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val="0"/>
                <w:color w:val="auto"/>
                <w:kern w:val="2"/>
                <w:sz w:val="24"/>
                <w:szCs w:val="24"/>
                <w:lang w:val="en-US" w:eastAsia="zh-CN" w:bidi="ar-SA"/>
              </w:rPr>
              <w:fldChar w:fldCharType="begin"/>
            </w:r>
            <w:r>
              <w:rPr>
                <w:rFonts w:hint="default" w:ascii="Times New Roman" w:hAnsi="Times New Roman" w:eastAsia="宋体" w:cs="Times New Roman"/>
                <w:b w:val="0"/>
                <w:bCs w:val="0"/>
                <w:color w:val="auto"/>
                <w:kern w:val="2"/>
                <w:sz w:val="24"/>
                <w:szCs w:val="24"/>
                <w:lang w:val="en-US" w:eastAsia="zh-CN" w:bidi="ar-SA"/>
              </w:rPr>
              <w:instrText xml:space="preserve"> = 2 \* GB3 \* MERGEFORMAT </w:instrText>
            </w:r>
            <w:r>
              <w:rPr>
                <w:rFonts w:hint="default" w:ascii="Times New Roman" w:hAnsi="Times New Roman" w:eastAsia="宋体" w:cs="Times New Roman"/>
                <w:b w:val="0"/>
                <w:bCs w:val="0"/>
                <w:color w:val="auto"/>
                <w:kern w:val="2"/>
                <w:sz w:val="24"/>
                <w:szCs w:val="24"/>
                <w:lang w:val="en-US" w:eastAsia="zh-CN" w:bidi="ar-SA"/>
              </w:rPr>
              <w:fldChar w:fldCharType="separate"/>
            </w:r>
            <w:r>
              <w:rPr>
                <w:rFonts w:hint="default" w:ascii="Times New Roman" w:hAnsi="Times New Roman" w:eastAsia="宋体" w:cs="Times New Roman"/>
                <w:b w:val="0"/>
                <w:bCs w:val="0"/>
                <w:color w:val="auto"/>
                <w:kern w:val="2"/>
                <w:sz w:val="24"/>
                <w:szCs w:val="24"/>
                <w:lang w:val="en-US" w:eastAsia="zh-CN" w:bidi="ar-SA"/>
              </w:rPr>
              <w:t>②</w:t>
            </w:r>
            <w:r>
              <w:rPr>
                <w:rFonts w:hint="default" w:ascii="Times New Roman" w:hAnsi="Times New Roman" w:eastAsia="宋体" w:cs="Times New Roman"/>
                <w:b w:val="0"/>
                <w:bCs w:val="0"/>
                <w:color w:val="auto"/>
                <w:kern w:val="2"/>
                <w:sz w:val="24"/>
                <w:szCs w:val="24"/>
                <w:lang w:val="en-US" w:eastAsia="zh-CN" w:bidi="ar-SA"/>
              </w:rPr>
              <w:fldChar w:fldCharType="end"/>
            </w:r>
            <w:r>
              <w:rPr>
                <w:rFonts w:hint="default" w:ascii="Times New Roman" w:hAnsi="Times New Roman" w:eastAsia="宋体" w:cs="Times New Roman"/>
                <w:b w:val="0"/>
                <w:bCs/>
                <w:color w:val="auto"/>
                <w:sz w:val="24"/>
                <w:szCs w:val="24"/>
                <w:lang w:val="en-US" w:eastAsia="zh-CN"/>
              </w:rPr>
              <w:t>企业可建设危险废物贮存设施或危险废物产生区域</w:t>
            </w:r>
            <w:r>
              <w:rPr>
                <w:rFonts w:hint="eastAsia" w:ascii="Times New Roman" w:hAnsi="Times New Roman" w:cs="Times New Roman"/>
                <w:b w:val="0"/>
                <w:bCs/>
                <w:color w:val="auto"/>
                <w:sz w:val="24"/>
                <w:szCs w:val="24"/>
                <w:lang w:val="en-US" w:eastAsia="zh-CN"/>
              </w:rPr>
              <w:t>贮存点</w:t>
            </w:r>
            <w:r>
              <w:rPr>
                <w:rFonts w:hint="default" w:ascii="Times New Roman" w:hAnsi="Times New Roman" w:eastAsia="宋体" w:cs="Times New Roman"/>
                <w:b w:val="0"/>
                <w:bCs/>
                <w:color w:val="auto"/>
                <w:sz w:val="24"/>
                <w:szCs w:val="24"/>
                <w:lang w:val="en-US" w:eastAsia="zh-CN"/>
              </w:rPr>
              <w:t>，并落实相关危险废物包装、存放时间、存放数量、污染防治等相关要求，具体详见下表。</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val="0"/>
                <w:color w:val="auto"/>
                <w:kern w:val="2"/>
                <w:sz w:val="24"/>
                <w:szCs w:val="24"/>
                <w:lang w:val="en-US" w:eastAsia="zh-CN" w:bidi="ar-SA"/>
              </w:rPr>
              <w:fldChar w:fldCharType="begin"/>
            </w:r>
            <w:r>
              <w:rPr>
                <w:rFonts w:hint="default" w:ascii="Times New Roman" w:hAnsi="Times New Roman" w:eastAsia="宋体" w:cs="Times New Roman"/>
                <w:b w:val="0"/>
                <w:bCs w:val="0"/>
                <w:color w:val="auto"/>
                <w:kern w:val="2"/>
                <w:sz w:val="24"/>
                <w:szCs w:val="24"/>
                <w:lang w:val="en-US" w:eastAsia="zh-CN" w:bidi="ar-SA"/>
              </w:rPr>
              <w:instrText xml:space="preserve"> = 3 \* GB3 \* MERGEFORMAT </w:instrText>
            </w:r>
            <w:r>
              <w:rPr>
                <w:rFonts w:hint="default" w:ascii="Times New Roman" w:hAnsi="Times New Roman" w:eastAsia="宋体" w:cs="Times New Roman"/>
                <w:b w:val="0"/>
                <w:bCs w:val="0"/>
                <w:color w:val="auto"/>
                <w:kern w:val="2"/>
                <w:sz w:val="24"/>
                <w:szCs w:val="24"/>
                <w:lang w:val="en-US" w:eastAsia="zh-CN" w:bidi="ar-SA"/>
              </w:rPr>
              <w:fldChar w:fldCharType="separate"/>
            </w:r>
            <w:r>
              <w:rPr>
                <w:rFonts w:hint="default" w:ascii="Times New Roman" w:hAnsi="Times New Roman" w:eastAsia="宋体" w:cs="Times New Roman"/>
                <w:b w:val="0"/>
                <w:bCs w:val="0"/>
                <w:color w:val="auto"/>
                <w:kern w:val="2"/>
                <w:sz w:val="24"/>
                <w:szCs w:val="24"/>
                <w:lang w:val="en-US" w:eastAsia="zh-CN" w:bidi="ar-SA"/>
              </w:rPr>
              <w:t>③</w:t>
            </w:r>
            <w:r>
              <w:rPr>
                <w:rFonts w:hint="default" w:ascii="Times New Roman" w:hAnsi="Times New Roman" w:eastAsia="宋体" w:cs="Times New Roman"/>
                <w:b w:val="0"/>
                <w:bCs w:val="0"/>
                <w:color w:val="auto"/>
                <w:kern w:val="2"/>
                <w:sz w:val="24"/>
                <w:szCs w:val="24"/>
                <w:lang w:val="en-US" w:eastAsia="zh-CN" w:bidi="ar-SA"/>
              </w:rPr>
              <w:fldChar w:fldCharType="end"/>
            </w:r>
            <w:r>
              <w:rPr>
                <w:rFonts w:hint="default" w:ascii="Times New Roman" w:hAnsi="Times New Roman" w:eastAsia="宋体" w:cs="Times New Roman"/>
                <w:b w:val="0"/>
                <w:bCs/>
                <w:color w:val="auto"/>
                <w:sz w:val="24"/>
                <w:szCs w:val="24"/>
                <w:lang w:val="en-US" w:eastAsia="zh-CN"/>
              </w:rPr>
              <w:t>企业负责人或负责危险废物污染防治的管理人员，每年应至少参加1次由属地生态环境部门或小量危险废物收集单位组织的危险废物管理等业务培训。</w:t>
            </w:r>
          </w:p>
          <w:p>
            <w:pPr>
              <w:spacing w:line="500" w:lineRule="exact"/>
              <w:jc w:val="center"/>
              <w:rPr>
                <w:rFonts w:ascii="Times New Roman" w:hAnsi="Times New Roman"/>
                <w:b/>
                <w:color w:val="auto"/>
                <w:sz w:val="24"/>
                <w:szCs w:val="24"/>
              </w:rPr>
            </w:pPr>
            <w:r>
              <w:rPr>
                <w:rFonts w:ascii="Times New Roman" w:hAnsi="Times New Roman"/>
                <w:b/>
                <w:color w:val="auto"/>
                <w:sz w:val="24"/>
                <w:szCs w:val="24"/>
              </w:rPr>
              <w:t>表</w:t>
            </w:r>
            <w:r>
              <w:rPr>
                <w:rFonts w:hint="eastAsia"/>
                <w:b/>
                <w:color w:val="auto"/>
                <w:sz w:val="24"/>
                <w:szCs w:val="24"/>
              </w:rPr>
              <w:t>4-</w:t>
            </w:r>
            <w:r>
              <w:rPr>
                <w:rFonts w:hint="eastAsia"/>
                <w:b/>
                <w:color w:val="auto"/>
                <w:sz w:val="24"/>
                <w:szCs w:val="24"/>
                <w:lang w:val="en-US" w:eastAsia="zh-CN"/>
              </w:rPr>
              <w:t>28</w:t>
            </w:r>
            <w:r>
              <w:rPr>
                <w:rFonts w:ascii="Times New Roman" w:hAnsi="Times New Roman"/>
                <w:b/>
                <w:color w:val="auto"/>
                <w:sz w:val="24"/>
                <w:szCs w:val="24"/>
              </w:rPr>
              <w:t xml:space="preserve">  </w:t>
            </w:r>
            <w:r>
              <w:rPr>
                <w:rFonts w:hint="eastAsia" w:ascii="Times New Roman" w:hAnsi="Times New Roman"/>
                <w:b/>
                <w:color w:val="auto"/>
                <w:sz w:val="24"/>
                <w:szCs w:val="24"/>
              </w:rPr>
              <w:t>一般源单位危险废物产生区域</w:t>
            </w:r>
            <w:r>
              <w:rPr>
                <w:rFonts w:hint="eastAsia" w:ascii="Times New Roman" w:hAnsi="Times New Roman"/>
                <w:b/>
                <w:color w:val="auto"/>
                <w:sz w:val="24"/>
                <w:szCs w:val="24"/>
                <w:lang w:eastAsia="zh-CN"/>
              </w:rPr>
              <w:t>贮存点</w:t>
            </w:r>
            <w:r>
              <w:rPr>
                <w:rFonts w:hint="eastAsia" w:ascii="Times New Roman" w:hAnsi="Times New Roman"/>
                <w:b/>
                <w:color w:val="auto"/>
                <w:sz w:val="24"/>
                <w:szCs w:val="24"/>
              </w:rPr>
              <w:t>污染防治措施</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77"/>
              <w:gridCol w:w="4121"/>
              <w:gridCol w:w="38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39" w:type="pct"/>
                  <w:noWrap w:val="0"/>
                  <w:vAlign w:val="center"/>
                </w:tcPr>
                <w:p>
                  <w:pPr>
                    <w:adjustRightInd w:val="0"/>
                    <w:snapToGrid w:val="0"/>
                    <w:jc w:val="center"/>
                    <w:rPr>
                      <w:rFonts w:ascii="Times New Roman" w:hAnsi="Times New Roman"/>
                      <w:b/>
                      <w:bCs/>
                      <w:color w:val="auto"/>
                      <w:sz w:val="21"/>
                      <w:szCs w:val="21"/>
                    </w:rPr>
                  </w:pPr>
                  <w:r>
                    <w:rPr>
                      <w:rFonts w:ascii="Times New Roman" w:hAnsi="Times New Roman"/>
                      <w:b/>
                      <w:bCs/>
                      <w:color w:val="auto"/>
                      <w:sz w:val="21"/>
                      <w:szCs w:val="21"/>
                    </w:rPr>
                    <w:t>类别</w:t>
                  </w:r>
                </w:p>
              </w:tc>
              <w:tc>
                <w:tcPr>
                  <w:tcW w:w="2422" w:type="pct"/>
                  <w:noWrap w:val="0"/>
                  <w:vAlign w:val="center"/>
                </w:tcPr>
                <w:p>
                  <w:pPr>
                    <w:adjustRightInd w:val="0"/>
                    <w:snapToGrid w:val="0"/>
                    <w:jc w:val="center"/>
                    <w:rPr>
                      <w:rFonts w:ascii="Times New Roman" w:hAnsi="Times New Roman"/>
                      <w:b/>
                      <w:bCs/>
                      <w:color w:val="auto"/>
                      <w:sz w:val="21"/>
                      <w:szCs w:val="21"/>
                    </w:rPr>
                  </w:pPr>
                  <w:r>
                    <w:rPr>
                      <w:rFonts w:ascii="Times New Roman" w:hAnsi="Times New Roman"/>
                      <w:b/>
                      <w:bCs/>
                      <w:color w:val="auto"/>
                      <w:sz w:val="21"/>
                      <w:szCs w:val="21"/>
                    </w:rPr>
                    <w:t>建设要求</w:t>
                  </w:r>
                </w:p>
              </w:tc>
              <w:tc>
                <w:tcPr>
                  <w:tcW w:w="2237" w:type="pct"/>
                  <w:noWrap w:val="0"/>
                  <w:vAlign w:val="center"/>
                </w:tcPr>
                <w:p>
                  <w:pPr>
                    <w:adjustRightInd w:val="0"/>
                    <w:snapToGrid w:val="0"/>
                    <w:jc w:val="center"/>
                    <w:rPr>
                      <w:rFonts w:ascii="Times New Roman" w:hAnsi="Times New Roman"/>
                      <w:b/>
                      <w:bCs/>
                      <w:color w:val="auto"/>
                      <w:sz w:val="21"/>
                      <w:szCs w:val="21"/>
                    </w:rPr>
                  </w:pPr>
                  <w:r>
                    <w:rPr>
                      <w:rFonts w:hint="eastAsia" w:ascii="Times New Roman" w:hAnsi="Times New Roman"/>
                      <w:b/>
                      <w:bCs/>
                      <w:color w:val="auto"/>
                      <w:sz w:val="21"/>
                      <w:szCs w:val="21"/>
                    </w:rPr>
                    <w:t>本项目</w:t>
                  </w:r>
                  <w:r>
                    <w:rPr>
                      <w:rFonts w:ascii="Times New Roman" w:hAnsi="Times New Roman"/>
                      <w:b/>
                      <w:bCs/>
                      <w:color w:val="auto"/>
                      <w:sz w:val="21"/>
                      <w:szCs w:val="21"/>
                    </w:rPr>
                    <w:t>拟采取污染防治措施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39" w:type="pct"/>
                  <w:vMerge w:val="restart"/>
                  <w:noWrap w:val="0"/>
                  <w:vAlign w:val="center"/>
                </w:tcPr>
                <w:p>
                  <w:pPr>
                    <w:adjustRightInd w:val="0"/>
                    <w:snapToGrid w:val="0"/>
                    <w:jc w:val="center"/>
                    <w:rPr>
                      <w:rFonts w:hint="default" w:ascii="Times New Roman" w:hAnsi="Times New Roman" w:eastAsia="宋体"/>
                      <w:color w:val="auto"/>
                      <w:kern w:val="0"/>
                      <w:sz w:val="21"/>
                      <w:szCs w:val="21"/>
                      <w:lang w:val="en-US" w:eastAsia="zh-CN"/>
                    </w:rPr>
                  </w:pPr>
                  <w:r>
                    <w:rPr>
                      <w:rFonts w:ascii="Times New Roman" w:hAnsi="Times New Roman"/>
                      <w:color w:val="auto"/>
                      <w:kern w:val="0"/>
                      <w:sz w:val="21"/>
                      <w:szCs w:val="21"/>
                    </w:rPr>
                    <w:t>危险废物</w:t>
                  </w:r>
                  <w:r>
                    <w:rPr>
                      <w:rFonts w:hint="eastAsia" w:ascii="Times New Roman" w:hAnsi="Times New Roman"/>
                      <w:color w:val="auto"/>
                      <w:kern w:val="0"/>
                      <w:sz w:val="21"/>
                      <w:szCs w:val="21"/>
                      <w:lang w:val="en-US" w:eastAsia="zh-CN"/>
                    </w:rPr>
                    <w:t>产生区域贮存点</w:t>
                  </w:r>
                </w:p>
              </w:tc>
              <w:tc>
                <w:tcPr>
                  <w:tcW w:w="2422" w:type="pct"/>
                  <w:noWrap w:val="0"/>
                  <w:vAlign w:val="center"/>
                </w:tcPr>
                <w:p>
                  <w:pPr>
                    <w:adjustRightInd w:val="0"/>
                    <w:snapToGrid w:val="0"/>
                    <w:ind w:left="0" w:leftChars="0" w:right="0" w:rightChars="0" w:firstLine="0" w:firstLineChars="0"/>
                    <w:jc w:val="center"/>
                    <w:rPr>
                      <w:rFonts w:ascii="Times New Roman" w:hAnsi="Times New Roman"/>
                      <w:color w:val="auto"/>
                      <w:kern w:val="0"/>
                      <w:sz w:val="21"/>
                      <w:szCs w:val="21"/>
                    </w:rPr>
                  </w:pPr>
                  <w:r>
                    <w:rPr>
                      <w:rFonts w:hint="eastAsia"/>
                      <w:color w:val="auto"/>
                      <w:sz w:val="21"/>
                      <w:szCs w:val="21"/>
                      <w:lang w:val="en-US" w:eastAsia="zh-CN"/>
                    </w:rPr>
                    <w:t>1.</w:t>
                  </w:r>
                  <w:r>
                    <w:rPr>
                      <w:rFonts w:hint="eastAsia" w:ascii="Times New Roman" w:hAnsi="Times New Roman"/>
                      <w:color w:val="auto"/>
                      <w:sz w:val="21"/>
                      <w:szCs w:val="21"/>
                    </w:rPr>
                    <w:t>不具备建设危险废物贮存设施条件的企业可在危险废物产生区域附近建设</w:t>
                  </w:r>
                  <w:r>
                    <w:rPr>
                      <w:rFonts w:hint="eastAsia" w:ascii="Times New Roman" w:hAnsi="Times New Roman"/>
                      <w:color w:val="auto"/>
                      <w:sz w:val="21"/>
                      <w:szCs w:val="21"/>
                      <w:lang w:eastAsia="zh-CN"/>
                    </w:rPr>
                    <w:t>贮存点</w:t>
                  </w:r>
                  <w:r>
                    <w:rPr>
                      <w:rFonts w:hint="eastAsia" w:ascii="Times New Roman" w:hAnsi="Times New Roman"/>
                      <w:color w:val="auto"/>
                      <w:sz w:val="21"/>
                      <w:szCs w:val="21"/>
                    </w:rPr>
                    <w:t>，每个危险废物产生区域</w:t>
                  </w:r>
                  <w:r>
                    <w:rPr>
                      <w:rFonts w:hint="eastAsia" w:ascii="Times New Roman" w:hAnsi="Times New Roman"/>
                      <w:color w:val="auto"/>
                      <w:sz w:val="21"/>
                      <w:szCs w:val="21"/>
                      <w:lang w:eastAsia="zh-CN"/>
                    </w:rPr>
                    <w:t>贮存点</w:t>
                  </w:r>
                  <w:r>
                    <w:rPr>
                      <w:rFonts w:hint="eastAsia" w:ascii="Times New Roman" w:hAnsi="Times New Roman"/>
                      <w:color w:val="auto"/>
                      <w:sz w:val="21"/>
                      <w:szCs w:val="21"/>
                    </w:rPr>
                    <w:t>不得超过1个，距离接近的产生区域</w:t>
                  </w:r>
                  <w:r>
                    <w:rPr>
                      <w:rFonts w:hint="eastAsia" w:ascii="Times New Roman" w:hAnsi="Times New Roman"/>
                      <w:color w:val="auto"/>
                      <w:sz w:val="21"/>
                      <w:szCs w:val="21"/>
                      <w:lang w:eastAsia="zh-CN"/>
                    </w:rPr>
                    <w:t>贮存点</w:t>
                  </w:r>
                  <w:r>
                    <w:rPr>
                      <w:rFonts w:hint="eastAsia" w:ascii="Times New Roman" w:hAnsi="Times New Roman"/>
                      <w:color w:val="auto"/>
                      <w:sz w:val="21"/>
                      <w:szCs w:val="21"/>
                    </w:rPr>
                    <w:t>应共用，</w:t>
                  </w:r>
                  <w:r>
                    <w:rPr>
                      <w:rFonts w:hint="eastAsia" w:ascii="Times New Roman" w:hAnsi="Times New Roman"/>
                      <w:color w:val="auto"/>
                      <w:sz w:val="21"/>
                      <w:szCs w:val="21"/>
                      <w:lang w:eastAsia="zh-CN"/>
                    </w:rPr>
                    <w:t>贮存点</w:t>
                  </w:r>
                  <w:r>
                    <w:rPr>
                      <w:rFonts w:hint="eastAsia" w:ascii="Times New Roman" w:hAnsi="Times New Roman"/>
                      <w:color w:val="auto"/>
                      <w:sz w:val="21"/>
                      <w:szCs w:val="21"/>
                    </w:rPr>
                    <w:t>应满足安全及污染防治要求，应采取有效措施与其它区域进行隔离并按规定设置警示标志</w:t>
                  </w:r>
                </w:p>
              </w:tc>
              <w:tc>
                <w:tcPr>
                  <w:tcW w:w="2237" w:type="pct"/>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ascii="Times New Roman" w:hAnsi="Times New Roman"/>
                      <w:color w:val="auto"/>
                      <w:kern w:val="0"/>
                      <w:sz w:val="21"/>
                      <w:szCs w:val="21"/>
                    </w:rPr>
                    <w:t>企业</w:t>
                  </w:r>
                  <w:r>
                    <w:rPr>
                      <w:rFonts w:hint="eastAsia" w:ascii="Times New Roman" w:hAnsi="Times New Roman"/>
                      <w:color w:val="auto"/>
                      <w:kern w:val="0"/>
                      <w:sz w:val="21"/>
                      <w:szCs w:val="21"/>
                      <w:lang w:val="en-US" w:eastAsia="zh-CN"/>
                    </w:rPr>
                    <w:t>拟在</w:t>
                  </w:r>
                  <w:r>
                    <w:rPr>
                      <w:rFonts w:hint="eastAsia"/>
                      <w:color w:val="auto"/>
                      <w:kern w:val="0"/>
                      <w:sz w:val="21"/>
                      <w:szCs w:val="21"/>
                      <w:lang w:val="en-US" w:eastAsia="zh-CN"/>
                    </w:rPr>
                    <w:t>车间东侧</w:t>
                  </w:r>
                  <w:r>
                    <w:rPr>
                      <w:rFonts w:hint="eastAsia" w:ascii="Times New Roman" w:hAnsi="Times New Roman"/>
                      <w:color w:val="auto"/>
                      <w:kern w:val="0"/>
                      <w:sz w:val="21"/>
                      <w:szCs w:val="21"/>
                      <w:lang w:val="en-US" w:eastAsia="zh-CN"/>
                    </w:rPr>
                    <w:t>建设1个贮存点，贮存点地面防渗处理，四周设截流沟槽，仓库内设禁火标志，配置灭火器材（如黄沙、灭火器等），采取混凝土砖墙与其它区域进行隔离并按规定设置警示标志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39" w:type="pct"/>
                  <w:vMerge w:val="continue"/>
                  <w:noWrap w:val="0"/>
                  <w:vAlign w:val="center"/>
                </w:tcPr>
                <w:p>
                  <w:pPr>
                    <w:adjustRightInd w:val="0"/>
                    <w:snapToGrid w:val="0"/>
                    <w:jc w:val="center"/>
                    <w:rPr>
                      <w:rFonts w:ascii="Times New Roman" w:hAnsi="Times New Roman"/>
                      <w:color w:val="auto"/>
                      <w:kern w:val="0"/>
                      <w:sz w:val="21"/>
                      <w:szCs w:val="21"/>
                    </w:rPr>
                  </w:pPr>
                </w:p>
              </w:tc>
              <w:tc>
                <w:tcPr>
                  <w:tcW w:w="2422" w:type="pct"/>
                  <w:noWrap w:val="0"/>
                  <w:vAlign w:val="center"/>
                </w:tcPr>
                <w:p>
                  <w:pPr>
                    <w:adjustRightInd w:val="0"/>
                    <w:snapToGrid w:val="0"/>
                    <w:ind w:left="0" w:leftChars="0" w:right="0" w:rightChars="0" w:firstLine="0" w:firstLineChars="0"/>
                    <w:jc w:val="center"/>
                    <w:rPr>
                      <w:rFonts w:hint="eastAsia" w:ascii="Times New Roman" w:hAnsi="Times New Roman"/>
                      <w:color w:val="auto"/>
                      <w:sz w:val="21"/>
                      <w:szCs w:val="21"/>
                    </w:rPr>
                  </w:pPr>
                  <w:r>
                    <w:rPr>
                      <w:rFonts w:hint="eastAsia" w:ascii="Times New Roman" w:hAnsi="Times New Roman"/>
                      <w:color w:val="auto"/>
                      <w:sz w:val="21"/>
                      <w:szCs w:val="21"/>
                    </w:rPr>
                    <w:t>2.I级、II级、III级危险废物在</w:t>
                  </w:r>
                  <w:r>
                    <w:rPr>
                      <w:rFonts w:hint="eastAsia" w:ascii="Times New Roman" w:hAnsi="Times New Roman"/>
                      <w:color w:val="auto"/>
                      <w:sz w:val="21"/>
                      <w:szCs w:val="21"/>
                      <w:lang w:eastAsia="zh-CN"/>
                    </w:rPr>
                    <w:t>贮存点</w:t>
                  </w:r>
                  <w:r>
                    <w:rPr>
                      <w:rFonts w:hint="eastAsia" w:ascii="Times New Roman" w:hAnsi="Times New Roman"/>
                      <w:color w:val="auto"/>
                      <w:sz w:val="21"/>
                      <w:szCs w:val="21"/>
                    </w:rPr>
                    <w:t>存放时间分别不应超过30天、60天、90天，单个</w:t>
                  </w:r>
                  <w:r>
                    <w:rPr>
                      <w:rFonts w:hint="eastAsia" w:ascii="Times New Roman" w:hAnsi="Times New Roman"/>
                      <w:color w:val="auto"/>
                      <w:sz w:val="21"/>
                      <w:szCs w:val="21"/>
                      <w:lang w:eastAsia="zh-CN"/>
                    </w:rPr>
                    <w:t>贮存点</w:t>
                  </w:r>
                  <w:r>
                    <w:rPr>
                      <w:rFonts w:hint="eastAsia" w:ascii="Times New Roman" w:hAnsi="Times New Roman"/>
                      <w:color w:val="auto"/>
                      <w:sz w:val="21"/>
                      <w:szCs w:val="21"/>
                    </w:rPr>
                    <w:t>最大贮存量不得超过1t</w:t>
                  </w:r>
                </w:p>
              </w:tc>
              <w:tc>
                <w:tcPr>
                  <w:tcW w:w="2237" w:type="pct"/>
                  <w:noWrap w:val="0"/>
                  <w:vAlign w:val="center"/>
                </w:tcPr>
                <w:p>
                  <w:pPr>
                    <w:adjustRightInd w:val="0"/>
                    <w:snapToGrid w:val="0"/>
                    <w:jc w:val="center"/>
                    <w:rPr>
                      <w:rFonts w:hint="default" w:ascii="Times New Roman" w:hAnsi="Times New Roman" w:eastAsia="宋体"/>
                      <w:color w:val="auto"/>
                      <w:kern w:val="0"/>
                      <w:sz w:val="21"/>
                      <w:szCs w:val="21"/>
                      <w:lang w:val="en-US" w:eastAsia="zh-CN"/>
                    </w:rPr>
                  </w:pPr>
                  <w:r>
                    <w:rPr>
                      <w:rFonts w:hint="eastAsia" w:ascii="Times New Roman" w:hAnsi="Times New Roman"/>
                      <w:color w:val="auto"/>
                      <w:kern w:val="0"/>
                      <w:sz w:val="21"/>
                      <w:szCs w:val="21"/>
                      <w:lang w:val="en-US" w:eastAsia="zh-CN"/>
                    </w:rPr>
                    <w:t>本项目危险废物在贮存点存放时间为</w:t>
                  </w:r>
                  <w:r>
                    <w:rPr>
                      <w:rFonts w:hint="eastAsia"/>
                      <w:color w:val="auto"/>
                      <w:kern w:val="0"/>
                      <w:sz w:val="21"/>
                      <w:szCs w:val="21"/>
                      <w:lang w:val="en-US" w:eastAsia="zh-CN"/>
                    </w:rPr>
                    <w:t>30天</w:t>
                  </w:r>
                  <w:r>
                    <w:rPr>
                      <w:rFonts w:hint="eastAsia" w:ascii="Times New Roman" w:hAnsi="Times New Roman"/>
                      <w:color w:val="auto"/>
                      <w:kern w:val="0"/>
                      <w:sz w:val="21"/>
                      <w:szCs w:val="21"/>
                      <w:lang w:val="en-US" w:eastAsia="zh-CN"/>
                    </w:rPr>
                    <w:t>，贮存点最大储存量不超过1吨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39" w:type="pct"/>
                  <w:vMerge w:val="continue"/>
                  <w:noWrap w:val="0"/>
                  <w:vAlign w:val="center"/>
                </w:tcPr>
                <w:p>
                  <w:pPr>
                    <w:adjustRightInd w:val="0"/>
                    <w:snapToGrid w:val="0"/>
                    <w:jc w:val="center"/>
                    <w:rPr>
                      <w:rFonts w:ascii="Times New Roman" w:hAnsi="Times New Roman"/>
                      <w:color w:val="auto"/>
                      <w:kern w:val="0"/>
                      <w:sz w:val="21"/>
                      <w:szCs w:val="21"/>
                    </w:rPr>
                  </w:pPr>
                </w:p>
              </w:tc>
              <w:tc>
                <w:tcPr>
                  <w:tcW w:w="2422" w:type="pct"/>
                  <w:noWrap w:val="0"/>
                  <w:vAlign w:val="center"/>
                </w:tcPr>
                <w:p>
                  <w:pPr>
                    <w:adjustRightInd w:val="0"/>
                    <w:snapToGrid w:val="0"/>
                    <w:ind w:left="0" w:leftChars="0" w:right="0" w:rightChars="0" w:firstLine="0" w:firstLineChars="0"/>
                    <w:jc w:val="center"/>
                    <w:rPr>
                      <w:rFonts w:hint="eastAsia" w:ascii="Times New Roman" w:hAnsi="Times New Roman"/>
                      <w:color w:val="auto"/>
                      <w:sz w:val="21"/>
                      <w:szCs w:val="21"/>
                    </w:rPr>
                  </w:pPr>
                  <w:r>
                    <w:rPr>
                      <w:rFonts w:hint="eastAsia" w:ascii="Times New Roman" w:hAnsi="Times New Roman"/>
                      <w:color w:val="auto"/>
                      <w:sz w:val="21"/>
                      <w:szCs w:val="21"/>
                    </w:rPr>
                    <w:t>3.废弃危险化学品存放于符合安全要求的原危化品贮存设施内</w:t>
                  </w:r>
                </w:p>
              </w:tc>
              <w:tc>
                <w:tcPr>
                  <w:tcW w:w="2237" w:type="pct"/>
                  <w:noWrap w:val="0"/>
                  <w:vAlign w:val="center"/>
                </w:tcPr>
                <w:p>
                  <w:pPr>
                    <w:adjustRightInd w:val="0"/>
                    <w:snapToGrid w:val="0"/>
                    <w:jc w:val="center"/>
                    <w:rPr>
                      <w:rFonts w:hint="eastAsia" w:ascii="Times New Roman" w:hAnsi="Times New Roman" w:eastAsia="宋体"/>
                      <w:color w:val="auto"/>
                      <w:kern w:val="0"/>
                      <w:sz w:val="21"/>
                      <w:szCs w:val="21"/>
                      <w:lang w:eastAsia="zh-CN"/>
                    </w:rPr>
                  </w:pPr>
                  <w:r>
                    <w:rPr>
                      <w:rFonts w:hint="eastAsia" w:ascii="Times New Roman" w:hAnsi="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39" w:type="pct"/>
                  <w:vMerge w:val="continue"/>
                  <w:noWrap w:val="0"/>
                  <w:vAlign w:val="center"/>
                </w:tcPr>
                <w:p>
                  <w:pPr>
                    <w:adjustRightInd w:val="0"/>
                    <w:snapToGrid w:val="0"/>
                    <w:jc w:val="center"/>
                    <w:rPr>
                      <w:rFonts w:ascii="Times New Roman" w:hAnsi="Times New Roman"/>
                      <w:color w:val="auto"/>
                      <w:kern w:val="0"/>
                      <w:sz w:val="21"/>
                      <w:szCs w:val="21"/>
                    </w:rPr>
                  </w:pPr>
                </w:p>
              </w:tc>
              <w:tc>
                <w:tcPr>
                  <w:tcW w:w="2422" w:type="pct"/>
                  <w:noWrap w:val="0"/>
                  <w:vAlign w:val="center"/>
                </w:tcPr>
                <w:p>
                  <w:pPr>
                    <w:adjustRightInd w:val="0"/>
                    <w:snapToGrid w:val="0"/>
                    <w:ind w:left="0" w:leftChars="0" w:right="0" w:rightChars="0" w:firstLine="0" w:firstLineChars="0"/>
                    <w:jc w:val="center"/>
                    <w:rPr>
                      <w:rFonts w:hint="eastAsia" w:ascii="Times New Roman" w:hAnsi="Times New Roman"/>
                      <w:color w:val="auto"/>
                      <w:sz w:val="21"/>
                      <w:szCs w:val="21"/>
                    </w:rPr>
                  </w:pPr>
                  <w:r>
                    <w:rPr>
                      <w:rFonts w:hint="eastAsia" w:ascii="Times New Roman" w:hAnsi="Times New Roman"/>
                      <w:color w:val="auto"/>
                      <w:sz w:val="21"/>
                      <w:szCs w:val="21"/>
                    </w:rPr>
                    <w:t>4.具有爆炸性或者排出有毒气体的危险废物经预处理使之稳定化后方可贮存于</w:t>
                  </w:r>
                  <w:r>
                    <w:rPr>
                      <w:rFonts w:hint="eastAsia" w:ascii="Times New Roman" w:hAnsi="Times New Roman"/>
                      <w:color w:val="auto"/>
                      <w:sz w:val="21"/>
                      <w:szCs w:val="21"/>
                      <w:lang w:eastAsia="zh-CN"/>
                    </w:rPr>
                    <w:t>贮存点</w:t>
                  </w:r>
                  <w:r>
                    <w:rPr>
                      <w:rFonts w:hint="eastAsia" w:ascii="Times New Roman" w:hAnsi="Times New Roman"/>
                      <w:color w:val="auto"/>
                      <w:sz w:val="21"/>
                      <w:szCs w:val="21"/>
                    </w:rPr>
                    <w:t>，否则按相应类别危险品贮存</w:t>
                  </w:r>
                </w:p>
              </w:tc>
              <w:tc>
                <w:tcPr>
                  <w:tcW w:w="2237" w:type="pct"/>
                  <w:noWrap w:val="0"/>
                  <w:vAlign w:val="center"/>
                </w:tcPr>
                <w:p>
                  <w:pPr>
                    <w:adjustRightInd w:val="0"/>
                    <w:snapToGrid w:val="0"/>
                    <w:jc w:val="center"/>
                    <w:rPr>
                      <w:rFonts w:hint="eastAsia" w:ascii="Times New Roman" w:hAnsi="Times New Roman" w:eastAsia="宋体"/>
                      <w:color w:val="auto"/>
                      <w:kern w:val="0"/>
                      <w:sz w:val="21"/>
                      <w:szCs w:val="21"/>
                      <w:lang w:val="en-US" w:eastAsia="zh-CN"/>
                    </w:rPr>
                  </w:pPr>
                  <w:r>
                    <w:rPr>
                      <w:rFonts w:hint="eastAsia" w:ascii="Times New Roman" w:hAnsi="Times New Roman"/>
                      <w:color w:val="auto"/>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39" w:type="pct"/>
                  <w:vMerge w:val="continue"/>
                  <w:noWrap w:val="0"/>
                  <w:vAlign w:val="center"/>
                </w:tcPr>
                <w:p>
                  <w:pPr>
                    <w:adjustRightInd w:val="0"/>
                    <w:snapToGrid w:val="0"/>
                    <w:jc w:val="center"/>
                    <w:rPr>
                      <w:rFonts w:ascii="Times New Roman" w:hAnsi="Times New Roman"/>
                      <w:color w:val="auto"/>
                      <w:kern w:val="0"/>
                      <w:sz w:val="21"/>
                      <w:szCs w:val="21"/>
                    </w:rPr>
                  </w:pPr>
                </w:p>
              </w:tc>
              <w:tc>
                <w:tcPr>
                  <w:tcW w:w="2422" w:type="pct"/>
                  <w:noWrap w:val="0"/>
                  <w:vAlign w:val="center"/>
                </w:tcPr>
                <w:p>
                  <w:pPr>
                    <w:adjustRightInd w:val="0"/>
                    <w:snapToGrid w:val="0"/>
                    <w:ind w:left="0" w:leftChars="0" w:right="0" w:rightChars="0" w:firstLine="0" w:firstLineChars="0"/>
                    <w:jc w:val="center"/>
                    <w:rPr>
                      <w:rFonts w:hint="eastAsia" w:ascii="Times New Roman" w:hAnsi="Times New Roman"/>
                      <w:color w:val="auto"/>
                      <w:sz w:val="21"/>
                      <w:szCs w:val="21"/>
                    </w:rPr>
                  </w:pPr>
                  <w:r>
                    <w:rPr>
                      <w:rFonts w:hint="eastAsia" w:ascii="Times New Roman" w:hAnsi="Times New Roman"/>
                      <w:color w:val="auto"/>
                      <w:sz w:val="21"/>
                      <w:szCs w:val="21"/>
                    </w:rPr>
                    <w:t>5.易燃性危险废物应存放</w:t>
                  </w:r>
                  <w:r>
                    <w:rPr>
                      <w:rFonts w:hint="eastAsia" w:ascii="Times New Roman" w:hAnsi="Times New Roman"/>
                      <w:color w:val="auto"/>
                      <w:sz w:val="21"/>
                      <w:szCs w:val="21"/>
                      <w:lang w:val="en-US" w:eastAsia="zh-CN"/>
                    </w:rPr>
                    <w:t>于</w:t>
                  </w:r>
                  <w:r>
                    <w:rPr>
                      <w:rFonts w:hint="eastAsia" w:ascii="Times New Roman" w:hAnsi="Times New Roman"/>
                      <w:color w:val="auto"/>
                      <w:sz w:val="21"/>
                      <w:szCs w:val="21"/>
                    </w:rPr>
                    <w:t>符合要求的防爆柜内，单个</w:t>
                  </w:r>
                  <w:r>
                    <w:rPr>
                      <w:rFonts w:hint="eastAsia" w:ascii="Times New Roman" w:hAnsi="Times New Roman"/>
                      <w:color w:val="auto"/>
                      <w:sz w:val="21"/>
                      <w:szCs w:val="21"/>
                      <w:lang w:eastAsia="zh-CN"/>
                    </w:rPr>
                    <w:t>贮存点</w:t>
                  </w:r>
                  <w:r>
                    <w:rPr>
                      <w:rFonts w:hint="eastAsia" w:ascii="Times New Roman" w:hAnsi="Times New Roman"/>
                      <w:color w:val="auto"/>
                      <w:sz w:val="21"/>
                      <w:szCs w:val="21"/>
                    </w:rPr>
                    <w:t>最大贮存量不得超过0.5t</w:t>
                  </w:r>
                </w:p>
              </w:tc>
              <w:tc>
                <w:tcPr>
                  <w:tcW w:w="2237" w:type="pct"/>
                  <w:noWrap w:val="0"/>
                  <w:vAlign w:val="center"/>
                </w:tcPr>
                <w:p>
                  <w:pPr>
                    <w:adjustRightInd w:val="0"/>
                    <w:snapToGrid w:val="0"/>
                    <w:jc w:val="center"/>
                    <w:rPr>
                      <w:rFonts w:ascii="Times New Roman" w:hAnsi="Times New Roman"/>
                      <w:color w:val="auto"/>
                      <w:kern w:val="0"/>
                      <w:sz w:val="21"/>
                      <w:szCs w:val="21"/>
                    </w:rPr>
                  </w:pPr>
                  <w:r>
                    <w:rPr>
                      <w:rFonts w:hint="eastAsia" w:ascii="Times New Roman" w:hAnsi="Times New Roman"/>
                      <w:color w:val="auto"/>
                      <w:sz w:val="21"/>
                      <w:szCs w:val="21"/>
                      <w:lang w:val="en-US" w:eastAsia="zh-CN"/>
                    </w:rPr>
                    <w:t>本项目</w:t>
                  </w:r>
                  <w:r>
                    <w:rPr>
                      <w:rFonts w:hint="eastAsia" w:ascii="Times New Roman" w:hAnsi="Times New Roman"/>
                      <w:color w:val="auto"/>
                      <w:sz w:val="21"/>
                      <w:szCs w:val="21"/>
                    </w:rPr>
                    <w:t>易燃性危险废物</w:t>
                  </w:r>
                  <w:r>
                    <w:rPr>
                      <w:rFonts w:hint="eastAsia" w:ascii="Times New Roman" w:hAnsi="Times New Roman"/>
                      <w:color w:val="auto"/>
                      <w:sz w:val="21"/>
                      <w:szCs w:val="21"/>
                      <w:lang w:val="en-US" w:eastAsia="zh-CN"/>
                    </w:rPr>
                    <w:t>、废润滑油、废润滑油桶</w:t>
                  </w:r>
                  <w:r>
                    <w:rPr>
                      <w:rFonts w:hint="eastAsia" w:ascii="Times New Roman" w:hAnsi="Times New Roman"/>
                      <w:color w:val="auto"/>
                      <w:sz w:val="21"/>
                      <w:szCs w:val="21"/>
                    </w:rPr>
                    <w:t>存放</w:t>
                  </w:r>
                  <w:r>
                    <w:rPr>
                      <w:rFonts w:hint="eastAsia" w:ascii="Times New Roman" w:hAnsi="Times New Roman"/>
                      <w:color w:val="auto"/>
                      <w:sz w:val="21"/>
                      <w:szCs w:val="21"/>
                      <w:lang w:val="en-US" w:eastAsia="zh-CN"/>
                    </w:rPr>
                    <w:t>于</w:t>
                  </w:r>
                  <w:r>
                    <w:rPr>
                      <w:rFonts w:hint="eastAsia" w:ascii="Times New Roman" w:hAnsi="Times New Roman"/>
                      <w:color w:val="auto"/>
                      <w:sz w:val="21"/>
                      <w:szCs w:val="21"/>
                    </w:rPr>
                    <w:t>符合要求的防爆柜内，</w:t>
                  </w:r>
                  <w:r>
                    <w:rPr>
                      <w:rFonts w:hint="eastAsia" w:ascii="Times New Roman" w:hAnsi="Times New Roman"/>
                      <w:color w:val="auto"/>
                      <w:sz w:val="21"/>
                      <w:szCs w:val="21"/>
                      <w:lang w:eastAsia="zh-CN"/>
                    </w:rPr>
                    <w:t>贮存点</w:t>
                  </w:r>
                  <w:r>
                    <w:rPr>
                      <w:rFonts w:hint="eastAsia" w:ascii="Times New Roman" w:hAnsi="Times New Roman"/>
                      <w:color w:val="auto"/>
                      <w:sz w:val="21"/>
                      <w:szCs w:val="21"/>
                    </w:rPr>
                    <w:t>最大贮存量不超过0.5t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39" w:type="pct"/>
                  <w:vMerge w:val="continue"/>
                  <w:noWrap w:val="0"/>
                  <w:vAlign w:val="center"/>
                </w:tcPr>
                <w:p>
                  <w:pPr>
                    <w:adjustRightInd w:val="0"/>
                    <w:snapToGrid w:val="0"/>
                    <w:jc w:val="center"/>
                    <w:rPr>
                      <w:rFonts w:ascii="Times New Roman" w:hAnsi="Times New Roman"/>
                      <w:color w:val="auto"/>
                      <w:kern w:val="0"/>
                      <w:sz w:val="21"/>
                      <w:szCs w:val="21"/>
                    </w:rPr>
                  </w:pPr>
                </w:p>
              </w:tc>
              <w:tc>
                <w:tcPr>
                  <w:tcW w:w="2422" w:type="pct"/>
                  <w:noWrap w:val="0"/>
                  <w:vAlign w:val="center"/>
                </w:tcPr>
                <w:p>
                  <w:pPr>
                    <w:adjustRightInd w:val="0"/>
                    <w:snapToGrid w:val="0"/>
                    <w:ind w:left="0" w:leftChars="0" w:right="0" w:rightChars="0" w:firstLine="0" w:firstLineChars="0"/>
                    <w:jc w:val="center"/>
                    <w:rPr>
                      <w:rFonts w:hint="eastAsia" w:ascii="Times New Roman" w:hAnsi="Times New Roman"/>
                      <w:color w:val="auto"/>
                      <w:sz w:val="21"/>
                      <w:szCs w:val="21"/>
                    </w:rPr>
                  </w:pPr>
                  <w:r>
                    <w:rPr>
                      <w:rFonts w:hint="eastAsia" w:ascii="Times New Roman" w:hAnsi="Times New Roman"/>
                      <w:color w:val="auto"/>
                      <w:sz w:val="21"/>
                      <w:szCs w:val="21"/>
                    </w:rPr>
                    <w:t>6.贮存液态、半固态以及其它可能有渗滤液产生的危险废物，需配备</w:t>
                  </w:r>
                  <w:r>
                    <w:rPr>
                      <w:rFonts w:hint="eastAsia"/>
                      <w:color w:val="auto"/>
                      <w:sz w:val="21"/>
                      <w:szCs w:val="21"/>
                      <w:lang w:eastAsia="zh-CN"/>
                    </w:rPr>
                    <w:t>泄漏</w:t>
                  </w:r>
                  <w:r>
                    <w:rPr>
                      <w:rFonts w:hint="eastAsia" w:ascii="Times New Roman" w:hAnsi="Times New Roman"/>
                      <w:color w:val="auto"/>
                      <w:sz w:val="21"/>
                      <w:szCs w:val="21"/>
                    </w:rPr>
                    <w:t>液体收集装置</w:t>
                  </w:r>
                </w:p>
              </w:tc>
              <w:tc>
                <w:tcPr>
                  <w:tcW w:w="2237" w:type="pct"/>
                  <w:noWrap w:val="0"/>
                  <w:vAlign w:val="center"/>
                </w:tcPr>
                <w:p>
                  <w:pPr>
                    <w:adjustRightInd w:val="0"/>
                    <w:snapToGrid w:val="0"/>
                    <w:jc w:val="center"/>
                    <w:rPr>
                      <w:rFonts w:ascii="Times New Roman" w:hAnsi="Times New Roman"/>
                      <w:color w:val="auto"/>
                      <w:kern w:val="0"/>
                      <w:sz w:val="21"/>
                      <w:szCs w:val="21"/>
                    </w:rPr>
                  </w:pPr>
                  <w:r>
                    <w:rPr>
                      <w:rFonts w:hint="eastAsia"/>
                      <w:color w:val="auto"/>
                      <w:kern w:val="0"/>
                      <w:sz w:val="21"/>
                      <w:szCs w:val="21"/>
                      <w:lang w:val="en-US" w:eastAsia="zh-CN"/>
                    </w:rPr>
                    <w:t>建设项目</w:t>
                  </w:r>
                  <w:r>
                    <w:rPr>
                      <w:rFonts w:hint="eastAsia"/>
                      <w:color w:val="auto"/>
                      <w:kern w:val="0"/>
                      <w:sz w:val="21"/>
                      <w:szCs w:val="21"/>
                    </w:rPr>
                    <w:t>废活性炭、废劳保用品采用袋装密封分区贮存，废润滑油、含油废</w:t>
                  </w:r>
                  <w:r>
                    <w:rPr>
                      <w:rFonts w:hint="eastAsia"/>
                      <w:color w:val="auto"/>
                      <w:kern w:val="0"/>
                      <w:sz w:val="21"/>
                      <w:szCs w:val="21"/>
                      <w:lang w:val="en-US" w:eastAsia="zh-CN"/>
                    </w:rPr>
                    <w:t>液、清洗废液</w:t>
                  </w:r>
                  <w:r>
                    <w:rPr>
                      <w:rFonts w:hint="eastAsia"/>
                      <w:color w:val="auto"/>
                      <w:kern w:val="0"/>
                      <w:sz w:val="21"/>
                      <w:szCs w:val="21"/>
                    </w:rPr>
                    <w:t>均桶装密封贮存在</w:t>
                  </w:r>
                  <w:r>
                    <w:rPr>
                      <w:rFonts w:hint="eastAsia"/>
                      <w:color w:val="auto"/>
                      <w:kern w:val="0"/>
                      <w:sz w:val="21"/>
                      <w:szCs w:val="21"/>
                      <w:lang w:eastAsia="zh-CN"/>
                    </w:rPr>
                    <w:t>危废贮存点</w:t>
                  </w:r>
                  <w:r>
                    <w:rPr>
                      <w:rFonts w:hint="eastAsia"/>
                      <w:color w:val="auto"/>
                      <w:kern w:val="0"/>
                      <w:sz w:val="21"/>
                      <w:szCs w:val="21"/>
                    </w:rPr>
                    <w:t>，</w:t>
                  </w:r>
                  <w:r>
                    <w:rPr>
                      <w:rFonts w:hint="eastAsia"/>
                      <w:color w:val="auto"/>
                      <w:kern w:val="0"/>
                      <w:sz w:val="21"/>
                      <w:szCs w:val="21"/>
                      <w:lang w:val="en-US" w:eastAsia="zh-CN"/>
                    </w:rPr>
                    <w:t>废包装</w:t>
                  </w:r>
                  <w:r>
                    <w:rPr>
                      <w:rFonts w:hint="eastAsia"/>
                      <w:color w:val="auto"/>
                      <w:kern w:val="0"/>
                      <w:sz w:val="21"/>
                      <w:szCs w:val="21"/>
                    </w:rPr>
                    <w:t>桶</w:t>
                  </w:r>
                  <w:r>
                    <w:rPr>
                      <w:rFonts w:hint="eastAsia"/>
                      <w:color w:val="auto"/>
                      <w:kern w:val="0"/>
                      <w:sz w:val="21"/>
                      <w:szCs w:val="21"/>
                      <w:lang w:eastAsia="zh-CN"/>
                    </w:rPr>
                    <w:t>、</w:t>
                  </w:r>
                  <w:r>
                    <w:rPr>
                      <w:rFonts w:hint="eastAsia"/>
                      <w:color w:val="auto"/>
                      <w:kern w:val="0"/>
                      <w:sz w:val="21"/>
                      <w:szCs w:val="21"/>
                      <w:lang w:val="en-US" w:eastAsia="zh-CN"/>
                    </w:rPr>
                    <w:t>废润滑油桶</w:t>
                  </w:r>
                  <w:r>
                    <w:rPr>
                      <w:rFonts w:hint="eastAsia"/>
                      <w:color w:val="auto"/>
                      <w:kern w:val="0"/>
                      <w:sz w:val="21"/>
                      <w:szCs w:val="21"/>
                    </w:rPr>
                    <w:t>加盖密封贮存，贮存容器下方设置不锈钢托盘用以收集泄漏液体，定期委托具有危废资质单位及时清运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39" w:type="pct"/>
                  <w:vMerge w:val="continue"/>
                  <w:noWrap w:val="0"/>
                  <w:vAlign w:val="center"/>
                </w:tcPr>
                <w:p>
                  <w:pPr>
                    <w:adjustRightInd w:val="0"/>
                    <w:snapToGrid w:val="0"/>
                    <w:jc w:val="center"/>
                    <w:rPr>
                      <w:rFonts w:ascii="Times New Roman" w:hAnsi="Times New Roman"/>
                      <w:color w:val="auto"/>
                      <w:kern w:val="0"/>
                      <w:sz w:val="21"/>
                      <w:szCs w:val="21"/>
                    </w:rPr>
                  </w:pPr>
                </w:p>
              </w:tc>
              <w:tc>
                <w:tcPr>
                  <w:tcW w:w="2422" w:type="pct"/>
                  <w:noWrap w:val="0"/>
                  <w:vAlign w:val="center"/>
                </w:tcPr>
                <w:p>
                  <w:pPr>
                    <w:adjustRightInd w:val="0"/>
                    <w:snapToGrid w:val="0"/>
                    <w:ind w:left="0" w:leftChars="0" w:right="0" w:rightChars="0" w:firstLine="0" w:firstLineChars="0"/>
                    <w:jc w:val="center"/>
                    <w:rPr>
                      <w:rFonts w:hint="eastAsia" w:ascii="Times New Roman" w:hAnsi="Times New Roman"/>
                      <w:color w:val="auto"/>
                      <w:sz w:val="21"/>
                      <w:szCs w:val="21"/>
                    </w:rPr>
                  </w:pPr>
                  <w:r>
                    <w:rPr>
                      <w:rFonts w:hint="eastAsia" w:ascii="Times New Roman" w:hAnsi="Times New Roman"/>
                      <w:color w:val="auto"/>
                      <w:sz w:val="21"/>
                      <w:szCs w:val="21"/>
                    </w:rPr>
                    <w:t>7.贮存产生粉尘、挥发性有机物、酸雾以及其他有毒有害气态污染物质的危险废物，</w:t>
                  </w:r>
                  <w:r>
                    <w:rPr>
                      <w:rFonts w:hint="eastAsia" w:ascii="Times New Roman" w:hAnsi="Times New Roman"/>
                      <w:color w:val="auto"/>
                      <w:sz w:val="21"/>
                      <w:szCs w:val="21"/>
                      <w:lang w:eastAsia="zh-CN"/>
                    </w:rPr>
                    <w:t>贮存点</w:t>
                  </w:r>
                  <w:r>
                    <w:rPr>
                      <w:rFonts w:hint="eastAsia" w:ascii="Times New Roman" w:hAnsi="Times New Roman"/>
                      <w:color w:val="auto"/>
                      <w:sz w:val="21"/>
                      <w:szCs w:val="21"/>
                    </w:rPr>
                    <w:t>所在区域需有气体导排装置</w:t>
                  </w:r>
                </w:p>
              </w:tc>
              <w:tc>
                <w:tcPr>
                  <w:tcW w:w="2237" w:type="pct"/>
                  <w:noWrap w:val="0"/>
                  <w:vAlign w:val="center"/>
                </w:tcPr>
                <w:p>
                  <w:pPr>
                    <w:adjustRightInd w:val="0"/>
                    <w:snapToGrid w:val="0"/>
                    <w:jc w:val="center"/>
                    <w:rPr>
                      <w:rFonts w:ascii="Times New Roman" w:hAnsi="Times New Roman"/>
                      <w:color w:val="auto"/>
                      <w:kern w:val="0"/>
                      <w:sz w:val="21"/>
                      <w:szCs w:val="21"/>
                    </w:rPr>
                  </w:pPr>
                  <w:r>
                    <w:rPr>
                      <w:rFonts w:hint="eastAsia" w:ascii="Times New Roman" w:hAnsi="Times New Roman" w:eastAsia="宋体" w:cs="Times New Roman"/>
                      <w:color w:val="auto"/>
                      <w:sz w:val="21"/>
                      <w:szCs w:val="21"/>
                      <w:highlight w:val="none"/>
                      <w:lang w:val="en-US" w:eastAsia="zh-CN"/>
                    </w:rPr>
                    <w:t>本项目</w:t>
                  </w:r>
                  <w:r>
                    <w:rPr>
                      <w:rFonts w:hint="eastAsia"/>
                      <w:color w:val="auto"/>
                      <w:kern w:val="0"/>
                      <w:sz w:val="21"/>
                      <w:szCs w:val="21"/>
                    </w:rPr>
                    <w:t>废活性炭、废劳保用品采用袋装密封分区贮存，废润滑油、含油废</w:t>
                  </w:r>
                  <w:r>
                    <w:rPr>
                      <w:rFonts w:hint="eastAsia"/>
                      <w:color w:val="auto"/>
                      <w:kern w:val="0"/>
                      <w:sz w:val="21"/>
                      <w:szCs w:val="21"/>
                      <w:lang w:val="en-US" w:eastAsia="zh-CN"/>
                    </w:rPr>
                    <w:t>液、清洗废液</w:t>
                  </w:r>
                  <w:r>
                    <w:rPr>
                      <w:rFonts w:hint="eastAsia"/>
                      <w:color w:val="auto"/>
                      <w:kern w:val="0"/>
                      <w:sz w:val="21"/>
                      <w:szCs w:val="21"/>
                    </w:rPr>
                    <w:t>均桶装密封贮存在</w:t>
                  </w:r>
                  <w:r>
                    <w:rPr>
                      <w:rFonts w:hint="eastAsia"/>
                      <w:color w:val="auto"/>
                      <w:kern w:val="0"/>
                      <w:sz w:val="21"/>
                      <w:szCs w:val="21"/>
                      <w:lang w:eastAsia="zh-CN"/>
                    </w:rPr>
                    <w:t>危废贮存点</w:t>
                  </w:r>
                  <w:r>
                    <w:rPr>
                      <w:rFonts w:hint="eastAsia"/>
                      <w:color w:val="auto"/>
                      <w:kern w:val="0"/>
                      <w:sz w:val="21"/>
                      <w:szCs w:val="21"/>
                    </w:rPr>
                    <w:t>，</w:t>
                  </w:r>
                  <w:r>
                    <w:rPr>
                      <w:rFonts w:hint="eastAsia"/>
                      <w:color w:val="auto"/>
                      <w:kern w:val="0"/>
                      <w:sz w:val="21"/>
                      <w:szCs w:val="21"/>
                      <w:lang w:val="en-US" w:eastAsia="zh-CN"/>
                    </w:rPr>
                    <w:t>废包装</w:t>
                  </w:r>
                  <w:r>
                    <w:rPr>
                      <w:rFonts w:hint="eastAsia"/>
                      <w:color w:val="auto"/>
                      <w:kern w:val="0"/>
                      <w:sz w:val="21"/>
                      <w:szCs w:val="21"/>
                    </w:rPr>
                    <w:t>桶</w:t>
                  </w:r>
                  <w:r>
                    <w:rPr>
                      <w:rFonts w:hint="eastAsia"/>
                      <w:color w:val="auto"/>
                      <w:kern w:val="0"/>
                      <w:sz w:val="21"/>
                      <w:szCs w:val="21"/>
                      <w:lang w:eastAsia="zh-CN"/>
                    </w:rPr>
                    <w:t>、</w:t>
                  </w:r>
                  <w:r>
                    <w:rPr>
                      <w:rFonts w:hint="eastAsia"/>
                      <w:color w:val="auto"/>
                      <w:kern w:val="0"/>
                      <w:sz w:val="21"/>
                      <w:szCs w:val="21"/>
                      <w:lang w:val="en-US" w:eastAsia="zh-CN"/>
                    </w:rPr>
                    <w:t>废润滑油桶</w:t>
                  </w:r>
                  <w:r>
                    <w:rPr>
                      <w:rFonts w:hint="eastAsia"/>
                      <w:color w:val="auto"/>
                      <w:kern w:val="0"/>
                      <w:sz w:val="21"/>
                      <w:szCs w:val="21"/>
                    </w:rPr>
                    <w:t>加盖密封贮存在</w:t>
                  </w:r>
                  <w:r>
                    <w:rPr>
                      <w:rFonts w:hint="eastAsia"/>
                      <w:color w:val="auto"/>
                      <w:kern w:val="0"/>
                      <w:sz w:val="21"/>
                      <w:szCs w:val="21"/>
                      <w:lang w:eastAsia="zh-CN"/>
                    </w:rPr>
                    <w:t>危废贮存点</w:t>
                  </w:r>
                  <w:r>
                    <w:rPr>
                      <w:rFonts w:hint="eastAsia" w:ascii="Times New Roman" w:hAnsi="Times New Roman" w:eastAsia="宋体"/>
                      <w:color w:val="auto"/>
                      <w:sz w:val="21"/>
                      <w:szCs w:val="21"/>
                      <w:lang w:eastAsia="zh-CN"/>
                    </w:rPr>
                    <w:t>，</w:t>
                  </w:r>
                  <w:r>
                    <w:rPr>
                      <w:rFonts w:hint="eastAsia" w:ascii="Times New Roman" w:hAnsi="Times New Roman" w:eastAsia="宋体" w:cs="Times New Roman"/>
                      <w:color w:val="auto"/>
                      <w:sz w:val="21"/>
                      <w:szCs w:val="21"/>
                      <w:highlight w:val="none"/>
                      <w:lang w:val="en-US" w:eastAsia="zh-CN"/>
                    </w:rPr>
                    <w:t>不涉及粉尘、酸雾、有毒有害大气污染物和刺激性气味气体，不易产生VOCs，故本项目危废</w:t>
                  </w:r>
                  <w:r>
                    <w:rPr>
                      <w:rFonts w:hint="eastAsia" w:ascii="Times New Roman" w:hAnsi="Times New Roman" w:cs="Times New Roman"/>
                      <w:color w:val="auto"/>
                      <w:sz w:val="21"/>
                      <w:szCs w:val="21"/>
                      <w:highlight w:val="none"/>
                      <w:lang w:val="en-US" w:eastAsia="zh-CN"/>
                    </w:rPr>
                    <w:t>贮存点</w:t>
                  </w:r>
                  <w:r>
                    <w:rPr>
                      <w:rFonts w:hint="eastAsia" w:ascii="Times New Roman" w:hAnsi="Times New Roman" w:eastAsia="宋体" w:cs="Times New Roman"/>
                      <w:color w:val="auto"/>
                      <w:sz w:val="21"/>
                      <w:szCs w:val="21"/>
                      <w:highlight w:val="none"/>
                      <w:lang w:val="en-US" w:eastAsia="zh-CN"/>
                    </w:rPr>
                    <w:t>不需设置气体收集装置和气体净化设施，</w:t>
                  </w:r>
                  <w:r>
                    <w:rPr>
                      <w:rFonts w:hint="eastAsia" w:ascii="Times New Roman" w:hAnsi="Times New Roman"/>
                      <w:color w:val="auto"/>
                      <w:kern w:val="0"/>
                      <w:sz w:val="21"/>
                      <w:szCs w:val="21"/>
                      <w:highlight w:val="none"/>
                    </w:rPr>
                    <w:t>微量的废气通过危废</w:t>
                  </w:r>
                  <w:r>
                    <w:rPr>
                      <w:rFonts w:hint="eastAsia" w:ascii="Times New Roman" w:hAnsi="Times New Roman" w:cs="Times New Roman"/>
                      <w:color w:val="auto"/>
                      <w:sz w:val="21"/>
                      <w:szCs w:val="21"/>
                      <w:highlight w:val="none"/>
                      <w:lang w:val="en-US" w:eastAsia="zh-CN"/>
                    </w:rPr>
                    <w:t>贮存点</w:t>
                  </w:r>
                  <w:r>
                    <w:rPr>
                      <w:rFonts w:hint="eastAsia" w:ascii="Times New Roman" w:hAnsi="Times New Roman"/>
                      <w:color w:val="auto"/>
                      <w:kern w:val="0"/>
                      <w:sz w:val="21"/>
                      <w:szCs w:val="21"/>
                      <w:highlight w:val="none"/>
                    </w:rPr>
                    <w:t>的自然通风排放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39" w:type="pct"/>
                  <w:vMerge w:val="continue"/>
                  <w:noWrap w:val="0"/>
                  <w:vAlign w:val="center"/>
                </w:tcPr>
                <w:p>
                  <w:pPr>
                    <w:adjustRightInd w:val="0"/>
                    <w:snapToGrid w:val="0"/>
                    <w:jc w:val="center"/>
                    <w:rPr>
                      <w:rFonts w:ascii="Times New Roman" w:hAnsi="Times New Roman"/>
                      <w:color w:val="auto"/>
                      <w:kern w:val="0"/>
                      <w:sz w:val="21"/>
                      <w:szCs w:val="21"/>
                    </w:rPr>
                  </w:pPr>
                </w:p>
              </w:tc>
              <w:tc>
                <w:tcPr>
                  <w:tcW w:w="2422" w:type="pct"/>
                  <w:noWrap w:val="0"/>
                  <w:vAlign w:val="center"/>
                </w:tcPr>
                <w:p>
                  <w:pPr>
                    <w:adjustRightInd w:val="0"/>
                    <w:snapToGrid w:val="0"/>
                    <w:ind w:left="0" w:leftChars="0" w:right="0" w:rightChars="0" w:firstLine="0" w:firstLineChars="0"/>
                    <w:jc w:val="center"/>
                    <w:rPr>
                      <w:rFonts w:hint="eastAsia" w:ascii="Times New Roman" w:hAnsi="Times New Roman"/>
                      <w:color w:val="auto"/>
                      <w:sz w:val="21"/>
                      <w:szCs w:val="21"/>
                    </w:rPr>
                  </w:pPr>
                  <w:r>
                    <w:rPr>
                      <w:rFonts w:hint="eastAsia" w:ascii="Times New Roman" w:hAnsi="Times New Roman"/>
                      <w:color w:val="auto"/>
                      <w:sz w:val="21"/>
                      <w:szCs w:val="21"/>
                    </w:rPr>
                    <w:t>8.需安装24 h视频监控系统</w:t>
                  </w:r>
                </w:p>
              </w:tc>
              <w:tc>
                <w:tcPr>
                  <w:tcW w:w="2237" w:type="pct"/>
                  <w:noWrap w:val="0"/>
                  <w:vAlign w:val="center"/>
                </w:tcPr>
                <w:p>
                  <w:pPr>
                    <w:adjustRightInd w:val="0"/>
                    <w:snapToGrid w:val="0"/>
                    <w:jc w:val="center"/>
                    <w:rPr>
                      <w:rFonts w:ascii="Times New Roman" w:hAnsi="Times New Roman"/>
                      <w:color w:val="auto"/>
                      <w:kern w:val="0"/>
                      <w:sz w:val="21"/>
                      <w:szCs w:val="21"/>
                    </w:rPr>
                  </w:pPr>
                  <w:r>
                    <w:rPr>
                      <w:rFonts w:hint="eastAsia" w:ascii="Times New Roman" w:hAnsi="Times New Roman"/>
                      <w:color w:val="auto"/>
                      <w:sz w:val="21"/>
                      <w:szCs w:val="21"/>
                    </w:rPr>
                    <w:t>安装24 h视频监控系统</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cs="Times New Roman"/>
                <w:b w:val="0"/>
                <w:bCs/>
                <w:color w:val="auto"/>
                <w:sz w:val="24"/>
                <w:szCs w:val="24"/>
                <w:highlight w:val="none"/>
                <w:lang w:val="en-US" w:eastAsia="zh-CN"/>
              </w:rPr>
            </w:pPr>
            <w:r>
              <w:rPr>
                <w:rFonts w:hint="eastAsia" w:ascii="Times New Roman" w:hAnsi="Times New Roman" w:eastAsia="宋体" w:cs="Times New Roman"/>
                <w:color w:val="auto"/>
                <w:kern w:val="0"/>
                <w:sz w:val="24"/>
                <w:szCs w:val="24"/>
                <w:highlight w:val="none"/>
                <w:lang w:eastAsia="zh-CN"/>
              </w:rPr>
              <w:t>本项目</w:t>
            </w:r>
            <w:r>
              <w:rPr>
                <w:rFonts w:hint="default" w:ascii="Times New Roman" w:hAnsi="Times New Roman" w:eastAsia="宋体" w:cs="Times New Roman"/>
                <w:color w:val="auto"/>
                <w:kern w:val="0"/>
                <w:sz w:val="24"/>
                <w:szCs w:val="24"/>
                <w:highlight w:val="none"/>
              </w:rPr>
              <w:t>固废堆放场的环境保护图形标志的具体要求见</w:t>
            </w:r>
            <w:r>
              <w:rPr>
                <w:rFonts w:hint="eastAsia" w:ascii="Times New Roman" w:hAnsi="Times New Roman" w:eastAsia="宋体" w:cs="Times New Roman"/>
                <w:color w:val="auto"/>
                <w:kern w:val="0"/>
                <w:sz w:val="24"/>
                <w:szCs w:val="24"/>
                <w:highlight w:val="none"/>
                <w:lang w:val="en-US" w:eastAsia="zh-CN"/>
              </w:rPr>
              <w:t>下</w:t>
            </w:r>
            <w:r>
              <w:rPr>
                <w:rFonts w:hint="default" w:ascii="Times New Roman" w:hAnsi="Times New Roman" w:eastAsia="宋体" w:cs="Times New Roman"/>
                <w:color w:val="auto"/>
                <w:kern w:val="0"/>
                <w:sz w:val="24"/>
                <w:szCs w:val="24"/>
                <w:highlight w:val="none"/>
              </w:rPr>
              <w:t>表。</w:t>
            </w:r>
          </w:p>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ascii="Times New Roman" w:hAnsi="Times New Roman" w:eastAsia="宋体" w:cs="Times New Roman"/>
                <w:b/>
                <w:color w:val="auto"/>
                <w:sz w:val="24"/>
                <w:szCs w:val="24"/>
                <w:highlight w:val="none"/>
                <w:lang w:val="en-US" w:eastAsia="zh-CN"/>
              </w:rPr>
              <w:t>4-2</w:t>
            </w:r>
            <w:r>
              <w:rPr>
                <w:rFonts w:hint="eastAsia" w:cs="Times New Roman"/>
                <w:b/>
                <w:color w:val="auto"/>
                <w:sz w:val="24"/>
                <w:szCs w:val="24"/>
                <w:highlight w:val="none"/>
                <w:lang w:val="en-US" w:eastAsia="zh-CN"/>
              </w:rPr>
              <w:t xml:space="preserve">9 </w:t>
            </w:r>
            <w:r>
              <w:rPr>
                <w:rFonts w:hint="default" w:ascii="Times New Roman" w:hAnsi="Times New Roman" w:eastAsia="宋体" w:cs="Times New Roman"/>
                <w:b/>
                <w:color w:val="auto"/>
                <w:sz w:val="24"/>
                <w:szCs w:val="24"/>
                <w:highlight w:val="none"/>
              </w:rPr>
              <w:t xml:space="preserve"> 固废堆放场的环境保护图形标志一览表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222"/>
              <w:gridCol w:w="1641"/>
              <w:gridCol w:w="1342"/>
              <w:gridCol w:w="1228"/>
              <w:gridCol w:w="1228"/>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222" w:type="dxa"/>
                  <w:noWrap w:val="0"/>
                  <w:vAlign w:val="center"/>
                </w:tcPr>
                <w:p>
                  <w:pPr>
                    <w:autoSpaceDE w:val="0"/>
                    <w:autoSpaceDN w:val="0"/>
                    <w:adjustRightInd w:val="0"/>
                    <w:snapToGrid w:val="0"/>
                    <w:jc w:val="center"/>
                    <w:rPr>
                      <w:rFonts w:ascii="Times New Roman" w:hAnsi="Times New Roman"/>
                      <w:b/>
                      <w:bCs/>
                      <w:color w:val="auto"/>
                      <w:sz w:val="21"/>
                      <w:szCs w:val="21"/>
                    </w:rPr>
                  </w:pPr>
                  <w:r>
                    <w:rPr>
                      <w:rFonts w:ascii="Times New Roman" w:hAnsi="Times New Roman"/>
                      <w:b/>
                      <w:bCs/>
                      <w:color w:val="auto"/>
                      <w:sz w:val="21"/>
                      <w:szCs w:val="21"/>
                    </w:rPr>
                    <w:t>排放口名称</w:t>
                  </w:r>
                </w:p>
              </w:tc>
              <w:tc>
                <w:tcPr>
                  <w:tcW w:w="1641" w:type="dxa"/>
                  <w:noWrap w:val="0"/>
                  <w:vAlign w:val="center"/>
                </w:tcPr>
                <w:p>
                  <w:pPr>
                    <w:autoSpaceDE w:val="0"/>
                    <w:autoSpaceDN w:val="0"/>
                    <w:adjustRightInd w:val="0"/>
                    <w:snapToGrid w:val="0"/>
                    <w:jc w:val="center"/>
                    <w:rPr>
                      <w:rFonts w:ascii="Times New Roman" w:hAnsi="Times New Roman"/>
                      <w:b/>
                      <w:bCs/>
                      <w:color w:val="auto"/>
                      <w:sz w:val="21"/>
                      <w:szCs w:val="21"/>
                    </w:rPr>
                  </w:pPr>
                  <w:r>
                    <w:rPr>
                      <w:rFonts w:ascii="Times New Roman" w:hAnsi="Times New Roman"/>
                      <w:b/>
                      <w:bCs/>
                      <w:color w:val="auto"/>
                      <w:sz w:val="21"/>
                      <w:szCs w:val="21"/>
                    </w:rPr>
                    <w:t>图形标志</w:t>
                  </w:r>
                </w:p>
              </w:tc>
              <w:tc>
                <w:tcPr>
                  <w:tcW w:w="1342" w:type="dxa"/>
                  <w:noWrap w:val="0"/>
                  <w:vAlign w:val="center"/>
                </w:tcPr>
                <w:p>
                  <w:pPr>
                    <w:autoSpaceDE w:val="0"/>
                    <w:autoSpaceDN w:val="0"/>
                    <w:adjustRightInd w:val="0"/>
                    <w:snapToGrid w:val="0"/>
                    <w:jc w:val="center"/>
                    <w:rPr>
                      <w:rFonts w:ascii="Times New Roman" w:hAnsi="Times New Roman"/>
                      <w:b/>
                      <w:bCs/>
                      <w:color w:val="auto"/>
                      <w:sz w:val="21"/>
                      <w:szCs w:val="21"/>
                    </w:rPr>
                  </w:pPr>
                  <w:r>
                    <w:rPr>
                      <w:rFonts w:ascii="Times New Roman" w:hAnsi="Times New Roman"/>
                      <w:b/>
                      <w:bCs/>
                      <w:color w:val="auto"/>
                      <w:sz w:val="21"/>
                      <w:szCs w:val="21"/>
                    </w:rPr>
                    <w:t>形状</w:t>
                  </w:r>
                </w:p>
              </w:tc>
              <w:tc>
                <w:tcPr>
                  <w:tcW w:w="1228" w:type="dxa"/>
                  <w:noWrap w:val="0"/>
                  <w:vAlign w:val="center"/>
                </w:tcPr>
                <w:p>
                  <w:pPr>
                    <w:autoSpaceDE w:val="0"/>
                    <w:autoSpaceDN w:val="0"/>
                    <w:adjustRightInd w:val="0"/>
                    <w:snapToGrid w:val="0"/>
                    <w:jc w:val="center"/>
                    <w:rPr>
                      <w:rFonts w:ascii="Times New Roman" w:hAnsi="Times New Roman"/>
                      <w:b/>
                      <w:bCs/>
                      <w:color w:val="auto"/>
                      <w:sz w:val="21"/>
                      <w:szCs w:val="21"/>
                    </w:rPr>
                  </w:pPr>
                  <w:r>
                    <w:rPr>
                      <w:rFonts w:ascii="Times New Roman" w:hAnsi="Times New Roman"/>
                      <w:b/>
                      <w:bCs/>
                      <w:color w:val="auto"/>
                      <w:sz w:val="21"/>
                      <w:szCs w:val="21"/>
                    </w:rPr>
                    <w:t>背景颜色</w:t>
                  </w:r>
                </w:p>
              </w:tc>
              <w:tc>
                <w:tcPr>
                  <w:tcW w:w="1228" w:type="dxa"/>
                  <w:noWrap w:val="0"/>
                  <w:vAlign w:val="center"/>
                </w:tcPr>
                <w:p>
                  <w:pPr>
                    <w:autoSpaceDE w:val="0"/>
                    <w:autoSpaceDN w:val="0"/>
                    <w:adjustRightInd w:val="0"/>
                    <w:snapToGrid w:val="0"/>
                    <w:jc w:val="center"/>
                    <w:rPr>
                      <w:rFonts w:ascii="Times New Roman" w:hAnsi="Times New Roman"/>
                      <w:b/>
                      <w:bCs/>
                      <w:color w:val="auto"/>
                      <w:sz w:val="21"/>
                      <w:szCs w:val="21"/>
                    </w:rPr>
                  </w:pPr>
                  <w:r>
                    <w:rPr>
                      <w:rFonts w:ascii="Times New Roman" w:hAnsi="Times New Roman"/>
                      <w:b/>
                      <w:bCs/>
                      <w:color w:val="auto"/>
                      <w:sz w:val="21"/>
                      <w:szCs w:val="21"/>
                    </w:rPr>
                    <w:t>图形颜色</w:t>
                  </w:r>
                </w:p>
              </w:tc>
              <w:tc>
                <w:tcPr>
                  <w:tcW w:w="1843" w:type="dxa"/>
                  <w:noWrap w:val="0"/>
                  <w:vAlign w:val="center"/>
                </w:tcPr>
                <w:p>
                  <w:pPr>
                    <w:autoSpaceDE w:val="0"/>
                    <w:autoSpaceDN w:val="0"/>
                    <w:adjustRightInd w:val="0"/>
                    <w:snapToGrid w:val="0"/>
                    <w:jc w:val="center"/>
                    <w:rPr>
                      <w:rFonts w:ascii="Times New Roman" w:hAnsi="Times New Roman"/>
                      <w:b/>
                      <w:bCs/>
                      <w:color w:val="auto"/>
                      <w:sz w:val="21"/>
                      <w:szCs w:val="21"/>
                    </w:rPr>
                  </w:pPr>
                  <w:r>
                    <w:rPr>
                      <w:rFonts w:ascii="Times New Roman" w:hAnsi="Times New Roman"/>
                      <w:b/>
                      <w:bCs/>
                      <w:color w:val="auto"/>
                      <w:sz w:val="21"/>
                      <w:szCs w:val="21"/>
                    </w:rPr>
                    <w:t>图形标志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222" w:type="dxa"/>
                  <w:noWrap w:val="0"/>
                  <w:vAlign w:val="center"/>
                </w:tcPr>
                <w:p>
                  <w:pPr>
                    <w:autoSpaceDE w:val="0"/>
                    <w:autoSpaceDN w:val="0"/>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一般固废暂存场所</w:t>
                  </w:r>
                </w:p>
              </w:tc>
              <w:tc>
                <w:tcPr>
                  <w:tcW w:w="1641" w:type="dxa"/>
                  <w:noWrap w:val="0"/>
                  <w:vAlign w:val="center"/>
                </w:tcPr>
                <w:p>
                  <w:pPr>
                    <w:autoSpaceDE w:val="0"/>
                    <w:autoSpaceDN w:val="0"/>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提示标志</w:t>
                  </w:r>
                </w:p>
              </w:tc>
              <w:tc>
                <w:tcPr>
                  <w:tcW w:w="1342" w:type="dxa"/>
                  <w:noWrap w:val="0"/>
                  <w:vAlign w:val="center"/>
                </w:tcPr>
                <w:p>
                  <w:pPr>
                    <w:autoSpaceDE w:val="0"/>
                    <w:autoSpaceDN w:val="0"/>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正方形边框</w:t>
                  </w:r>
                </w:p>
              </w:tc>
              <w:tc>
                <w:tcPr>
                  <w:tcW w:w="1228" w:type="dxa"/>
                  <w:noWrap w:val="0"/>
                  <w:vAlign w:val="center"/>
                </w:tcPr>
                <w:p>
                  <w:pPr>
                    <w:autoSpaceDE w:val="0"/>
                    <w:autoSpaceDN w:val="0"/>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绿色</w:t>
                  </w:r>
                </w:p>
              </w:tc>
              <w:tc>
                <w:tcPr>
                  <w:tcW w:w="1228" w:type="dxa"/>
                  <w:noWrap w:val="0"/>
                  <w:vAlign w:val="center"/>
                </w:tcPr>
                <w:p>
                  <w:pPr>
                    <w:autoSpaceDE w:val="0"/>
                    <w:autoSpaceDN w:val="0"/>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白色</w:t>
                  </w:r>
                </w:p>
              </w:tc>
              <w:tc>
                <w:tcPr>
                  <w:tcW w:w="1843" w:type="dxa"/>
                  <w:noWrap w:val="0"/>
                  <w:vAlign w:val="center"/>
                </w:tcPr>
                <w:p>
                  <w:pPr>
                    <w:autoSpaceDE w:val="0"/>
                    <w:autoSpaceDN w:val="0"/>
                    <w:adjustRightInd w:val="0"/>
                    <w:snapToGrid w:val="0"/>
                    <w:jc w:val="center"/>
                    <w:rPr>
                      <w:rFonts w:ascii="Times New Roman" w:hAnsi="Times New Roman"/>
                      <w:color w:val="auto"/>
                      <w:kern w:val="2"/>
                      <w:sz w:val="21"/>
                      <w:szCs w:val="21"/>
                      <w:lang w:val="en-US" w:eastAsia="zh-CN" w:bidi="ar-SA"/>
                    </w:rPr>
                  </w:pPr>
                  <w:r>
                    <w:rPr>
                      <w:rFonts w:ascii="Times New Roman" w:hAnsi="Times New Roman"/>
                      <w:color w:val="auto"/>
                      <w:sz w:val="21"/>
                      <w:szCs w:val="21"/>
                      <w:lang w:val="zh-CN"/>
                    </w:rPr>
                    <w:drawing>
                      <wp:inline distT="0" distB="0" distL="114300" distR="114300">
                        <wp:extent cx="831215" cy="527050"/>
                        <wp:effectExtent l="0" t="0" r="6985" b="6350"/>
                        <wp:docPr id="4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
                                <pic:cNvPicPr>
                                  <a:picLocks noChangeAspect="1"/>
                                </pic:cNvPicPr>
                              </pic:nvPicPr>
                              <pic:blipFill>
                                <a:blip r:embed="rId39"/>
                                <a:stretch>
                                  <a:fillRect/>
                                </a:stretch>
                              </pic:blipFill>
                              <pic:spPr>
                                <a:xfrm flipH="1">
                                  <a:off x="0" y="0"/>
                                  <a:ext cx="831215" cy="52705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222" w:type="dxa"/>
                  <w:noWrap w:val="0"/>
                  <w:vAlign w:val="center"/>
                </w:tcPr>
                <w:p>
                  <w:pPr>
                    <w:autoSpaceDE w:val="0"/>
                    <w:autoSpaceDN w:val="0"/>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厂区门口</w:t>
                  </w:r>
                </w:p>
              </w:tc>
              <w:tc>
                <w:tcPr>
                  <w:tcW w:w="1641" w:type="dxa"/>
                  <w:noWrap w:val="0"/>
                  <w:vAlign w:val="center"/>
                </w:tcPr>
                <w:p>
                  <w:pPr>
                    <w:autoSpaceDE w:val="0"/>
                    <w:autoSpaceDN w:val="0"/>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提示标志</w:t>
                  </w:r>
                </w:p>
              </w:tc>
              <w:tc>
                <w:tcPr>
                  <w:tcW w:w="1342" w:type="dxa"/>
                  <w:noWrap w:val="0"/>
                  <w:vAlign w:val="center"/>
                </w:tcPr>
                <w:p>
                  <w:pPr>
                    <w:autoSpaceDE w:val="0"/>
                    <w:autoSpaceDN w:val="0"/>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正方形边框</w:t>
                  </w:r>
                </w:p>
              </w:tc>
              <w:tc>
                <w:tcPr>
                  <w:tcW w:w="1228" w:type="dxa"/>
                  <w:noWrap w:val="0"/>
                  <w:vAlign w:val="center"/>
                </w:tcPr>
                <w:p>
                  <w:pPr>
                    <w:autoSpaceDE w:val="0"/>
                    <w:autoSpaceDN w:val="0"/>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蓝色</w:t>
                  </w:r>
                </w:p>
              </w:tc>
              <w:tc>
                <w:tcPr>
                  <w:tcW w:w="1228" w:type="dxa"/>
                  <w:noWrap w:val="0"/>
                  <w:vAlign w:val="center"/>
                </w:tcPr>
                <w:p>
                  <w:pPr>
                    <w:autoSpaceDE w:val="0"/>
                    <w:autoSpaceDN w:val="0"/>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白色</w:t>
                  </w:r>
                </w:p>
              </w:tc>
              <w:tc>
                <w:tcPr>
                  <w:tcW w:w="1843" w:type="dxa"/>
                  <w:noWrap w:val="0"/>
                  <w:vAlign w:val="center"/>
                </w:tcPr>
                <w:p>
                  <w:pPr>
                    <w:autoSpaceDE w:val="0"/>
                    <w:autoSpaceDN w:val="0"/>
                    <w:adjustRightInd w:val="0"/>
                    <w:snapToGrid w:val="0"/>
                    <w:jc w:val="center"/>
                    <w:rPr>
                      <w:rFonts w:ascii="Times New Roman" w:hAnsi="Times New Roman"/>
                      <w:color w:val="auto"/>
                      <w:kern w:val="2"/>
                      <w:sz w:val="21"/>
                      <w:szCs w:val="21"/>
                      <w:lang w:val="en-US" w:eastAsia="zh-CN" w:bidi="ar-SA"/>
                    </w:rPr>
                  </w:pPr>
                  <w:r>
                    <w:rPr>
                      <w:rFonts w:ascii="Times New Roman" w:hAnsi="Times New Roman"/>
                      <w:color w:val="auto"/>
                      <w:sz w:val="21"/>
                      <w:szCs w:val="21"/>
                    </w:rPr>
                    <w:drawing>
                      <wp:inline distT="0" distB="0" distL="114300" distR="114300">
                        <wp:extent cx="895350" cy="597535"/>
                        <wp:effectExtent l="0" t="0" r="0" b="12065"/>
                        <wp:docPr id="5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1"/>
                                <pic:cNvPicPr>
                                  <a:picLocks noChangeAspect="1"/>
                                </pic:cNvPicPr>
                              </pic:nvPicPr>
                              <pic:blipFill>
                                <a:blip r:embed="rId40"/>
                                <a:stretch>
                                  <a:fillRect/>
                                </a:stretch>
                              </pic:blipFill>
                              <pic:spPr>
                                <a:xfrm flipH="1">
                                  <a:off x="0" y="0"/>
                                  <a:ext cx="895350" cy="59753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222" w:type="dxa"/>
                  <w:vMerge w:val="restart"/>
                  <w:noWrap w:val="0"/>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危险废物暂存场所</w:t>
                  </w:r>
                </w:p>
              </w:tc>
              <w:tc>
                <w:tcPr>
                  <w:tcW w:w="1641" w:type="dxa"/>
                  <w:vMerge w:val="restart"/>
                  <w:noWrap w:val="0"/>
                  <w:vAlign w:val="center"/>
                </w:tcPr>
                <w:p>
                  <w:pPr>
                    <w:autoSpaceDE w:val="0"/>
                    <w:autoSpaceDN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危险废物标签</w:t>
                  </w:r>
                </w:p>
              </w:tc>
              <w:tc>
                <w:tcPr>
                  <w:tcW w:w="1342" w:type="dxa"/>
                  <w:noWrap w:val="0"/>
                  <w:vAlign w:val="center"/>
                </w:tcPr>
                <w:p>
                  <w:pPr>
                    <w:autoSpaceDE w:val="0"/>
                    <w:autoSpaceDN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正方形边框</w:t>
                  </w:r>
                </w:p>
              </w:tc>
              <w:tc>
                <w:tcPr>
                  <w:tcW w:w="1228" w:type="dxa"/>
                  <w:noWrap w:val="0"/>
                  <w:vAlign w:val="center"/>
                </w:tcPr>
                <w:p>
                  <w:pPr>
                    <w:autoSpaceDE w:val="0"/>
                    <w:autoSpaceDN w:val="0"/>
                    <w:adjustRightInd w:val="0"/>
                    <w:snapToGrid w:val="0"/>
                    <w:jc w:val="center"/>
                    <w:rPr>
                      <w:rFonts w:hint="eastAsia" w:ascii="Times New Roman" w:hAnsi="Times New Roman"/>
                      <w:color w:val="auto"/>
                      <w:sz w:val="21"/>
                      <w:szCs w:val="21"/>
                    </w:rPr>
                  </w:pPr>
                  <w:r>
                    <w:rPr>
                      <w:rFonts w:hint="eastAsia" w:ascii="Times New Roman" w:hAnsi="Times New Roman"/>
                      <w:color w:val="auto"/>
                      <w:sz w:val="21"/>
                      <w:szCs w:val="21"/>
                    </w:rPr>
                    <w:t>橘黄色</w:t>
                  </w:r>
                </w:p>
              </w:tc>
              <w:tc>
                <w:tcPr>
                  <w:tcW w:w="1228" w:type="dxa"/>
                  <w:noWrap w:val="0"/>
                  <w:vAlign w:val="center"/>
                </w:tcPr>
                <w:p>
                  <w:pPr>
                    <w:autoSpaceDE w:val="0"/>
                    <w:autoSpaceDN w:val="0"/>
                    <w:adjustRightInd w:val="0"/>
                    <w:snapToGrid w:val="0"/>
                    <w:jc w:val="center"/>
                    <w:rPr>
                      <w:rFonts w:hint="eastAsia" w:ascii="Times New Roman" w:hAnsi="Times New Roman"/>
                      <w:color w:val="auto"/>
                      <w:sz w:val="21"/>
                      <w:szCs w:val="21"/>
                    </w:rPr>
                  </w:pPr>
                  <w:r>
                    <w:rPr>
                      <w:rFonts w:hint="eastAsia" w:ascii="Times New Roman" w:hAnsi="Times New Roman"/>
                      <w:color w:val="auto"/>
                      <w:sz w:val="21"/>
                      <w:szCs w:val="21"/>
                    </w:rPr>
                    <w:t>黑色</w:t>
                  </w:r>
                </w:p>
              </w:tc>
              <w:tc>
                <w:tcPr>
                  <w:tcW w:w="1843" w:type="dxa"/>
                  <w:noWrap w:val="0"/>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rPr>
                    <w:drawing>
                      <wp:inline distT="0" distB="0" distL="114300" distR="114300">
                        <wp:extent cx="626745" cy="631190"/>
                        <wp:effectExtent l="0" t="0" r="1905" b="16510"/>
                        <wp:docPr id="4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2"/>
                                <pic:cNvPicPr>
                                  <a:picLocks noChangeAspect="1"/>
                                </pic:cNvPicPr>
                              </pic:nvPicPr>
                              <pic:blipFill>
                                <a:blip r:embed="rId41"/>
                                <a:stretch>
                                  <a:fillRect/>
                                </a:stretch>
                              </pic:blipFill>
                              <pic:spPr>
                                <a:xfrm>
                                  <a:off x="0" y="0"/>
                                  <a:ext cx="626745" cy="63119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47" w:hRule="atLeast"/>
                <w:jc w:val="center"/>
              </w:trPr>
              <w:tc>
                <w:tcPr>
                  <w:tcW w:w="1222" w:type="dxa"/>
                  <w:vMerge w:val="continue"/>
                  <w:noWrap w:val="0"/>
                  <w:vAlign w:val="center"/>
                </w:tcPr>
                <w:p>
                  <w:pPr>
                    <w:autoSpaceDE w:val="0"/>
                    <w:autoSpaceDN w:val="0"/>
                    <w:adjustRightInd w:val="0"/>
                    <w:snapToGrid w:val="0"/>
                    <w:jc w:val="center"/>
                    <w:rPr>
                      <w:rFonts w:ascii="Times New Roman" w:hAnsi="Times New Roman"/>
                      <w:color w:val="auto"/>
                      <w:sz w:val="21"/>
                      <w:szCs w:val="21"/>
                    </w:rPr>
                  </w:pPr>
                </w:p>
              </w:tc>
              <w:tc>
                <w:tcPr>
                  <w:tcW w:w="1641" w:type="dxa"/>
                  <w:vMerge w:val="continue"/>
                  <w:noWrap w:val="0"/>
                  <w:vAlign w:val="center"/>
                </w:tcPr>
                <w:p>
                  <w:pPr>
                    <w:autoSpaceDE w:val="0"/>
                    <w:autoSpaceDN w:val="0"/>
                    <w:adjustRightInd w:val="0"/>
                    <w:snapToGrid w:val="0"/>
                    <w:jc w:val="center"/>
                    <w:rPr>
                      <w:rFonts w:hint="eastAsia" w:ascii="Times New Roman" w:hAnsi="Times New Roman"/>
                      <w:color w:val="auto"/>
                      <w:sz w:val="21"/>
                      <w:szCs w:val="21"/>
                    </w:rPr>
                  </w:pPr>
                </w:p>
              </w:tc>
              <w:tc>
                <w:tcPr>
                  <w:tcW w:w="5641" w:type="dxa"/>
                  <w:gridSpan w:val="4"/>
                  <w:noWrap w:val="0"/>
                  <w:vAlign w:val="center"/>
                </w:tcPr>
                <w:p>
                  <w:pPr>
                    <w:autoSpaceDE w:val="0"/>
                    <w:autoSpaceDN w:val="0"/>
                    <w:adjustRightInd w:val="0"/>
                    <w:snapToGrid w:val="0"/>
                    <w:rPr>
                      <w:rFonts w:ascii="Times New Roman" w:hAnsi="Times New Roman"/>
                      <w:color w:val="auto"/>
                    </w:rPr>
                  </w:pPr>
                  <w:r>
                    <w:rPr>
                      <w:rFonts w:ascii="Times New Roman" w:hAnsi="Times New Roman"/>
                      <w:color w:val="auto"/>
                    </w:rPr>
                    <w:drawing>
                      <wp:anchor distT="0" distB="0" distL="114300" distR="114300" simplePos="0" relativeHeight="251663360" behindDoc="0" locked="0" layoutInCell="1" allowOverlap="1">
                        <wp:simplePos x="0" y="0"/>
                        <wp:positionH relativeFrom="column">
                          <wp:posOffset>57150</wp:posOffset>
                        </wp:positionH>
                        <wp:positionV relativeFrom="paragraph">
                          <wp:posOffset>203200</wp:posOffset>
                        </wp:positionV>
                        <wp:extent cx="796925" cy="705485"/>
                        <wp:effectExtent l="0" t="0" r="3175" b="18415"/>
                        <wp:wrapTopAndBottom/>
                        <wp:docPr id="5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2"/>
                                <pic:cNvPicPr>
                                  <a:picLocks noChangeAspect="1"/>
                                </pic:cNvPicPr>
                              </pic:nvPicPr>
                              <pic:blipFill>
                                <a:blip r:embed="rId42"/>
                                <a:stretch>
                                  <a:fillRect/>
                                </a:stretch>
                              </pic:blipFill>
                              <pic:spPr>
                                <a:xfrm>
                                  <a:off x="0" y="0"/>
                                  <a:ext cx="796925" cy="705485"/>
                                </a:xfrm>
                                <a:prstGeom prst="rect">
                                  <a:avLst/>
                                </a:prstGeom>
                                <a:noFill/>
                                <a:ln>
                                  <a:noFill/>
                                </a:ln>
                              </pic:spPr>
                            </pic:pic>
                          </a:graphicData>
                        </a:graphic>
                      </wp:anchor>
                    </w:drawing>
                  </w:r>
                  <w:r>
                    <w:rPr>
                      <w:rFonts w:ascii="Times New Roman" w:hAnsi="Times New Roman"/>
                      <w:color w:val="auto"/>
                    </w:rPr>
                    <w:drawing>
                      <wp:anchor distT="0" distB="0" distL="114300" distR="114300" simplePos="0" relativeHeight="251666432" behindDoc="0" locked="0" layoutInCell="1" allowOverlap="1">
                        <wp:simplePos x="0" y="0"/>
                        <wp:positionH relativeFrom="column">
                          <wp:posOffset>2505075</wp:posOffset>
                        </wp:positionH>
                        <wp:positionV relativeFrom="paragraph">
                          <wp:posOffset>214630</wp:posOffset>
                        </wp:positionV>
                        <wp:extent cx="695960" cy="699135"/>
                        <wp:effectExtent l="0" t="0" r="8890" b="5715"/>
                        <wp:wrapTopAndBottom/>
                        <wp:docPr id="5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5"/>
                                <pic:cNvPicPr>
                                  <a:picLocks noChangeAspect="1"/>
                                </pic:cNvPicPr>
                              </pic:nvPicPr>
                              <pic:blipFill>
                                <a:blip r:embed="rId43"/>
                                <a:stretch>
                                  <a:fillRect/>
                                </a:stretch>
                              </pic:blipFill>
                              <pic:spPr>
                                <a:xfrm>
                                  <a:off x="0" y="0"/>
                                  <a:ext cx="695960" cy="699135"/>
                                </a:xfrm>
                                <a:prstGeom prst="rect">
                                  <a:avLst/>
                                </a:prstGeom>
                                <a:noFill/>
                                <a:ln>
                                  <a:noFill/>
                                </a:ln>
                              </pic:spPr>
                            </pic:pic>
                          </a:graphicData>
                        </a:graphic>
                      </wp:anchor>
                    </w:drawing>
                  </w:r>
                  <w:r>
                    <w:rPr>
                      <w:rFonts w:ascii="Times New Roman" w:hAnsi="Times New Roman"/>
                      <w:color w:val="auto"/>
                    </w:rPr>
                    <w:drawing>
                      <wp:anchor distT="0" distB="0" distL="114300" distR="114300" simplePos="0" relativeHeight="251665408" behindDoc="0" locked="0" layoutInCell="1" allowOverlap="1">
                        <wp:simplePos x="0" y="0"/>
                        <wp:positionH relativeFrom="column">
                          <wp:posOffset>1704975</wp:posOffset>
                        </wp:positionH>
                        <wp:positionV relativeFrom="paragraph">
                          <wp:posOffset>210820</wp:posOffset>
                        </wp:positionV>
                        <wp:extent cx="729615" cy="713740"/>
                        <wp:effectExtent l="0" t="0" r="13335" b="10160"/>
                        <wp:wrapTopAndBottom/>
                        <wp:docPr id="4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4"/>
                                <pic:cNvPicPr>
                                  <a:picLocks noChangeAspect="1"/>
                                </pic:cNvPicPr>
                              </pic:nvPicPr>
                              <pic:blipFill>
                                <a:blip r:embed="rId44"/>
                                <a:stretch>
                                  <a:fillRect/>
                                </a:stretch>
                              </pic:blipFill>
                              <pic:spPr>
                                <a:xfrm>
                                  <a:off x="0" y="0"/>
                                  <a:ext cx="729615" cy="713740"/>
                                </a:xfrm>
                                <a:prstGeom prst="rect">
                                  <a:avLst/>
                                </a:prstGeom>
                                <a:noFill/>
                                <a:ln>
                                  <a:noFill/>
                                </a:ln>
                              </pic:spPr>
                            </pic:pic>
                          </a:graphicData>
                        </a:graphic>
                      </wp:anchor>
                    </w:drawing>
                  </w:r>
                  <w:r>
                    <w:rPr>
                      <w:rFonts w:ascii="Times New Roman" w:hAnsi="Times New Roman"/>
                      <w:color w:val="auto"/>
                    </w:rPr>
                    <w:drawing>
                      <wp:anchor distT="0" distB="0" distL="114300" distR="114300" simplePos="0" relativeHeight="251664384" behindDoc="0" locked="0" layoutInCell="1" allowOverlap="1">
                        <wp:simplePos x="0" y="0"/>
                        <wp:positionH relativeFrom="column">
                          <wp:posOffset>904875</wp:posOffset>
                        </wp:positionH>
                        <wp:positionV relativeFrom="paragraph">
                          <wp:posOffset>207010</wp:posOffset>
                        </wp:positionV>
                        <wp:extent cx="738505" cy="713105"/>
                        <wp:effectExtent l="0" t="0" r="4445" b="10795"/>
                        <wp:wrapTopAndBottom/>
                        <wp:docPr id="5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3"/>
                                <pic:cNvPicPr>
                                  <a:picLocks noChangeAspect="1"/>
                                </pic:cNvPicPr>
                              </pic:nvPicPr>
                              <pic:blipFill>
                                <a:blip r:embed="rId45"/>
                                <a:stretch>
                                  <a:fillRect/>
                                </a:stretch>
                              </pic:blipFill>
                              <pic:spPr>
                                <a:xfrm>
                                  <a:off x="0" y="0"/>
                                  <a:ext cx="738505" cy="713105"/>
                                </a:xfrm>
                                <a:prstGeom prst="rect">
                                  <a:avLst/>
                                </a:prstGeom>
                                <a:noFill/>
                                <a:ln>
                                  <a:noFill/>
                                </a:ln>
                              </pic:spPr>
                            </pic:pic>
                          </a:graphicData>
                        </a:graphic>
                      </wp:anchor>
                    </w:drawing>
                  </w:r>
                  <w:r>
                    <w:rPr>
                      <w:rFonts w:hint="eastAsia" w:ascii="Times New Roman" w:hAnsi="Times New Roman"/>
                      <w:color w:val="auto"/>
                    </w:rPr>
                    <w:t>危险特性种类及警示图形：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autoSpaceDE w:val="0"/>
                    <w:autoSpaceDN w:val="0"/>
                    <w:adjustRightInd w:val="0"/>
                    <w:snapToGrid w:val="0"/>
                    <w:jc w:val="center"/>
                    <w:rPr>
                      <w:rFonts w:ascii="Times New Roman" w:hAnsi="Times New Roman"/>
                      <w:color w:val="auto"/>
                      <w:sz w:val="21"/>
                      <w:szCs w:val="21"/>
                    </w:rPr>
                  </w:pPr>
                </w:p>
              </w:tc>
              <w:tc>
                <w:tcPr>
                  <w:tcW w:w="1641" w:type="dxa"/>
                  <w:noWrap w:val="0"/>
                  <w:vAlign w:val="center"/>
                </w:tcPr>
                <w:p>
                  <w:pPr>
                    <w:autoSpaceDE w:val="0"/>
                    <w:autoSpaceDN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危险废物贮存分区标志</w:t>
                  </w:r>
                </w:p>
              </w:tc>
              <w:tc>
                <w:tcPr>
                  <w:tcW w:w="1342" w:type="dxa"/>
                  <w:noWrap w:val="0"/>
                  <w:vAlign w:val="center"/>
                </w:tcPr>
                <w:p>
                  <w:pPr>
                    <w:autoSpaceDE w:val="0"/>
                    <w:autoSpaceDN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正方形边框</w:t>
                  </w:r>
                </w:p>
              </w:tc>
              <w:tc>
                <w:tcPr>
                  <w:tcW w:w="1228" w:type="dxa"/>
                  <w:noWrap w:val="0"/>
                  <w:vAlign w:val="center"/>
                </w:tcPr>
                <w:p>
                  <w:pPr>
                    <w:autoSpaceDE w:val="0"/>
                    <w:autoSpaceDN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黄色</w:t>
                  </w:r>
                </w:p>
              </w:tc>
              <w:tc>
                <w:tcPr>
                  <w:tcW w:w="1228" w:type="dxa"/>
                  <w:noWrap w:val="0"/>
                  <w:vAlign w:val="center"/>
                </w:tcPr>
                <w:p>
                  <w:pPr>
                    <w:autoSpaceDE w:val="0"/>
                    <w:autoSpaceDN w:val="0"/>
                    <w:adjustRightInd w:val="0"/>
                    <w:snapToGrid w:val="0"/>
                    <w:jc w:val="center"/>
                    <w:rPr>
                      <w:rFonts w:hint="eastAsia" w:ascii="Times New Roman" w:hAnsi="Times New Roman"/>
                      <w:color w:val="auto"/>
                      <w:sz w:val="21"/>
                      <w:szCs w:val="21"/>
                    </w:rPr>
                  </w:pPr>
                  <w:r>
                    <w:rPr>
                      <w:rFonts w:hint="eastAsia" w:ascii="Times New Roman" w:hAnsi="Times New Roman"/>
                      <w:color w:val="auto"/>
                      <w:sz w:val="21"/>
                      <w:szCs w:val="21"/>
                    </w:rPr>
                    <w:t>黑色</w:t>
                  </w:r>
                </w:p>
              </w:tc>
              <w:tc>
                <w:tcPr>
                  <w:tcW w:w="1843" w:type="dxa"/>
                  <w:noWrap w:val="0"/>
                  <w:vAlign w:val="center"/>
                </w:tcPr>
                <w:p>
                  <w:pPr>
                    <w:autoSpaceDE w:val="0"/>
                    <w:autoSpaceDN w:val="0"/>
                    <w:adjustRightInd w:val="0"/>
                    <w:snapToGrid w:val="0"/>
                    <w:jc w:val="center"/>
                    <w:rPr>
                      <w:rFonts w:ascii="Times New Roman" w:hAnsi="Times New Roman"/>
                      <w:color w:val="auto"/>
                    </w:rPr>
                  </w:pPr>
                  <w:r>
                    <w:rPr>
                      <w:rFonts w:ascii="Times New Roman" w:hAnsi="Times New Roman"/>
                      <w:color w:val="auto"/>
                    </w:rPr>
                    <w:drawing>
                      <wp:inline distT="0" distB="0" distL="114300" distR="114300">
                        <wp:extent cx="729615" cy="614045"/>
                        <wp:effectExtent l="0" t="0" r="13335" b="14605"/>
                        <wp:docPr id="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3"/>
                                <pic:cNvPicPr>
                                  <a:picLocks noChangeAspect="1"/>
                                </pic:cNvPicPr>
                              </pic:nvPicPr>
                              <pic:blipFill>
                                <a:blip r:embed="rId46"/>
                                <a:stretch>
                                  <a:fillRect/>
                                </a:stretch>
                              </pic:blipFill>
                              <pic:spPr>
                                <a:xfrm>
                                  <a:off x="0" y="0"/>
                                  <a:ext cx="729615" cy="61404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pPr>
                    <w:autoSpaceDE w:val="0"/>
                    <w:autoSpaceDN w:val="0"/>
                    <w:adjustRightInd w:val="0"/>
                    <w:snapToGrid w:val="0"/>
                    <w:jc w:val="center"/>
                    <w:rPr>
                      <w:rFonts w:ascii="Times New Roman" w:hAnsi="Times New Roman"/>
                      <w:color w:val="auto"/>
                      <w:sz w:val="21"/>
                      <w:szCs w:val="21"/>
                    </w:rPr>
                  </w:pPr>
                </w:p>
              </w:tc>
              <w:tc>
                <w:tcPr>
                  <w:tcW w:w="1641" w:type="dxa"/>
                  <w:noWrap w:val="0"/>
                  <w:vAlign w:val="center"/>
                </w:tcPr>
                <w:p>
                  <w:pPr>
                    <w:autoSpaceDE w:val="0"/>
                    <w:autoSpaceDN w:val="0"/>
                    <w:adjustRightInd w:val="0"/>
                    <w:snapToGrid w:val="0"/>
                    <w:jc w:val="center"/>
                    <w:rPr>
                      <w:rFonts w:hint="eastAsia" w:ascii="Times New Roman" w:hAnsi="Times New Roman"/>
                      <w:color w:val="auto"/>
                      <w:sz w:val="21"/>
                      <w:szCs w:val="21"/>
                    </w:rPr>
                  </w:pPr>
                  <w:r>
                    <w:rPr>
                      <w:rFonts w:hint="eastAsia" w:ascii="Times New Roman" w:hAnsi="Times New Roman"/>
                      <w:color w:val="auto"/>
                      <w:sz w:val="21"/>
                      <w:szCs w:val="21"/>
                    </w:rPr>
                    <w:t>危险废物贮存、利用、处置设施标志</w:t>
                  </w:r>
                </w:p>
              </w:tc>
              <w:tc>
                <w:tcPr>
                  <w:tcW w:w="1342" w:type="dxa"/>
                  <w:noWrap w:val="0"/>
                  <w:vAlign w:val="center"/>
                </w:tcPr>
                <w:p>
                  <w:pPr>
                    <w:autoSpaceDE w:val="0"/>
                    <w:autoSpaceDN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长方形边框</w:t>
                  </w:r>
                </w:p>
              </w:tc>
              <w:tc>
                <w:tcPr>
                  <w:tcW w:w="1228" w:type="dxa"/>
                  <w:noWrap w:val="0"/>
                  <w:vAlign w:val="center"/>
                </w:tcPr>
                <w:p>
                  <w:pPr>
                    <w:autoSpaceDE w:val="0"/>
                    <w:autoSpaceDN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黄色</w:t>
                  </w:r>
                </w:p>
              </w:tc>
              <w:tc>
                <w:tcPr>
                  <w:tcW w:w="1228" w:type="dxa"/>
                  <w:noWrap w:val="0"/>
                  <w:vAlign w:val="center"/>
                </w:tcPr>
                <w:p>
                  <w:pPr>
                    <w:autoSpaceDE w:val="0"/>
                    <w:autoSpaceDN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黑色</w:t>
                  </w:r>
                </w:p>
              </w:tc>
              <w:tc>
                <w:tcPr>
                  <w:tcW w:w="1843" w:type="dxa"/>
                  <w:noWrap w:val="0"/>
                  <w:vAlign w:val="center"/>
                </w:tcPr>
                <w:p>
                  <w:pPr>
                    <w:autoSpaceDE w:val="0"/>
                    <w:autoSpaceDN w:val="0"/>
                    <w:adjustRightInd w:val="0"/>
                    <w:snapToGrid w:val="0"/>
                    <w:jc w:val="center"/>
                    <w:rPr>
                      <w:rFonts w:ascii="Times New Roman" w:hAnsi="Times New Roman"/>
                      <w:color w:val="auto"/>
                    </w:rPr>
                  </w:pPr>
                  <w:r>
                    <w:rPr>
                      <w:rFonts w:ascii="Times New Roman" w:hAnsi="Times New Roman"/>
                      <w:color w:val="auto"/>
                    </w:rPr>
                    <w:drawing>
                      <wp:inline distT="0" distB="0" distL="114300" distR="114300">
                        <wp:extent cx="751205" cy="473710"/>
                        <wp:effectExtent l="0" t="0" r="10795" b="2540"/>
                        <wp:docPr id="5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4"/>
                                <pic:cNvPicPr>
                                  <a:picLocks noChangeAspect="1"/>
                                </pic:cNvPicPr>
                              </pic:nvPicPr>
                              <pic:blipFill>
                                <a:blip r:embed="rId47"/>
                                <a:stretch>
                                  <a:fillRect/>
                                </a:stretch>
                              </pic:blipFill>
                              <pic:spPr>
                                <a:xfrm>
                                  <a:off x="0" y="0"/>
                                  <a:ext cx="751205" cy="473710"/>
                                </a:xfrm>
                                <a:prstGeom prst="rect">
                                  <a:avLst/>
                                </a:prstGeom>
                                <a:noFill/>
                                <a:ln>
                                  <a:noFill/>
                                </a:ln>
                              </pic:spPr>
                            </pic:pic>
                          </a:graphicData>
                        </a:graphic>
                      </wp:inline>
                    </w:drawing>
                  </w: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（9）危险废物运输过程的污染防治措施</w:t>
            </w:r>
          </w:p>
          <w:p>
            <w:pPr>
              <w:pStyle w:val="4"/>
              <w:pageBreakBefore w:val="0"/>
              <w:widowControl w:val="0"/>
              <w:kinsoku/>
              <w:wordWrap/>
              <w:overflowPunct/>
              <w:topLinePunct w:val="0"/>
              <w:bidi w:val="0"/>
              <w:spacing w:before="0" w:after="0" w:line="500" w:lineRule="exact"/>
              <w:ind w:firstLine="480" w:firstLineChars="200"/>
              <w:textAlignment w:val="auto"/>
              <w:rPr>
                <w:rFonts w:hint="default"/>
                <w:b w:val="0"/>
                <w:bCs w:val="0"/>
                <w:sz w:val="24"/>
                <w:szCs w:val="24"/>
                <w:lang w:val="en-US" w:eastAsia="zh-CN"/>
              </w:rPr>
            </w:pPr>
            <w:r>
              <w:rPr>
                <w:rFonts w:hint="eastAsia" w:cs="Times New Roman"/>
                <w:b w:val="0"/>
                <w:bCs w:val="0"/>
                <w:sz w:val="24"/>
                <w:szCs w:val="24"/>
                <w:lang w:val="en-US" w:eastAsia="zh-CN"/>
              </w:rPr>
              <w:t>本项目危险废物委托资质单位进行运输，在运输过程中要采用专用的车辆，密闭运输，严格禁止跑冒滴漏，杜绝在运输过程中造成环境的二次污染，在危险废物的运输中执行</w:t>
            </w:r>
            <w:r>
              <w:rPr>
                <w:rFonts w:hint="eastAsia" w:ascii="宋体" w:hAnsi="宋体" w:eastAsia="宋体" w:cs="宋体"/>
                <w:b w:val="0"/>
                <w:bCs w:val="0"/>
                <w:sz w:val="24"/>
                <w:szCs w:val="24"/>
                <w:lang w:val="en-US" w:eastAsia="zh-CN"/>
              </w:rPr>
              <w:t>《危险废物转移管理办法》中有关的规定和要求。</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（10）危险废物的日常管理</w:t>
            </w:r>
          </w:p>
          <w:p>
            <w:pPr>
              <w:pageBreakBefore w:val="0"/>
              <w:widowControl w:val="0"/>
              <w:kinsoku/>
              <w:wordWrap/>
              <w:overflowPunct/>
              <w:topLinePunct w:val="0"/>
              <w:autoSpaceDE w:val="0"/>
              <w:autoSpaceDN w:val="0"/>
              <w:bidi w:val="0"/>
              <w:adjustRightInd w:val="0"/>
              <w:spacing w:line="500" w:lineRule="exact"/>
              <w:ind w:firstLine="480" w:firstLineChars="200"/>
              <w:jc w:val="left"/>
              <w:textAlignment w:val="auto"/>
              <w:rPr>
                <w:color w:val="auto"/>
                <w:kern w:val="0"/>
                <w:sz w:val="24"/>
              </w:rPr>
            </w:pPr>
            <w:r>
              <w:rPr>
                <w:color w:val="auto"/>
                <w:kern w:val="0"/>
                <w:sz w:val="24"/>
              </w:rPr>
              <w:t>针对本项目正常运行阶段所产生的危险废物的日常管理提出要求：</w:t>
            </w:r>
          </w:p>
          <w:p>
            <w:pPr>
              <w:pageBreakBefore w:val="0"/>
              <w:widowControl w:val="0"/>
              <w:kinsoku/>
              <w:wordWrap/>
              <w:overflowPunct/>
              <w:topLinePunct w:val="0"/>
              <w:autoSpaceDE w:val="0"/>
              <w:autoSpaceDN w:val="0"/>
              <w:bidi w:val="0"/>
              <w:adjustRightInd w:val="0"/>
              <w:spacing w:line="500" w:lineRule="exact"/>
              <w:ind w:firstLine="480" w:firstLineChars="200"/>
              <w:jc w:val="left"/>
              <w:textAlignment w:val="auto"/>
              <w:rPr>
                <w:color w:val="auto"/>
                <w:kern w:val="0"/>
                <w:sz w:val="24"/>
              </w:rPr>
            </w:pPr>
            <w:r>
              <w:rPr>
                <w:color w:val="auto"/>
                <w:kern w:val="0"/>
                <w:sz w:val="24"/>
              </w:rPr>
              <w:t>①建设单位应通过</w:t>
            </w:r>
            <w:r>
              <w:rPr>
                <w:rFonts w:hint="eastAsia"/>
                <w:color w:val="auto"/>
                <w:kern w:val="0"/>
                <w:sz w:val="24"/>
              </w:rPr>
              <w:t>“江苏省污染源“一企一档”管理系统-“环保脸谱”企业端”（江苏省生态环境厅网站）</w:t>
            </w:r>
            <w:r>
              <w:rPr>
                <w:color w:val="auto"/>
                <w:kern w:val="0"/>
                <w:sz w:val="24"/>
              </w:rPr>
              <w:t>进行危险废物申报登记。将危险废物的实际产生、贮存、利用、处置等情况纳入生产记录，建立危险废物管理台账和企业内部产生和收集、贮存、转移等部门危险废物交接制度；</w:t>
            </w:r>
          </w:p>
          <w:p>
            <w:pPr>
              <w:pageBreakBefore w:val="0"/>
              <w:widowControl w:val="0"/>
              <w:kinsoku/>
              <w:wordWrap/>
              <w:overflowPunct/>
              <w:topLinePunct w:val="0"/>
              <w:autoSpaceDE w:val="0"/>
              <w:autoSpaceDN w:val="0"/>
              <w:bidi w:val="0"/>
              <w:adjustRightInd w:val="0"/>
              <w:spacing w:line="500" w:lineRule="exact"/>
              <w:ind w:firstLine="480" w:firstLineChars="200"/>
              <w:jc w:val="left"/>
              <w:textAlignment w:val="auto"/>
              <w:rPr>
                <w:color w:val="auto"/>
                <w:kern w:val="0"/>
                <w:sz w:val="24"/>
              </w:rPr>
            </w:pPr>
            <w:r>
              <w:rPr>
                <w:color w:val="auto"/>
                <w:kern w:val="0"/>
                <w:sz w:val="24"/>
              </w:rPr>
              <w:t>②建立台账管理制度，企业须做好危险废物情况的记录，记录上需注明危险废物的名称、来源、数量、特性和包装容器的类别</w:t>
            </w:r>
            <w:r>
              <w:rPr>
                <w:rFonts w:hint="eastAsia"/>
                <w:color w:val="auto"/>
                <w:kern w:val="0"/>
                <w:sz w:val="24"/>
              </w:rPr>
              <w:t>，</w:t>
            </w:r>
            <w:r>
              <w:rPr>
                <w:color w:val="auto"/>
                <w:kern w:val="0"/>
                <w:sz w:val="24"/>
              </w:rPr>
              <w:t>企业为固体废物污染防治的责任主体，应建立风险管理及应急救援体系，执行环境监测计划、转移管理制度及国家和省有关转移管理的相关规定、处置过程安全操作规程、人员培训考核制度、档案管理制度、处置全过程管理制度；</w:t>
            </w:r>
          </w:p>
          <w:p>
            <w:pPr>
              <w:pageBreakBefore w:val="0"/>
              <w:widowControl w:val="0"/>
              <w:kinsoku/>
              <w:wordWrap/>
              <w:overflowPunct/>
              <w:topLinePunct w:val="0"/>
              <w:autoSpaceDE w:val="0"/>
              <w:autoSpaceDN w:val="0"/>
              <w:bidi w:val="0"/>
              <w:adjustRightInd w:val="0"/>
              <w:spacing w:line="500" w:lineRule="exact"/>
              <w:ind w:firstLine="480" w:firstLineChars="200"/>
              <w:jc w:val="left"/>
              <w:textAlignment w:val="auto"/>
              <w:rPr>
                <w:color w:val="auto"/>
                <w:kern w:val="0"/>
                <w:sz w:val="24"/>
              </w:rPr>
            </w:pPr>
            <w:r>
              <w:rPr>
                <w:color w:val="auto"/>
                <w:kern w:val="0"/>
                <w:sz w:val="24"/>
              </w:rPr>
              <w:t>③委托处置应执行报批和转移等制度；</w:t>
            </w:r>
          </w:p>
          <w:p>
            <w:pPr>
              <w:pageBreakBefore w:val="0"/>
              <w:widowControl w:val="0"/>
              <w:kinsoku/>
              <w:wordWrap/>
              <w:overflowPunct/>
              <w:topLinePunct w:val="0"/>
              <w:autoSpaceDE w:val="0"/>
              <w:autoSpaceDN w:val="0"/>
              <w:bidi w:val="0"/>
              <w:adjustRightInd w:val="0"/>
              <w:spacing w:line="500" w:lineRule="exact"/>
              <w:ind w:firstLine="480" w:firstLineChars="200"/>
              <w:jc w:val="left"/>
              <w:textAlignment w:val="auto"/>
              <w:rPr>
                <w:color w:val="auto"/>
                <w:kern w:val="0"/>
                <w:sz w:val="24"/>
              </w:rPr>
            </w:pPr>
            <w:r>
              <w:rPr>
                <w:color w:val="auto"/>
                <w:kern w:val="0"/>
                <w:sz w:val="24"/>
              </w:rPr>
              <w:t>④定期对暂存的危险废物包装容器及贮存设施进行检查，及早发现破损，及时采取措施清理更换；</w:t>
            </w:r>
          </w:p>
          <w:p>
            <w:pPr>
              <w:pageBreakBefore w:val="0"/>
              <w:widowControl w:val="0"/>
              <w:kinsoku/>
              <w:wordWrap/>
              <w:overflowPunct/>
              <w:topLinePunct w:val="0"/>
              <w:autoSpaceDE w:val="0"/>
              <w:autoSpaceDN w:val="0"/>
              <w:bidi w:val="0"/>
              <w:adjustRightInd w:val="0"/>
              <w:spacing w:line="500" w:lineRule="exact"/>
              <w:ind w:firstLine="480" w:firstLineChars="200"/>
              <w:jc w:val="left"/>
              <w:textAlignment w:val="auto"/>
              <w:rPr>
                <w:color w:val="auto"/>
                <w:kern w:val="0"/>
                <w:sz w:val="24"/>
              </w:rPr>
            </w:pPr>
            <w:r>
              <w:rPr>
                <w:color w:val="auto"/>
                <w:kern w:val="0"/>
                <w:sz w:val="24"/>
              </w:rPr>
              <w:t>⑤直接从事收集、贮存、运输、利用、处置危险废物的人员，应当接受专业培训，经考核合格，方可从事该项工作。</w:t>
            </w:r>
          </w:p>
          <w:p>
            <w:pPr>
              <w:pageBreakBefore w:val="0"/>
              <w:widowControl w:val="0"/>
              <w:kinsoku/>
              <w:wordWrap/>
              <w:overflowPunct/>
              <w:topLinePunct w:val="0"/>
              <w:autoSpaceDE w:val="0"/>
              <w:autoSpaceDN w:val="0"/>
              <w:bidi w:val="0"/>
              <w:adjustRightInd w:val="0"/>
              <w:spacing w:line="500" w:lineRule="exact"/>
              <w:ind w:firstLine="480" w:firstLineChars="200"/>
              <w:jc w:val="left"/>
              <w:textAlignment w:val="auto"/>
              <w:rPr>
                <w:color w:val="auto"/>
                <w:kern w:val="0"/>
                <w:sz w:val="24"/>
              </w:rPr>
            </w:pPr>
            <w:r>
              <w:rPr>
                <w:color w:val="auto"/>
                <w:kern w:val="0"/>
                <w:sz w:val="24"/>
              </w:rPr>
              <w:t>⑥规范建设危险废物贮存场所并按照要求设置警告标志，危废包装、容器和贮存场所应按照《省生态环境厅关于进一步加强危险废物污染防治工作的实施意见》（〔2019〕327号）要求张贴标识。</w:t>
            </w:r>
          </w:p>
          <w:p>
            <w:pPr>
              <w:pageBreakBefore w:val="0"/>
              <w:widowControl w:val="0"/>
              <w:kinsoku/>
              <w:wordWrap/>
              <w:overflowPunct/>
              <w:topLinePunct w:val="0"/>
              <w:autoSpaceDE w:val="0"/>
              <w:autoSpaceDN w:val="0"/>
              <w:bidi w:val="0"/>
              <w:adjustRightInd w:val="0"/>
              <w:spacing w:line="500" w:lineRule="exact"/>
              <w:ind w:firstLine="480" w:firstLineChars="200"/>
              <w:jc w:val="left"/>
              <w:textAlignment w:val="auto"/>
              <w:rPr>
                <w:color w:val="auto"/>
                <w:kern w:val="0"/>
                <w:sz w:val="24"/>
              </w:rPr>
            </w:pPr>
            <w:r>
              <w:rPr>
                <w:color w:val="auto"/>
                <w:kern w:val="0"/>
                <w:sz w:val="24"/>
              </w:rPr>
              <w:t>⑦危废应根据其化学特性选择合适的容器和存放地点，通过密闭容器存放，不可混合贮存，容器标签必须标明废物种类、贮存时间，定期处理。</w:t>
            </w:r>
          </w:p>
          <w:p>
            <w:pPr>
              <w:pageBreakBefore w:val="0"/>
              <w:widowControl w:val="0"/>
              <w:kinsoku/>
              <w:wordWrap/>
              <w:overflowPunct/>
              <w:topLinePunct w:val="0"/>
              <w:autoSpaceDE w:val="0"/>
              <w:autoSpaceDN w:val="0"/>
              <w:bidi w:val="0"/>
              <w:adjustRightInd w:val="0"/>
              <w:spacing w:line="500" w:lineRule="exact"/>
              <w:ind w:firstLine="480" w:firstLineChars="200"/>
              <w:jc w:val="left"/>
              <w:textAlignment w:val="auto"/>
              <w:rPr>
                <w:color w:val="auto"/>
                <w:kern w:val="0"/>
                <w:sz w:val="24"/>
              </w:rPr>
            </w:pPr>
            <w:r>
              <w:rPr>
                <w:color w:val="auto"/>
                <w:kern w:val="0"/>
                <w:sz w:val="24"/>
              </w:rPr>
              <w:t>⑧危险废物产生单位在关键位置设置在线视频监控，企业应指定专人专职维护视频监控设施运行，定期巡视并做好相应的监控运行、维修、使用记录，保持摄像头表面整洁干净、监控拍摄位置正确、监控设施完好无损，确保视频传输图像清晰、监控设备正常稳定运行。</w:t>
            </w:r>
          </w:p>
          <w:p>
            <w:pPr>
              <w:pageBreakBefore w:val="0"/>
              <w:widowControl w:val="0"/>
              <w:kinsoku/>
              <w:wordWrap/>
              <w:overflowPunct/>
              <w:topLinePunct w:val="0"/>
              <w:autoSpaceDE w:val="0"/>
              <w:autoSpaceDN w:val="0"/>
              <w:bidi w:val="0"/>
              <w:adjustRightInd w:val="0"/>
              <w:spacing w:line="500" w:lineRule="exact"/>
              <w:ind w:firstLine="482" w:firstLineChars="200"/>
              <w:jc w:val="left"/>
              <w:textAlignment w:val="auto"/>
              <w:rPr>
                <w:b/>
                <w:color w:val="auto"/>
                <w:sz w:val="24"/>
              </w:rPr>
            </w:pPr>
            <w:r>
              <w:rPr>
                <w:b/>
                <w:color w:val="auto"/>
                <w:sz w:val="24"/>
              </w:rPr>
              <w:t>（</w:t>
            </w:r>
            <w:r>
              <w:rPr>
                <w:rFonts w:hint="eastAsia"/>
                <w:b/>
                <w:color w:val="auto"/>
                <w:sz w:val="24"/>
                <w:lang w:val="en-US" w:eastAsia="zh-CN"/>
              </w:rPr>
              <w:t>11</w:t>
            </w:r>
            <w:r>
              <w:rPr>
                <w:b/>
                <w:color w:val="auto"/>
                <w:sz w:val="24"/>
              </w:rPr>
              <w:t>）</w:t>
            </w:r>
            <w:r>
              <w:rPr>
                <w:rFonts w:hint="default" w:ascii="Times New Roman" w:hAnsi="Times New Roman" w:cs="Times New Roman"/>
                <w:b/>
                <w:bCs/>
                <w:color w:val="auto"/>
                <w:sz w:val="24"/>
                <w:szCs w:val="24"/>
                <w:lang w:val="en-US" w:eastAsia="zh-CN"/>
              </w:rPr>
              <w:t>与《省生态环境厅关于进一步加强危险废物污染防治工作的实施意识》</w:t>
            </w:r>
            <w:r>
              <w:rPr>
                <w:b/>
                <w:color w:val="auto"/>
                <w:sz w:val="24"/>
              </w:rPr>
              <w:t>苏环办〔2019〕327号相符性分析</w:t>
            </w:r>
          </w:p>
          <w:p>
            <w:pPr>
              <w:pageBreakBefore w:val="0"/>
              <w:widowControl w:val="0"/>
              <w:numPr>
                <w:ilvl w:val="0"/>
                <w:numId w:val="0"/>
              </w:numPr>
              <w:kinsoku/>
              <w:wordWrap/>
              <w:overflowPunct/>
              <w:topLinePunct w:val="0"/>
              <w:bidi w:val="0"/>
              <w:adjustRightInd w:val="0"/>
              <w:snapToGrid w:val="0"/>
              <w:spacing w:line="500" w:lineRule="exact"/>
              <w:jc w:val="center"/>
              <w:textAlignment w:val="auto"/>
              <w:rPr>
                <w:rFonts w:hint="eastAsia" w:eastAsia="宋体"/>
                <w:b/>
                <w:color w:val="auto"/>
                <w:sz w:val="24"/>
                <w:lang w:val="en-US" w:eastAsia="zh-CN"/>
              </w:rPr>
            </w:pPr>
            <w:r>
              <w:rPr>
                <w:rFonts w:ascii="Times New Roman" w:hAnsi="Times New Roman"/>
                <w:b/>
                <w:bCs/>
                <w:color w:val="auto"/>
                <w:kern w:val="2"/>
                <w:sz w:val="24"/>
                <w:szCs w:val="24"/>
                <w:highlight w:val="none"/>
              </w:rPr>
              <w:t>表</w:t>
            </w:r>
            <w:r>
              <w:rPr>
                <w:rFonts w:hint="eastAsia"/>
                <w:b/>
                <w:bCs/>
                <w:color w:val="auto"/>
                <w:kern w:val="2"/>
                <w:sz w:val="24"/>
                <w:szCs w:val="24"/>
                <w:highlight w:val="none"/>
                <w:lang w:val="en-US" w:eastAsia="zh-CN"/>
              </w:rPr>
              <w:t xml:space="preserve">4-30  </w:t>
            </w:r>
            <w:r>
              <w:rPr>
                <w:b/>
                <w:color w:val="auto"/>
                <w:sz w:val="24"/>
              </w:rPr>
              <w:t>本项目与苏环办〔2019〕327号</w:t>
            </w:r>
            <w:r>
              <w:rPr>
                <w:rFonts w:hint="eastAsia"/>
                <w:b/>
                <w:color w:val="auto"/>
                <w:sz w:val="24"/>
                <w:lang w:val="en-US" w:eastAsia="zh-CN"/>
              </w:rPr>
              <w:t>文</w:t>
            </w:r>
            <w:r>
              <w:rPr>
                <w:b/>
                <w:color w:val="auto"/>
                <w:sz w:val="24"/>
              </w:rPr>
              <w:t>相符性</w:t>
            </w:r>
            <w:r>
              <w:rPr>
                <w:rFonts w:hint="eastAsia"/>
                <w:b/>
                <w:color w:val="auto"/>
                <w:sz w:val="24"/>
                <w:lang w:val="en-US" w:eastAsia="zh-CN"/>
              </w:rPr>
              <w:t>分析</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24"/>
              <w:gridCol w:w="3220"/>
              <w:gridCol w:w="4222"/>
              <w:gridCol w:w="5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08" w:type="pct"/>
                  <w:noWrap w:val="0"/>
                  <w:vAlign w:val="center"/>
                </w:tcPr>
                <w:p>
                  <w:pPr>
                    <w:pStyle w:val="35"/>
                    <w:adjustRightInd w:val="0"/>
                    <w:spacing w:line="240" w:lineRule="auto"/>
                    <w:ind w:firstLine="0" w:firstLineChars="0"/>
                    <w:jc w:val="center"/>
                    <w:rPr>
                      <w:rFonts w:ascii="Times New Roman" w:hAnsi="Times New Roman" w:eastAsia="宋体"/>
                      <w:b/>
                      <w:bCs/>
                      <w:color w:val="auto"/>
                      <w:sz w:val="21"/>
                      <w:szCs w:val="21"/>
                    </w:rPr>
                  </w:pPr>
                  <w:r>
                    <w:rPr>
                      <w:rFonts w:ascii="Times New Roman" w:hAnsi="Times New Roman" w:eastAsia="宋体"/>
                      <w:b/>
                      <w:bCs/>
                      <w:color w:val="auto"/>
                      <w:sz w:val="21"/>
                      <w:szCs w:val="21"/>
                    </w:rPr>
                    <w:t>序号</w:t>
                  </w:r>
                </w:p>
              </w:tc>
              <w:tc>
                <w:tcPr>
                  <w:tcW w:w="1893" w:type="pct"/>
                  <w:noWrap w:val="0"/>
                  <w:vAlign w:val="center"/>
                </w:tcPr>
                <w:p>
                  <w:pPr>
                    <w:pStyle w:val="35"/>
                    <w:adjustRightInd w:val="0"/>
                    <w:spacing w:line="240" w:lineRule="auto"/>
                    <w:ind w:firstLine="0" w:firstLineChars="0"/>
                    <w:jc w:val="center"/>
                    <w:rPr>
                      <w:rFonts w:ascii="Times New Roman" w:hAnsi="Times New Roman" w:eastAsia="宋体"/>
                      <w:b/>
                      <w:bCs/>
                      <w:color w:val="auto"/>
                      <w:sz w:val="21"/>
                      <w:szCs w:val="21"/>
                    </w:rPr>
                  </w:pPr>
                  <w:r>
                    <w:rPr>
                      <w:rFonts w:ascii="Times New Roman" w:hAnsi="Times New Roman" w:eastAsia="宋体"/>
                      <w:b/>
                      <w:bCs/>
                      <w:color w:val="auto"/>
                      <w:sz w:val="21"/>
                      <w:szCs w:val="21"/>
                    </w:rPr>
                    <w:t>文件规定要求</w:t>
                  </w:r>
                </w:p>
              </w:tc>
              <w:tc>
                <w:tcPr>
                  <w:tcW w:w="2482" w:type="pct"/>
                  <w:noWrap w:val="0"/>
                  <w:vAlign w:val="center"/>
                </w:tcPr>
                <w:p>
                  <w:pPr>
                    <w:pStyle w:val="35"/>
                    <w:adjustRightInd w:val="0"/>
                    <w:spacing w:line="240" w:lineRule="auto"/>
                    <w:ind w:firstLine="0" w:firstLineChars="0"/>
                    <w:jc w:val="center"/>
                    <w:rPr>
                      <w:rFonts w:ascii="Times New Roman" w:hAnsi="Times New Roman" w:eastAsia="宋体"/>
                      <w:b/>
                      <w:bCs/>
                      <w:color w:val="auto"/>
                      <w:sz w:val="21"/>
                      <w:szCs w:val="21"/>
                    </w:rPr>
                  </w:pPr>
                  <w:r>
                    <w:rPr>
                      <w:rFonts w:ascii="Times New Roman" w:hAnsi="Times New Roman" w:eastAsia="宋体"/>
                      <w:b/>
                      <w:bCs/>
                      <w:color w:val="auto"/>
                      <w:sz w:val="21"/>
                      <w:szCs w:val="21"/>
                    </w:rPr>
                    <w:t>拟实施情况</w:t>
                  </w:r>
                </w:p>
              </w:tc>
              <w:tc>
                <w:tcPr>
                  <w:tcW w:w="316" w:type="pct"/>
                  <w:noWrap w:val="0"/>
                  <w:vAlign w:val="center"/>
                </w:tcPr>
                <w:p>
                  <w:pPr>
                    <w:pStyle w:val="35"/>
                    <w:adjustRightInd w:val="0"/>
                    <w:spacing w:line="240" w:lineRule="auto"/>
                    <w:ind w:firstLine="0" w:firstLineChars="0"/>
                    <w:jc w:val="center"/>
                    <w:rPr>
                      <w:rFonts w:ascii="Times New Roman" w:hAnsi="Times New Roman" w:eastAsia="宋体"/>
                      <w:b/>
                      <w:bCs/>
                      <w:color w:val="auto"/>
                      <w:sz w:val="21"/>
                      <w:szCs w:val="21"/>
                    </w:rPr>
                  </w:pPr>
                  <w:r>
                    <w:rPr>
                      <w:rFonts w:ascii="Times New Roman" w:hAnsi="Times New Roman" w:eastAsia="宋体"/>
                      <w:b/>
                      <w:bCs/>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08"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1</w:t>
                  </w:r>
                </w:p>
              </w:tc>
              <w:tc>
                <w:tcPr>
                  <w:tcW w:w="1893"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对建设项目危险废物种类、数量、属性、贮存设施、利用或处置方式进行科学分析</w:t>
                  </w:r>
                </w:p>
              </w:tc>
              <w:tc>
                <w:tcPr>
                  <w:tcW w:w="2482" w:type="pct"/>
                  <w:noWrap w:val="0"/>
                  <w:vAlign w:val="center"/>
                </w:tcPr>
                <w:p>
                  <w:pPr>
                    <w:jc w:val="center"/>
                    <w:rPr>
                      <w:rFonts w:hint="eastAsia" w:ascii="Times New Roman" w:hAnsi="Times New Roman" w:eastAsia="宋体"/>
                      <w:color w:val="auto"/>
                      <w:sz w:val="21"/>
                      <w:szCs w:val="21"/>
                      <w:lang w:eastAsia="zh-CN"/>
                    </w:rPr>
                  </w:pPr>
                  <w:r>
                    <w:rPr>
                      <w:rFonts w:ascii="Times New Roman" w:hAnsi="Times New Roman" w:eastAsia="宋体"/>
                      <w:color w:val="auto"/>
                      <w:sz w:val="21"/>
                      <w:szCs w:val="21"/>
                    </w:rPr>
                    <w:t>本</w:t>
                  </w:r>
                  <w:r>
                    <w:rPr>
                      <w:color w:val="auto"/>
                      <w:kern w:val="0"/>
                      <w:sz w:val="21"/>
                      <w:szCs w:val="21"/>
                    </w:rPr>
                    <w:t>项目</w:t>
                  </w:r>
                  <w:r>
                    <w:rPr>
                      <w:rFonts w:hint="eastAsia"/>
                      <w:color w:val="auto"/>
                      <w:kern w:val="0"/>
                      <w:sz w:val="21"/>
                      <w:szCs w:val="21"/>
                      <w:lang w:val="en-US" w:eastAsia="zh-CN"/>
                    </w:rPr>
                    <w:t>产生</w:t>
                  </w:r>
                  <w:r>
                    <w:rPr>
                      <w:rFonts w:hint="eastAsia"/>
                      <w:color w:val="auto"/>
                      <w:kern w:val="0"/>
                      <w:sz w:val="21"/>
                      <w:szCs w:val="21"/>
                    </w:rPr>
                    <w:t>的</w:t>
                  </w:r>
                  <w:r>
                    <w:rPr>
                      <w:rFonts w:hint="eastAsia"/>
                      <w:color w:val="auto"/>
                      <w:kern w:val="0"/>
                      <w:sz w:val="21"/>
                      <w:szCs w:val="21"/>
                      <w:lang w:val="en-US" w:eastAsia="zh-CN"/>
                    </w:rPr>
                    <w:t>危险废物为废活性炭</w:t>
                  </w:r>
                  <w:r>
                    <w:rPr>
                      <w:rFonts w:hint="eastAsia"/>
                      <w:color w:val="auto"/>
                      <w:kern w:val="0"/>
                      <w:sz w:val="21"/>
                      <w:szCs w:val="21"/>
                      <w:lang w:eastAsia="zh-CN"/>
                    </w:rPr>
                    <w:t>（</w:t>
                  </w:r>
                  <w:r>
                    <w:rPr>
                      <w:color w:val="auto"/>
                      <w:sz w:val="21"/>
                      <w:szCs w:val="21"/>
                    </w:rPr>
                    <w:t>900-0</w:t>
                  </w:r>
                  <w:r>
                    <w:rPr>
                      <w:rFonts w:hint="eastAsia"/>
                      <w:color w:val="auto"/>
                      <w:sz w:val="21"/>
                      <w:szCs w:val="21"/>
                      <w:lang w:val="en-US" w:eastAsia="zh-CN"/>
                    </w:rPr>
                    <w:t>39-4</w:t>
                  </w:r>
                  <w:r>
                    <w:rPr>
                      <w:color w:val="auto"/>
                      <w:sz w:val="21"/>
                      <w:szCs w:val="21"/>
                    </w:rPr>
                    <w:t>9</w:t>
                  </w:r>
                  <w:r>
                    <w:rPr>
                      <w:rFonts w:hint="eastAsia"/>
                      <w:color w:val="auto"/>
                      <w:kern w:val="0"/>
                      <w:sz w:val="21"/>
                      <w:szCs w:val="21"/>
                      <w:lang w:eastAsia="zh-CN"/>
                    </w:rPr>
                    <w:t>）</w:t>
                  </w:r>
                  <w:r>
                    <w:rPr>
                      <w:rFonts w:hint="eastAsia"/>
                      <w:color w:val="auto"/>
                      <w:kern w:val="0"/>
                      <w:sz w:val="21"/>
                      <w:szCs w:val="21"/>
                      <w:lang w:val="en-US" w:eastAsia="zh-CN"/>
                    </w:rPr>
                    <w:t>、</w:t>
                  </w:r>
                  <w:r>
                    <w:rPr>
                      <w:color w:val="auto"/>
                      <w:kern w:val="0"/>
                      <w:sz w:val="21"/>
                      <w:szCs w:val="21"/>
                    </w:rPr>
                    <w:t>废劳保用品</w:t>
                  </w:r>
                  <w:r>
                    <w:rPr>
                      <w:rFonts w:hint="eastAsia"/>
                      <w:color w:val="auto"/>
                      <w:kern w:val="0"/>
                      <w:sz w:val="21"/>
                      <w:szCs w:val="21"/>
                      <w:lang w:eastAsia="zh-CN"/>
                    </w:rPr>
                    <w:t>（</w:t>
                  </w:r>
                  <w:r>
                    <w:rPr>
                      <w:rFonts w:ascii="Times New Roman" w:hAnsi="Times New Roman"/>
                      <w:color w:val="auto"/>
                      <w:sz w:val="21"/>
                      <w:szCs w:val="21"/>
                      <w:highlight w:val="none"/>
                    </w:rPr>
                    <w:t>900-041-49</w:t>
                  </w:r>
                  <w:r>
                    <w:rPr>
                      <w:rFonts w:hint="eastAsia"/>
                      <w:color w:val="auto"/>
                      <w:kern w:val="0"/>
                      <w:sz w:val="21"/>
                      <w:szCs w:val="21"/>
                      <w:lang w:eastAsia="zh-CN"/>
                    </w:rPr>
                    <w:t>）、</w:t>
                  </w:r>
                  <w:r>
                    <w:rPr>
                      <w:rFonts w:hint="eastAsia"/>
                      <w:color w:val="auto"/>
                      <w:kern w:val="0"/>
                      <w:sz w:val="21"/>
                      <w:szCs w:val="21"/>
                      <w:lang w:val="en-US" w:eastAsia="zh-CN"/>
                    </w:rPr>
                    <w:t>、</w:t>
                  </w:r>
                  <w:r>
                    <w:rPr>
                      <w:color w:val="auto"/>
                      <w:kern w:val="0"/>
                      <w:sz w:val="21"/>
                      <w:szCs w:val="21"/>
                    </w:rPr>
                    <w:t>采用袋装密封分区贮存在</w:t>
                  </w:r>
                  <w:r>
                    <w:rPr>
                      <w:rFonts w:hint="eastAsia"/>
                      <w:color w:val="auto"/>
                      <w:kern w:val="0"/>
                      <w:sz w:val="21"/>
                      <w:szCs w:val="21"/>
                      <w:lang w:eastAsia="zh-CN"/>
                    </w:rPr>
                    <w:t>危废贮存点</w:t>
                  </w:r>
                  <w:r>
                    <w:rPr>
                      <w:color w:val="auto"/>
                      <w:kern w:val="0"/>
                      <w:sz w:val="21"/>
                      <w:szCs w:val="21"/>
                    </w:rPr>
                    <w:t>，</w:t>
                  </w:r>
                  <w:r>
                    <w:rPr>
                      <w:rFonts w:hint="eastAsia"/>
                      <w:color w:val="auto"/>
                      <w:kern w:val="0"/>
                      <w:sz w:val="21"/>
                      <w:szCs w:val="21"/>
                      <w:lang w:val="en-US" w:eastAsia="zh-CN"/>
                    </w:rPr>
                    <w:t>废润滑油</w:t>
                  </w:r>
                  <w:r>
                    <w:rPr>
                      <w:rFonts w:hint="eastAsia"/>
                      <w:color w:val="auto"/>
                      <w:kern w:val="0"/>
                      <w:sz w:val="21"/>
                      <w:szCs w:val="21"/>
                      <w:lang w:eastAsia="zh-CN"/>
                    </w:rPr>
                    <w:t>（</w:t>
                  </w:r>
                  <w:r>
                    <w:rPr>
                      <w:color w:val="auto"/>
                      <w:sz w:val="21"/>
                      <w:szCs w:val="21"/>
                    </w:rPr>
                    <w:t>900-2</w:t>
                  </w:r>
                  <w:r>
                    <w:rPr>
                      <w:rFonts w:hint="eastAsia"/>
                      <w:color w:val="auto"/>
                      <w:sz w:val="21"/>
                      <w:szCs w:val="21"/>
                      <w:lang w:val="en-US" w:eastAsia="zh-CN"/>
                    </w:rPr>
                    <w:t>14</w:t>
                  </w:r>
                  <w:r>
                    <w:rPr>
                      <w:color w:val="auto"/>
                      <w:sz w:val="21"/>
                      <w:szCs w:val="21"/>
                    </w:rPr>
                    <w:t>-</w:t>
                  </w:r>
                  <w:r>
                    <w:rPr>
                      <w:rFonts w:hint="eastAsia"/>
                      <w:color w:val="auto"/>
                      <w:sz w:val="21"/>
                      <w:szCs w:val="21"/>
                      <w:lang w:val="en-US" w:eastAsia="zh-CN"/>
                    </w:rPr>
                    <w:t>08</w:t>
                  </w:r>
                  <w:r>
                    <w:rPr>
                      <w:rFonts w:hint="eastAsia"/>
                      <w:color w:val="auto"/>
                      <w:kern w:val="0"/>
                      <w:sz w:val="21"/>
                      <w:szCs w:val="21"/>
                      <w:lang w:eastAsia="zh-CN"/>
                    </w:rPr>
                    <w:t>）</w:t>
                  </w:r>
                  <w:r>
                    <w:rPr>
                      <w:rFonts w:hint="eastAsia"/>
                      <w:color w:val="auto"/>
                      <w:kern w:val="0"/>
                      <w:sz w:val="21"/>
                      <w:szCs w:val="21"/>
                      <w:lang w:val="en-US" w:eastAsia="zh-CN"/>
                    </w:rPr>
                    <w:t>、含油废液</w:t>
                  </w:r>
                  <w:r>
                    <w:rPr>
                      <w:rFonts w:hint="eastAsia"/>
                      <w:color w:val="auto"/>
                      <w:kern w:val="0"/>
                      <w:sz w:val="21"/>
                      <w:szCs w:val="21"/>
                      <w:lang w:eastAsia="zh-CN"/>
                    </w:rPr>
                    <w:t>（</w:t>
                  </w:r>
                  <w:r>
                    <w:rPr>
                      <w:rFonts w:hint="default" w:ascii="Times New Roman" w:hAnsi="Times New Roman" w:eastAsia="宋体" w:cs="Times New Roman"/>
                      <w:b w:val="0"/>
                      <w:bCs w:val="0"/>
                      <w:color w:val="auto"/>
                      <w:sz w:val="21"/>
                      <w:szCs w:val="21"/>
                      <w:highlight w:val="none"/>
                      <w:vertAlign w:val="baseline"/>
                      <w:lang w:val="en-US" w:eastAsia="zh-CN"/>
                    </w:rPr>
                    <w:t>900-007-09</w:t>
                  </w:r>
                  <w:r>
                    <w:rPr>
                      <w:rFonts w:hint="eastAsia"/>
                      <w:color w:val="auto"/>
                      <w:kern w:val="0"/>
                      <w:sz w:val="21"/>
                      <w:szCs w:val="21"/>
                      <w:lang w:eastAsia="zh-CN"/>
                    </w:rPr>
                    <w:t>）、</w:t>
                  </w:r>
                  <w:r>
                    <w:rPr>
                      <w:rFonts w:hint="eastAsia"/>
                      <w:color w:val="auto"/>
                      <w:kern w:val="0"/>
                      <w:sz w:val="21"/>
                      <w:szCs w:val="21"/>
                      <w:lang w:val="en-US" w:eastAsia="zh-CN"/>
                    </w:rPr>
                    <w:t>清洗废液（900-041-49）均桶装密封贮存在危废贮存点，</w:t>
                  </w:r>
                  <w:r>
                    <w:rPr>
                      <w:rFonts w:hint="eastAsia"/>
                      <w:color w:val="auto"/>
                      <w:sz w:val="21"/>
                      <w:szCs w:val="21"/>
                      <w:lang w:val="en-US" w:eastAsia="zh-CN"/>
                    </w:rPr>
                    <w:t>废包装桶（</w:t>
                  </w:r>
                  <w:r>
                    <w:rPr>
                      <w:color w:val="auto"/>
                      <w:sz w:val="21"/>
                      <w:szCs w:val="21"/>
                    </w:rPr>
                    <w:t>900-</w:t>
                  </w:r>
                  <w:r>
                    <w:rPr>
                      <w:rFonts w:hint="eastAsia"/>
                      <w:color w:val="auto"/>
                      <w:sz w:val="21"/>
                      <w:szCs w:val="21"/>
                      <w:lang w:val="en-US" w:eastAsia="zh-CN"/>
                    </w:rPr>
                    <w:t>041-49）、废润滑油桶（900-249-08）</w:t>
                  </w:r>
                  <w:r>
                    <w:rPr>
                      <w:color w:val="auto"/>
                      <w:sz w:val="21"/>
                      <w:szCs w:val="21"/>
                    </w:rPr>
                    <w:t>加盖密封贮存在</w:t>
                  </w:r>
                  <w:r>
                    <w:rPr>
                      <w:rFonts w:hint="eastAsia"/>
                      <w:color w:val="auto"/>
                      <w:sz w:val="21"/>
                      <w:szCs w:val="21"/>
                      <w:lang w:eastAsia="zh-CN"/>
                    </w:rPr>
                    <w:t>危废贮存点</w:t>
                  </w:r>
                  <w:r>
                    <w:rPr>
                      <w:color w:val="auto"/>
                      <w:sz w:val="21"/>
                      <w:szCs w:val="21"/>
                    </w:rPr>
                    <w:t>，贮存容器下方设置不锈钢托盘用以收集泄漏液体，</w:t>
                  </w:r>
                  <w:r>
                    <w:rPr>
                      <w:color w:val="auto"/>
                      <w:kern w:val="0"/>
                      <w:sz w:val="21"/>
                      <w:szCs w:val="21"/>
                    </w:rPr>
                    <w:t>定期委托具有危废资质单位及时清运。</w:t>
                  </w:r>
                </w:p>
              </w:tc>
              <w:tc>
                <w:tcPr>
                  <w:tcW w:w="316"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08"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2</w:t>
                  </w:r>
                </w:p>
              </w:tc>
              <w:tc>
                <w:tcPr>
                  <w:tcW w:w="1893"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对建设项目环境影响以及环境风险评价，并提出切实可行的污染防治对策措施</w:t>
                  </w:r>
                </w:p>
              </w:tc>
              <w:tc>
                <w:tcPr>
                  <w:tcW w:w="2482"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本项目</w:t>
                  </w:r>
                  <w:r>
                    <w:rPr>
                      <w:rFonts w:hint="eastAsia" w:ascii="Times New Roman" w:hAnsi="Times New Roman" w:eastAsia="宋体"/>
                      <w:color w:val="auto"/>
                      <w:sz w:val="21"/>
                      <w:szCs w:val="21"/>
                      <w:lang w:eastAsia="zh-CN"/>
                    </w:rPr>
                    <w:t>危废贮存点</w:t>
                  </w:r>
                  <w:r>
                    <w:rPr>
                      <w:rFonts w:ascii="Times New Roman" w:hAnsi="Times New Roman" w:eastAsia="宋体"/>
                      <w:color w:val="auto"/>
                      <w:sz w:val="21"/>
                      <w:szCs w:val="21"/>
                    </w:rPr>
                    <w:t>地面采取防渗措施，</w:t>
                  </w:r>
                  <w:r>
                    <w:rPr>
                      <w:rFonts w:hint="eastAsia" w:ascii="Times New Roman" w:hAnsi="Times New Roman" w:eastAsia="宋体"/>
                      <w:color w:val="auto"/>
                      <w:sz w:val="21"/>
                      <w:szCs w:val="21"/>
                    </w:rPr>
                    <w:t>四周设截流槽截流沟</w:t>
                  </w:r>
                  <w:r>
                    <w:rPr>
                      <w:rFonts w:ascii="Times New Roman" w:hAnsi="Times New Roman" w:eastAsia="宋体"/>
                      <w:color w:val="auto"/>
                      <w:sz w:val="21"/>
                      <w:szCs w:val="21"/>
                    </w:rPr>
                    <w:t>。</w:t>
                  </w:r>
                </w:p>
              </w:tc>
              <w:tc>
                <w:tcPr>
                  <w:tcW w:w="316"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08"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3</w:t>
                  </w:r>
                </w:p>
              </w:tc>
              <w:tc>
                <w:tcPr>
                  <w:tcW w:w="1893"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企业应根据危险废物的种类和特性进行分区、分类贮存</w:t>
                  </w:r>
                </w:p>
              </w:tc>
              <w:tc>
                <w:tcPr>
                  <w:tcW w:w="2482" w:type="pct"/>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本</w:t>
                  </w:r>
                  <w:r>
                    <w:rPr>
                      <w:rFonts w:hint="eastAsia"/>
                      <w:color w:val="auto"/>
                      <w:kern w:val="0"/>
                      <w:sz w:val="21"/>
                      <w:szCs w:val="21"/>
                    </w:rPr>
                    <w:t>项目</w:t>
                  </w:r>
                  <w:r>
                    <w:rPr>
                      <w:rFonts w:hint="eastAsia"/>
                      <w:color w:val="auto"/>
                      <w:kern w:val="0"/>
                      <w:sz w:val="21"/>
                      <w:szCs w:val="21"/>
                      <w:lang w:val="en-US" w:eastAsia="zh-CN"/>
                    </w:rPr>
                    <w:t>危险废物：</w:t>
                  </w:r>
                  <w:r>
                    <w:rPr>
                      <w:rFonts w:hint="eastAsia"/>
                      <w:color w:val="auto"/>
                      <w:kern w:val="0"/>
                      <w:sz w:val="21"/>
                      <w:szCs w:val="21"/>
                    </w:rPr>
                    <w:t>废活性炭、废劳保用品采用袋装密封分区贮存在</w:t>
                  </w:r>
                  <w:r>
                    <w:rPr>
                      <w:rFonts w:hint="eastAsia"/>
                      <w:color w:val="auto"/>
                      <w:kern w:val="0"/>
                      <w:sz w:val="21"/>
                      <w:szCs w:val="21"/>
                      <w:lang w:eastAsia="zh-CN"/>
                    </w:rPr>
                    <w:t>危废贮存点</w:t>
                  </w:r>
                  <w:r>
                    <w:rPr>
                      <w:rFonts w:hint="eastAsia"/>
                      <w:color w:val="auto"/>
                      <w:kern w:val="0"/>
                      <w:sz w:val="21"/>
                      <w:szCs w:val="21"/>
                    </w:rPr>
                    <w:t>，废润滑油、含油废</w:t>
                  </w:r>
                  <w:r>
                    <w:rPr>
                      <w:rFonts w:hint="eastAsia"/>
                      <w:color w:val="auto"/>
                      <w:kern w:val="0"/>
                      <w:sz w:val="21"/>
                      <w:szCs w:val="21"/>
                      <w:lang w:val="en-US" w:eastAsia="zh-CN"/>
                    </w:rPr>
                    <w:t>液、清洗废液</w:t>
                  </w:r>
                  <w:r>
                    <w:rPr>
                      <w:rFonts w:hint="eastAsia"/>
                      <w:color w:val="auto"/>
                      <w:kern w:val="0"/>
                      <w:sz w:val="21"/>
                      <w:szCs w:val="21"/>
                    </w:rPr>
                    <w:t>均桶装密封贮存在</w:t>
                  </w:r>
                  <w:r>
                    <w:rPr>
                      <w:rFonts w:hint="eastAsia"/>
                      <w:color w:val="auto"/>
                      <w:kern w:val="0"/>
                      <w:sz w:val="21"/>
                      <w:szCs w:val="21"/>
                      <w:lang w:eastAsia="zh-CN"/>
                    </w:rPr>
                    <w:t>危废贮存点</w:t>
                  </w:r>
                  <w:r>
                    <w:rPr>
                      <w:rFonts w:hint="eastAsia"/>
                      <w:color w:val="auto"/>
                      <w:kern w:val="0"/>
                      <w:sz w:val="21"/>
                      <w:szCs w:val="21"/>
                    </w:rPr>
                    <w:t>，</w:t>
                  </w:r>
                  <w:r>
                    <w:rPr>
                      <w:rFonts w:hint="eastAsia"/>
                      <w:color w:val="auto"/>
                      <w:kern w:val="0"/>
                      <w:sz w:val="21"/>
                      <w:szCs w:val="21"/>
                      <w:lang w:val="en-US" w:eastAsia="zh-CN"/>
                    </w:rPr>
                    <w:t>废包装</w:t>
                  </w:r>
                  <w:r>
                    <w:rPr>
                      <w:rFonts w:hint="eastAsia"/>
                      <w:color w:val="auto"/>
                      <w:kern w:val="0"/>
                      <w:sz w:val="21"/>
                      <w:szCs w:val="21"/>
                    </w:rPr>
                    <w:t>桶</w:t>
                  </w:r>
                  <w:r>
                    <w:rPr>
                      <w:rFonts w:hint="eastAsia"/>
                      <w:color w:val="auto"/>
                      <w:kern w:val="0"/>
                      <w:sz w:val="21"/>
                      <w:szCs w:val="21"/>
                      <w:lang w:eastAsia="zh-CN"/>
                    </w:rPr>
                    <w:t>、</w:t>
                  </w:r>
                  <w:r>
                    <w:rPr>
                      <w:rFonts w:hint="eastAsia"/>
                      <w:color w:val="auto"/>
                      <w:kern w:val="0"/>
                      <w:sz w:val="21"/>
                      <w:szCs w:val="21"/>
                      <w:lang w:val="en-US" w:eastAsia="zh-CN"/>
                    </w:rPr>
                    <w:t>废润滑油桶</w:t>
                  </w:r>
                  <w:r>
                    <w:rPr>
                      <w:rFonts w:hint="eastAsia"/>
                      <w:color w:val="auto"/>
                      <w:kern w:val="0"/>
                      <w:sz w:val="21"/>
                      <w:szCs w:val="21"/>
                    </w:rPr>
                    <w:t>加盖密封贮存在</w:t>
                  </w:r>
                  <w:r>
                    <w:rPr>
                      <w:rFonts w:hint="eastAsia"/>
                      <w:color w:val="auto"/>
                      <w:kern w:val="0"/>
                      <w:sz w:val="21"/>
                      <w:szCs w:val="21"/>
                      <w:lang w:eastAsia="zh-CN"/>
                    </w:rPr>
                    <w:t>危废贮存点</w:t>
                  </w:r>
                  <w:r>
                    <w:rPr>
                      <w:rFonts w:hint="eastAsia"/>
                      <w:color w:val="auto"/>
                      <w:kern w:val="0"/>
                      <w:sz w:val="21"/>
                      <w:szCs w:val="21"/>
                    </w:rPr>
                    <w:t>，贮存容器下方设置不锈钢托盘用以收集泄漏液体，定期委托具有危废资质单位及时清运</w:t>
                  </w:r>
                </w:p>
              </w:tc>
              <w:tc>
                <w:tcPr>
                  <w:tcW w:w="316"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08"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4</w:t>
                  </w:r>
                </w:p>
              </w:tc>
              <w:tc>
                <w:tcPr>
                  <w:tcW w:w="1893"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危险废物贮存设置防雨、防火、防雷、防扬散、防渗漏装置及泄漏液体收集装置</w:t>
                  </w:r>
                </w:p>
              </w:tc>
              <w:tc>
                <w:tcPr>
                  <w:tcW w:w="2482"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hint="eastAsia" w:ascii="Times New Roman" w:hAnsi="Times New Roman" w:eastAsia="宋体" w:cs="Times New Roman"/>
                      <w:color w:val="auto"/>
                      <w:kern w:val="2"/>
                      <w:sz w:val="21"/>
                      <w:szCs w:val="21"/>
                      <w:highlight w:val="none"/>
                      <w:lang w:val="en-US" w:eastAsia="zh-CN" w:bidi="ar-SA"/>
                    </w:rPr>
                    <w:t>危废贮存点</w:t>
                  </w:r>
                  <w:r>
                    <w:rPr>
                      <w:rFonts w:hint="default" w:ascii="Times New Roman" w:hAnsi="Times New Roman" w:eastAsia="宋体" w:cs="Times New Roman"/>
                      <w:color w:val="auto"/>
                      <w:kern w:val="2"/>
                      <w:sz w:val="21"/>
                      <w:szCs w:val="21"/>
                      <w:highlight w:val="none"/>
                      <w:lang w:val="en-US" w:eastAsia="zh-CN" w:bidi="ar-SA"/>
                    </w:rPr>
                    <w:t>设置防雷装置</w:t>
                  </w:r>
                  <w:r>
                    <w:rPr>
                      <w:rFonts w:ascii="Times New Roman" w:hAnsi="Times New Roman" w:eastAsia="宋体"/>
                      <w:color w:val="auto"/>
                      <w:sz w:val="21"/>
                      <w:szCs w:val="21"/>
                    </w:rPr>
                    <w:t>，仓库密闭，地面防渗处理，</w:t>
                  </w:r>
                  <w:r>
                    <w:rPr>
                      <w:rFonts w:hint="eastAsia" w:ascii="Times New Roman" w:hAnsi="Times New Roman" w:eastAsia="宋体"/>
                      <w:color w:val="auto"/>
                      <w:sz w:val="21"/>
                      <w:szCs w:val="21"/>
                    </w:rPr>
                    <w:t>四周设截流槽截流沟</w:t>
                  </w:r>
                  <w:r>
                    <w:rPr>
                      <w:rFonts w:ascii="Times New Roman" w:hAnsi="Times New Roman" w:eastAsia="宋体"/>
                      <w:color w:val="auto"/>
                      <w:sz w:val="21"/>
                      <w:szCs w:val="21"/>
                    </w:rPr>
                    <w:t>，仓库内设禁火标志，配置灭火器材（如黄沙、灭火器等）。</w:t>
                  </w:r>
                </w:p>
              </w:tc>
              <w:tc>
                <w:tcPr>
                  <w:tcW w:w="316"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08"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5</w:t>
                  </w:r>
                </w:p>
              </w:tc>
              <w:tc>
                <w:tcPr>
                  <w:tcW w:w="1893"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对易爆、易燃及排出有毒气体的危险废物进行预处理，稳定后贮存</w:t>
                  </w:r>
                </w:p>
              </w:tc>
              <w:tc>
                <w:tcPr>
                  <w:tcW w:w="2482"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企业不涉及易燃、易爆以及排出有毒气体的危险废物</w:t>
                  </w:r>
                </w:p>
              </w:tc>
              <w:tc>
                <w:tcPr>
                  <w:tcW w:w="316"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08"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6</w:t>
                  </w:r>
                </w:p>
              </w:tc>
              <w:tc>
                <w:tcPr>
                  <w:tcW w:w="1893"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贮存废弃剧毒化学品的，应按照公安机关要求落实治安防范措施</w:t>
                  </w:r>
                </w:p>
              </w:tc>
              <w:tc>
                <w:tcPr>
                  <w:tcW w:w="2482"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企业危废不涉及废弃剧毒化学品</w:t>
                  </w:r>
                </w:p>
              </w:tc>
              <w:tc>
                <w:tcPr>
                  <w:tcW w:w="316"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08"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7</w:t>
                  </w:r>
                </w:p>
              </w:tc>
              <w:tc>
                <w:tcPr>
                  <w:tcW w:w="1893"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企业严格执行《省生态环境厅关于印发江苏省危险废物贮存规范化管理专项整治行动方案的通知》（苏环办〔2019〕149号）要求，按照《环境保护图形标志固体废物贮存（处置）场》（GB15562.2-1995）和危险废物识别标识设置规范设置标志（具体要求必须符合苏环办</w:t>
                  </w:r>
                  <w:r>
                    <w:rPr>
                      <w:rFonts w:hint="eastAsia" w:ascii="Times New Roman" w:hAnsi="Times New Roman" w:eastAsia="宋体"/>
                      <w:color w:val="auto"/>
                      <w:sz w:val="21"/>
                      <w:szCs w:val="21"/>
                    </w:rPr>
                    <w:t>〔</w:t>
                  </w:r>
                  <w:r>
                    <w:rPr>
                      <w:rFonts w:ascii="Times New Roman" w:hAnsi="Times New Roman" w:eastAsia="宋体"/>
                      <w:color w:val="auto"/>
                      <w:sz w:val="21"/>
                      <w:szCs w:val="21"/>
                    </w:rPr>
                    <w:t>2019</w:t>
                  </w:r>
                  <w:r>
                    <w:rPr>
                      <w:rFonts w:hint="eastAsia" w:ascii="Times New Roman" w:hAnsi="Times New Roman" w:eastAsia="宋体"/>
                      <w:color w:val="auto"/>
                      <w:sz w:val="21"/>
                      <w:szCs w:val="21"/>
                    </w:rPr>
                    <w:t>〕</w:t>
                  </w:r>
                  <w:r>
                    <w:rPr>
                      <w:rFonts w:ascii="Times New Roman" w:hAnsi="Times New Roman" w:eastAsia="宋体"/>
                      <w:color w:val="auto"/>
                      <w:sz w:val="21"/>
                      <w:szCs w:val="21"/>
                    </w:rPr>
                    <w:t>327号附件1“危险废物识别标识规范化设置要求”的规定）</w:t>
                  </w:r>
                </w:p>
              </w:tc>
              <w:tc>
                <w:tcPr>
                  <w:tcW w:w="2482"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厂区门口拟设置危废信息公开栏，</w:t>
                  </w:r>
                  <w:r>
                    <w:rPr>
                      <w:rFonts w:hint="eastAsia" w:ascii="Times New Roman" w:hAnsi="Times New Roman" w:eastAsia="宋体"/>
                      <w:color w:val="auto"/>
                      <w:sz w:val="21"/>
                      <w:szCs w:val="21"/>
                      <w:lang w:eastAsia="zh-CN"/>
                    </w:rPr>
                    <w:t>危废贮存点</w:t>
                  </w:r>
                  <w:r>
                    <w:rPr>
                      <w:rFonts w:ascii="Times New Roman" w:hAnsi="Times New Roman" w:eastAsia="宋体"/>
                      <w:color w:val="auto"/>
                      <w:sz w:val="21"/>
                      <w:szCs w:val="21"/>
                    </w:rPr>
                    <w:t>外墙及各类危废贮存处墙面设置贮存设施警示标志牌</w:t>
                  </w:r>
                </w:p>
              </w:tc>
              <w:tc>
                <w:tcPr>
                  <w:tcW w:w="316"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08"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8</w:t>
                  </w:r>
                </w:p>
              </w:tc>
              <w:tc>
                <w:tcPr>
                  <w:tcW w:w="1893"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危废贮存点</w:t>
                  </w:r>
                  <w:r>
                    <w:rPr>
                      <w:rFonts w:ascii="Times New Roman" w:hAnsi="Times New Roman" w:eastAsia="宋体"/>
                      <w:color w:val="auto"/>
                      <w:sz w:val="21"/>
                      <w:szCs w:val="21"/>
                    </w:rPr>
                    <w:t>须配备通讯设备、照明设施和消防设施</w:t>
                  </w:r>
                </w:p>
              </w:tc>
              <w:tc>
                <w:tcPr>
                  <w:tcW w:w="2482"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危废贮存点</w:t>
                  </w:r>
                  <w:r>
                    <w:rPr>
                      <w:rFonts w:ascii="Times New Roman" w:hAnsi="Times New Roman" w:eastAsia="宋体"/>
                      <w:color w:val="auto"/>
                      <w:sz w:val="21"/>
                      <w:szCs w:val="21"/>
                    </w:rPr>
                    <w:t>内拟配备通讯设备、防爆灯、禁火标志、灭火器（如黄沙）等</w:t>
                  </w:r>
                </w:p>
              </w:tc>
              <w:tc>
                <w:tcPr>
                  <w:tcW w:w="316"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08"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9</w:t>
                  </w:r>
                </w:p>
              </w:tc>
              <w:tc>
                <w:tcPr>
                  <w:tcW w:w="1893"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危险废物仓库须设置气体导出口及气体净化装置，确保废气达标排放</w:t>
                  </w:r>
                </w:p>
              </w:tc>
              <w:tc>
                <w:tcPr>
                  <w:tcW w:w="2482" w:type="pct"/>
                  <w:noWrap w:val="0"/>
                  <w:vAlign w:val="center"/>
                </w:tcPr>
                <w:p>
                  <w:pPr>
                    <w:pStyle w:val="35"/>
                    <w:adjustRightInd w:val="0"/>
                    <w:spacing w:line="240" w:lineRule="auto"/>
                    <w:ind w:firstLine="0" w:firstLineChars="0"/>
                    <w:jc w:val="center"/>
                    <w:rPr>
                      <w:rFonts w:hint="default" w:ascii="Times New Roman" w:hAnsi="Times New Roman" w:eastAsia="宋体"/>
                      <w:color w:val="auto"/>
                      <w:sz w:val="21"/>
                      <w:szCs w:val="21"/>
                      <w:lang w:val="en-US"/>
                    </w:rPr>
                  </w:pPr>
                  <w:r>
                    <w:rPr>
                      <w:rFonts w:hint="default" w:ascii="Times New Roman" w:hAnsi="Times New Roman" w:eastAsia="宋体" w:cs="Times New Roman"/>
                      <w:color w:val="auto"/>
                      <w:sz w:val="21"/>
                      <w:szCs w:val="21"/>
                      <w:highlight w:val="none"/>
                    </w:rPr>
                    <w:t>危险废物分类分区贮存于</w:t>
                  </w:r>
                  <w:r>
                    <w:rPr>
                      <w:rFonts w:hint="eastAsia" w:ascii="Times New Roman" w:hAnsi="Times New Roman" w:eastAsia="宋体" w:cs="Times New Roman"/>
                      <w:color w:val="auto"/>
                      <w:sz w:val="21"/>
                      <w:szCs w:val="21"/>
                      <w:highlight w:val="none"/>
                      <w:lang w:eastAsia="zh-CN"/>
                    </w:rPr>
                    <w:t>危废贮存点</w:t>
                  </w:r>
                  <w:r>
                    <w:rPr>
                      <w:rFonts w:hint="default" w:ascii="Times New Roman" w:hAnsi="Times New Roman" w:eastAsia="宋体" w:cs="Times New Roman"/>
                      <w:color w:val="auto"/>
                      <w:sz w:val="21"/>
                      <w:szCs w:val="21"/>
                      <w:highlight w:val="none"/>
                    </w:rPr>
                    <w:t>内</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olor w:val="auto"/>
                      <w:sz w:val="21"/>
                      <w:szCs w:val="21"/>
                      <w:lang w:val="en-US" w:eastAsia="zh-CN"/>
                    </w:rPr>
                    <w:t>不涉及粉尘、酸雾、有毒有害大气污染物和刺激性气味气体，不易产生VOCs，故本项目危废贮存点不需设置气体收集装置和气体净化设施，</w:t>
                  </w:r>
                  <w:r>
                    <w:rPr>
                      <w:rFonts w:hint="eastAsia" w:ascii="Times New Roman" w:hAnsi="Times New Roman" w:eastAsia="宋体"/>
                      <w:color w:val="auto"/>
                      <w:sz w:val="21"/>
                      <w:szCs w:val="21"/>
                    </w:rPr>
                    <w:t>微量的废气通过危废</w:t>
                  </w:r>
                  <w:r>
                    <w:rPr>
                      <w:rFonts w:hint="eastAsia" w:ascii="Times New Roman" w:hAnsi="Times New Roman" w:eastAsia="宋体"/>
                      <w:color w:val="auto"/>
                      <w:sz w:val="21"/>
                      <w:szCs w:val="21"/>
                      <w:lang w:val="en-US" w:eastAsia="zh-CN"/>
                    </w:rPr>
                    <w:t>贮存点</w:t>
                  </w:r>
                  <w:r>
                    <w:rPr>
                      <w:rFonts w:hint="eastAsia" w:ascii="Times New Roman" w:hAnsi="Times New Roman" w:eastAsia="宋体"/>
                      <w:color w:val="auto"/>
                      <w:sz w:val="21"/>
                      <w:szCs w:val="21"/>
                    </w:rPr>
                    <w:t>的自然通风排放</w:t>
                  </w:r>
                </w:p>
              </w:tc>
              <w:tc>
                <w:tcPr>
                  <w:tcW w:w="316"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08"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10</w:t>
                  </w:r>
                </w:p>
              </w:tc>
              <w:tc>
                <w:tcPr>
                  <w:tcW w:w="1893"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在危险废物仓库出入口、设施内部、危险废物运输车辆通道等关键位置按照危险废物贮存设施视频监控布设要求设置视频监控，并与中控室联网（具体要求必须符合苏环办</w:t>
                  </w:r>
                  <w:r>
                    <w:rPr>
                      <w:rFonts w:hint="eastAsia" w:ascii="Times New Roman" w:hAnsi="Times New Roman" w:eastAsia="宋体"/>
                      <w:color w:val="auto"/>
                      <w:sz w:val="21"/>
                      <w:szCs w:val="21"/>
                    </w:rPr>
                    <w:t>〔</w:t>
                  </w:r>
                  <w:r>
                    <w:rPr>
                      <w:rFonts w:ascii="Times New Roman" w:hAnsi="Times New Roman" w:eastAsia="宋体"/>
                      <w:color w:val="auto"/>
                      <w:sz w:val="21"/>
                      <w:szCs w:val="21"/>
                    </w:rPr>
                    <w:t>2019</w:t>
                  </w:r>
                  <w:r>
                    <w:rPr>
                      <w:rFonts w:hint="eastAsia" w:ascii="Times New Roman" w:hAnsi="Times New Roman" w:eastAsia="宋体"/>
                      <w:color w:val="auto"/>
                      <w:sz w:val="21"/>
                      <w:szCs w:val="21"/>
                    </w:rPr>
                    <w:t>〕</w:t>
                  </w:r>
                  <w:r>
                    <w:rPr>
                      <w:rFonts w:ascii="Times New Roman" w:hAnsi="Times New Roman" w:eastAsia="宋体"/>
                      <w:color w:val="auto"/>
                      <w:sz w:val="21"/>
                      <w:szCs w:val="21"/>
                    </w:rPr>
                    <w:t>327号附件2“危险废物贮存设施视频监控布设要求”的规定）</w:t>
                  </w:r>
                </w:p>
              </w:tc>
              <w:tc>
                <w:tcPr>
                  <w:tcW w:w="2482"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本次环评拟对</w:t>
                  </w:r>
                  <w:r>
                    <w:rPr>
                      <w:rFonts w:hint="eastAsia" w:ascii="Times New Roman" w:hAnsi="Times New Roman" w:eastAsia="宋体"/>
                      <w:color w:val="auto"/>
                      <w:sz w:val="21"/>
                      <w:szCs w:val="21"/>
                      <w:lang w:eastAsia="zh-CN"/>
                    </w:rPr>
                    <w:t>危废贮存点</w:t>
                  </w:r>
                  <w:r>
                    <w:rPr>
                      <w:rFonts w:ascii="Times New Roman" w:hAnsi="Times New Roman" w:eastAsia="宋体"/>
                      <w:color w:val="auto"/>
                      <w:sz w:val="21"/>
                      <w:szCs w:val="21"/>
                    </w:rPr>
                    <w:t>的建设提出设置监控系统的要求，主要在</w:t>
                  </w:r>
                  <w:r>
                    <w:rPr>
                      <w:rFonts w:hint="eastAsia" w:ascii="Times New Roman" w:hAnsi="Times New Roman" w:eastAsia="宋体"/>
                      <w:color w:val="auto"/>
                      <w:sz w:val="21"/>
                      <w:szCs w:val="21"/>
                      <w:lang w:val="en-US" w:eastAsia="zh-CN"/>
                    </w:rPr>
                    <w:t>贮存点</w:t>
                  </w:r>
                  <w:r>
                    <w:rPr>
                      <w:rFonts w:ascii="Times New Roman" w:hAnsi="Times New Roman" w:eastAsia="宋体"/>
                      <w:color w:val="auto"/>
                      <w:sz w:val="21"/>
                      <w:szCs w:val="21"/>
                    </w:rPr>
                    <w:t>出入口、</w:t>
                  </w:r>
                  <w:r>
                    <w:rPr>
                      <w:rFonts w:hint="eastAsia" w:ascii="Times New Roman" w:hAnsi="Times New Roman" w:eastAsia="宋体"/>
                      <w:color w:val="auto"/>
                      <w:sz w:val="21"/>
                      <w:szCs w:val="21"/>
                      <w:lang w:val="en-US" w:eastAsia="zh-CN"/>
                    </w:rPr>
                    <w:t>贮存点</w:t>
                  </w:r>
                  <w:r>
                    <w:rPr>
                      <w:rFonts w:ascii="Times New Roman" w:hAnsi="Times New Roman" w:eastAsia="宋体"/>
                      <w:color w:val="auto"/>
                      <w:sz w:val="21"/>
                      <w:szCs w:val="21"/>
                    </w:rPr>
                    <w:t>内、厂门口等关键位置安装视频监控设施，进行实时监控，并与中控室联网。</w:t>
                  </w:r>
                </w:p>
              </w:tc>
              <w:tc>
                <w:tcPr>
                  <w:tcW w:w="316"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08"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11</w:t>
                  </w:r>
                </w:p>
              </w:tc>
              <w:tc>
                <w:tcPr>
                  <w:tcW w:w="1893"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环评文件中涉及有副产品内容的，应严格对照《固体废物鉴别标准通则》（GB34330-2017），依据其产生来源、利用和处置过程等进行鉴别，禁止以副产品的名义逃避监管。</w:t>
                  </w:r>
                </w:p>
              </w:tc>
              <w:tc>
                <w:tcPr>
                  <w:tcW w:w="2482" w:type="pct"/>
                  <w:noWrap w:val="0"/>
                  <w:vAlign w:val="center"/>
                </w:tcPr>
                <w:p>
                  <w:pPr>
                    <w:pStyle w:val="35"/>
                    <w:adjustRightInd w:val="0"/>
                    <w:spacing w:line="240" w:lineRule="auto"/>
                    <w:ind w:firstLine="0" w:firstLineChars="0"/>
                    <w:jc w:val="center"/>
                    <w:rPr>
                      <w:rFonts w:hint="eastAsia" w:ascii="Times New Roman" w:hAnsi="Times New Roman" w:eastAsia="宋体"/>
                      <w:color w:val="auto"/>
                      <w:sz w:val="21"/>
                      <w:szCs w:val="21"/>
                    </w:rPr>
                  </w:pPr>
                  <w:r>
                    <w:rPr>
                      <w:rFonts w:ascii="Times New Roman" w:hAnsi="Times New Roman" w:eastAsia="宋体"/>
                      <w:color w:val="auto"/>
                      <w:sz w:val="21"/>
                      <w:szCs w:val="21"/>
                    </w:rPr>
                    <w:t>本项目产生的</w:t>
                  </w:r>
                  <w:r>
                    <w:rPr>
                      <w:rFonts w:hint="eastAsia" w:ascii="Times New Roman" w:hAnsi="Times New Roman" w:eastAsia="宋体"/>
                      <w:color w:val="auto"/>
                      <w:sz w:val="21"/>
                      <w:szCs w:val="21"/>
                      <w:lang w:val="en-US" w:eastAsia="zh-CN"/>
                    </w:rPr>
                    <w:t>副产物</w:t>
                  </w:r>
                  <w:r>
                    <w:rPr>
                      <w:rFonts w:ascii="Times New Roman" w:hAnsi="Times New Roman" w:eastAsia="宋体"/>
                      <w:color w:val="auto"/>
                      <w:sz w:val="21"/>
                      <w:szCs w:val="21"/>
                    </w:rPr>
                    <w:t>均对照《固体废物鉴别标准通则》（GB34330-2017）进行分析，为固体废物，不属于副产品</w:t>
                  </w:r>
                  <w:r>
                    <w:rPr>
                      <w:rFonts w:hint="eastAsia" w:ascii="Times New Roman" w:hAnsi="Times New Roman" w:eastAsia="宋体"/>
                      <w:color w:val="auto"/>
                      <w:sz w:val="21"/>
                      <w:szCs w:val="21"/>
                    </w:rPr>
                    <w:t>。</w:t>
                  </w:r>
                </w:p>
              </w:tc>
              <w:tc>
                <w:tcPr>
                  <w:tcW w:w="316"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08"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12</w:t>
                  </w:r>
                </w:p>
              </w:tc>
              <w:tc>
                <w:tcPr>
                  <w:tcW w:w="1893"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贮存易爆、易燃及排出有毒气体的危险废物贮存设施应按照应急管理、消防、规划建设等相关职能部门的要求办理相关手续</w:t>
                  </w:r>
                </w:p>
              </w:tc>
              <w:tc>
                <w:tcPr>
                  <w:tcW w:w="2482"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企业不涉及易燃、易爆以及排出有毒气体的危险废物</w:t>
                  </w:r>
                </w:p>
              </w:tc>
              <w:tc>
                <w:tcPr>
                  <w:tcW w:w="316" w:type="pct"/>
                  <w:noWrap w:val="0"/>
                  <w:vAlign w:val="center"/>
                </w:tcPr>
                <w:p>
                  <w:pPr>
                    <w:pStyle w:val="35"/>
                    <w:adjustRightInd w:val="0"/>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符合</w:t>
                  </w:r>
                </w:p>
              </w:tc>
            </w:tr>
          </w:tbl>
          <w:p>
            <w:pPr>
              <w:tabs>
                <w:tab w:val="left" w:pos="1200"/>
              </w:tabs>
              <w:snapToGrid w:val="0"/>
              <w:spacing w:line="500" w:lineRule="exact"/>
              <w:ind w:firstLine="480" w:firstLineChars="200"/>
              <w:rPr>
                <w:color w:val="auto"/>
              </w:rPr>
            </w:pPr>
            <w:r>
              <w:rPr>
                <w:color w:val="auto"/>
                <w:kern w:val="0"/>
                <w:sz w:val="24"/>
              </w:rPr>
              <w:t>综上所述，</w:t>
            </w:r>
            <w:r>
              <w:rPr>
                <w:rFonts w:hint="eastAsia"/>
                <w:color w:val="auto"/>
                <w:kern w:val="0"/>
                <w:sz w:val="24"/>
                <w:lang w:val="en-US" w:eastAsia="zh-CN"/>
              </w:rPr>
              <w:t>本</w:t>
            </w:r>
            <w:r>
              <w:rPr>
                <w:color w:val="auto"/>
                <w:kern w:val="0"/>
                <w:sz w:val="24"/>
              </w:rPr>
              <w:t>项目产生的固废经上述措施均可得到有效处置，不会造成二次污染，对周边环境影响较小，固废处理措施是可行的。</w:t>
            </w:r>
          </w:p>
          <w:p>
            <w:pPr>
              <w:pStyle w:val="16"/>
              <w:spacing w:before="0" w:beforeAutospacing="0" w:after="0" w:afterAutospacing="0" w:line="500" w:lineRule="exact"/>
              <w:ind w:firstLine="482" w:firstLineChars="200"/>
              <w:rPr>
                <w:rFonts w:hint="default" w:ascii="Times New Roman" w:hAnsi="Times New Roman" w:cs="Times New Roman"/>
                <w:b/>
                <w:bCs/>
                <w:color w:val="auto"/>
                <w:lang w:val="en-US"/>
              </w:rPr>
            </w:pPr>
            <w:r>
              <w:rPr>
                <w:rFonts w:hint="default" w:ascii="Times New Roman" w:hAnsi="Times New Roman" w:cs="Times New Roman"/>
                <w:b/>
                <w:bCs/>
                <w:color w:val="auto"/>
                <w:lang w:val="en-US" w:eastAsia="zh-CN"/>
              </w:rPr>
              <w:t>（1</w:t>
            </w:r>
            <w:r>
              <w:rPr>
                <w:rFonts w:hint="eastAsia" w:ascii="Times New Roman" w:hAnsi="Times New Roman" w:cs="Times New Roman"/>
                <w:b/>
                <w:bCs/>
                <w:color w:val="auto"/>
                <w:lang w:val="en-US" w:eastAsia="zh-CN"/>
              </w:rPr>
              <w:t>2</w:t>
            </w:r>
            <w:r>
              <w:rPr>
                <w:rFonts w:hint="default" w:ascii="Times New Roman" w:hAnsi="Times New Roman" w:cs="Times New Roman"/>
                <w:b/>
                <w:bCs/>
                <w:color w:val="auto"/>
                <w:lang w:val="en-US" w:eastAsia="zh-CN"/>
              </w:rPr>
              <w:t>）与《关于进一步加强危险废物环境管理工作的通知》苏环办〔2021〕207号文相符性</w:t>
            </w:r>
          </w:p>
          <w:p>
            <w:pPr>
              <w:spacing w:line="500" w:lineRule="exact"/>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表4-</w:t>
            </w:r>
            <w:r>
              <w:rPr>
                <w:rFonts w:hint="eastAsia" w:ascii="Times New Roman" w:hAnsi="Times New Roman" w:cs="Times New Roman"/>
                <w:b/>
                <w:bCs/>
                <w:color w:val="auto"/>
                <w:sz w:val="24"/>
                <w:szCs w:val="24"/>
                <w:lang w:val="en-US" w:eastAsia="zh-CN"/>
              </w:rPr>
              <w:t>31</w:t>
            </w:r>
            <w:r>
              <w:rPr>
                <w:rFonts w:hint="default" w:ascii="Times New Roman" w:hAnsi="Times New Roman" w:cs="Times New Roman"/>
                <w:b/>
                <w:bCs/>
                <w:color w:val="auto"/>
                <w:sz w:val="24"/>
                <w:szCs w:val="24"/>
              </w:rPr>
              <w:t xml:space="preserve">  与苏环办〔</w:t>
            </w:r>
            <w:r>
              <w:rPr>
                <w:rFonts w:hint="default" w:ascii="Times New Roman" w:hAnsi="Times New Roman" w:cs="Times New Roman"/>
                <w:b/>
                <w:bCs/>
                <w:color w:val="auto"/>
                <w:sz w:val="24"/>
                <w:szCs w:val="24"/>
                <w:lang w:val="en-US" w:eastAsia="zh-CN"/>
              </w:rPr>
              <w:t>2021</w:t>
            </w: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en-US" w:eastAsia="zh-CN"/>
              </w:rPr>
              <w:t>207</w:t>
            </w:r>
            <w:r>
              <w:rPr>
                <w:rFonts w:hint="default" w:ascii="Times New Roman" w:hAnsi="Times New Roman" w:cs="Times New Roman"/>
                <w:b/>
                <w:bCs/>
                <w:color w:val="auto"/>
                <w:sz w:val="24"/>
                <w:szCs w:val="24"/>
              </w:rPr>
              <w:t>号相符性分析</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33"/>
              <w:gridCol w:w="5053"/>
              <w:gridCol w:w="2290"/>
              <w:gridCol w:w="6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3"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5053"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文件规定要求</w:t>
                  </w:r>
                </w:p>
              </w:tc>
              <w:tc>
                <w:tcPr>
                  <w:tcW w:w="2290"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相符性分析</w:t>
                  </w:r>
                </w:p>
              </w:tc>
              <w:tc>
                <w:tcPr>
                  <w:tcW w:w="628"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3"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5053"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严格落实产废单位危险废物污染环境防治主体责任。产废单位必须将危险废物提供或者委托给有资质单位</w:t>
                  </w:r>
                  <w:r>
                    <w:rPr>
                      <w:rFonts w:hint="default" w:ascii="Times New Roman" w:hAnsi="Times New Roman" w:eastAsia="宋体" w:cs="Times New Roman"/>
                      <w:color w:val="auto"/>
                      <w:sz w:val="21"/>
                      <w:szCs w:val="21"/>
                      <w:lang w:val="en-US" w:eastAsia="zh-CN"/>
                    </w:rPr>
                    <w:t>从</w:t>
                  </w:r>
                  <w:r>
                    <w:rPr>
                      <w:rFonts w:hint="default" w:ascii="Times New Roman" w:hAnsi="Times New Roman" w:eastAsia="宋体" w:cs="Times New Roman"/>
                      <w:color w:val="auto"/>
                      <w:sz w:val="21"/>
                      <w:szCs w:val="21"/>
                    </w:rPr>
                    <w:t>事收集、贮存、利用处置活动，并有危险废物利用处置合同、资金往来、废物交接等相关证明材料。严禁产废单位委托第三方中介机构运输和利用处置危险废物</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严</w:t>
                  </w:r>
                  <w:r>
                    <w:rPr>
                      <w:rFonts w:hint="default" w:ascii="Times New Roman" w:hAnsi="Times New Roman" w:eastAsia="宋体" w:cs="Times New Roman"/>
                      <w:color w:val="auto"/>
                      <w:sz w:val="21"/>
                      <w:szCs w:val="21"/>
                    </w:rPr>
                    <w:t>禁将危险废物提供或者委托给无资质单位进行收集、贮存和利用处置。违反上述要求的，各地生态环境部门按照《固体废物污染环</w:t>
                  </w:r>
                  <w:r>
                    <w:rPr>
                      <w:rFonts w:hint="default" w:ascii="Times New Roman" w:hAnsi="Times New Roman" w:eastAsia="宋体" w:cs="Times New Roman"/>
                      <w:color w:val="auto"/>
                      <w:sz w:val="21"/>
                      <w:szCs w:val="21"/>
                      <w:lang w:val="en-US" w:eastAsia="zh-CN"/>
                    </w:rPr>
                    <w:t>境</w:t>
                  </w:r>
                  <w:r>
                    <w:rPr>
                      <w:rFonts w:hint="default" w:ascii="Times New Roman" w:hAnsi="Times New Roman" w:eastAsia="宋体" w:cs="Times New Roman"/>
                      <w:color w:val="auto"/>
                      <w:sz w:val="21"/>
                      <w:szCs w:val="21"/>
                    </w:rPr>
                    <w:t>防治法》“第一百一十二条”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“第一百一十四条”规定，追究产废单位和第三方中介</w:t>
                  </w:r>
                </w:p>
                <w:p>
                  <w:pPr>
                    <w:pStyle w:val="35"/>
                    <w:adjustRightInd w:val="0"/>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机构法律责任</w:t>
                  </w:r>
                  <w:r>
                    <w:rPr>
                      <w:rFonts w:hint="default" w:ascii="Times New Roman" w:hAnsi="Times New Roman" w:eastAsia="宋体" w:cs="Times New Roman"/>
                      <w:color w:val="auto"/>
                      <w:sz w:val="21"/>
                      <w:szCs w:val="21"/>
                      <w:lang w:eastAsia="zh-CN"/>
                    </w:rPr>
                    <w:t>。</w:t>
                  </w:r>
                </w:p>
              </w:tc>
              <w:tc>
                <w:tcPr>
                  <w:tcW w:w="2290"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本项目产生的危险废物经委托有资质单位进行收集、运输和利用处置</w:t>
                  </w:r>
                </w:p>
              </w:tc>
              <w:tc>
                <w:tcPr>
                  <w:tcW w:w="628"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3"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5053"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严</w:t>
                  </w:r>
                  <w:r>
                    <w:rPr>
                      <w:rFonts w:hint="default" w:ascii="Times New Roman" w:hAnsi="Times New Roman" w:eastAsia="宋体" w:cs="Times New Roman"/>
                      <w:color w:val="auto"/>
                      <w:sz w:val="21"/>
                      <w:szCs w:val="21"/>
                    </w:rPr>
                    <w:t>格危险废物产生贮存环境监管。通过</w:t>
                  </w:r>
                  <w:r>
                    <w:rPr>
                      <w:rFonts w:hint="eastAsia" w:ascii="Times New Roman" w:hAnsi="Times New Roman" w:eastAsia="宋体" w:cs="Times New Roman"/>
                      <w:color w:val="auto"/>
                      <w:sz w:val="21"/>
                      <w:szCs w:val="21"/>
                      <w:lang w:val="en-US" w:eastAsia="zh-CN"/>
                    </w:rPr>
                    <w:t>江苏省污染源</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一企一档</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管理系统“环保脸谱”企业端</w:t>
                  </w:r>
                  <w:r>
                    <w:rPr>
                      <w:rFonts w:hint="default" w:ascii="Times New Roman" w:hAnsi="Times New Roman" w:eastAsia="宋体" w:cs="Times New Roman"/>
                      <w:color w:val="auto"/>
                      <w:sz w:val="21"/>
                      <w:szCs w:val="21"/>
                    </w:rPr>
                    <w:t>，全面推行产生和贮存现场实时申报，自动生成二维码包装标识，实现危险废物从产生到贮存信息化监管。严禁任何企业、供应商、经销商等以生态环境部门名义向产废单位、收集单位、利用处置单位推销购买任何与全生命周期监控系统相关的智能设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严禁任何第三方在全生命周期监控系统推广使用、宣传、培训过程中以夸大、捆绑、谎称、垄断等方式借机推销相关设备和软件系统</w:t>
                  </w:r>
                  <w:r>
                    <w:rPr>
                      <w:rFonts w:hint="default" w:ascii="Times New Roman" w:hAnsi="Times New Roman" w:eastAsia="宋体" w:cs="Times New Roman"/>
                      <w:color w:val="auto"/>
                      <w:sz w:val="21"/>
                      <w:szCs w:val="21"/>
                      <w:lang w:eastAsia="zh-CN"/>
                    </w:rPr>
                    <w:t>。</w:t>
                  </w:r>
                </w:p>
              </w:tc>
              <w:tc>
                <w:tcPr>
                  <w:tcW w:w="2290"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本项目在日常的运营管理过程中，通过</w:t>
                  </w:r>
                  <w:r>
                    <w:rPr>
                      <w:rFonts w:hint="eastAsia" w:ascii="Times New Roman" w:hAnsi="Times New Roman" w:eastAsia="宋体" w:cs="Times New Roman"/>
                      <w:color w:val="auto"/>
                      <w:sz w:val="21"/>
                      <w:szCs w:val="21"/>
                      <w:lang w:val="en-US" w:eastAsia="zh-CN"/>
                    </w:rPr>
                    <w:t>江苏省污染源</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一企一档</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管理系统“环保脸谱”企业端</w:t>
                  </w:r>
                  <w:r>
                    <w:rPr>
                      <w:rFonts w:hint="default" w:ascii="Times New Roman" w:hAnsi="Times New Roman" w:eastAsia="宋体" w:cs="Times New Roman"/>
                      <w:color w:val="auto"/>
                      <w:sz w:val="21"/>
                      <w:szCs w:val="21"/>
                      <w:lang w:val="en-US" w:eastAsia="zh-CN"/>
                    </w:rPr>
                    <w:t>实现危险废物从生产到贮存信息化监管。不接受其他单位推销的任何与全生命周期监控系统相关的智能设备</w:t>
                  </w:r>
                </w:p>
              </w:tc>
              <w:tc>
                <w:tcPr>
                  <w:tcW w:w="628"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3"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5053"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严格危险废物转移环境监管。全面推行危险废物转移</w:t>
                  </w:r>
                  <w:r>
                    <w:rPr>
                      <w:rFonts w:hint="eastAsia" w:ascii="Times New Roman" w:hAnsi="Times New Roman" w:eastAsia="宋体" w:cs="Times New Roman"/>
                      <w:color w:val="auto"/>
                      <w:sz w:val="21"/>
                      <w:szCs w:val="21"/>
                      <w:lang w:val="en-US" w:eastAsia="zh-CN"/>
                    </w:rPr>
                    <w:t>制度</w:t>
                  </w:r>
                  <w:r>
                    <w:rPr>
                      <w:rFonts w:hint="default" w:ascii="Times New Roman" w:hAnsi="Times New Roman" w:eastAsia="宋体" w:cs="Times New Roman"/>
                      <w:color w:val="auto"/>
                      <w:sz w:val="21"/>
                      <w:szCs w:val="21"/>
                    </w:rPr>
                    <w:t>，自2021年7月10日起，危险废物通过全生命周期监控系统扫描二维码转移，严禁无二维码转移行为</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槽罐车、管道等除外)。各地要加强危险废物流向监控，建立电子档案，严厉打击危险废物转移过程中的环境违法行为。严禁生态环境系统人员直接或间接为产废单位指定或介绍收集、转运、利用处置单位。违反上述要求的，各地生态环境部门可关闭相关企业危险废物转移系统功能，禁止其危险废物转移，并追究相关责任人责任。</w:t>
                  </w:r>
                </w:p>
              </w:tc>
              <w:tc>
                <w:tcPr>
                  <w:tcW w:w="2290"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本项目严格执行危险废物转移制度，建立电子档案，做好危废相关的手续及存档</w:t>
                  </w:r>
                </w:p>
              </w:tc>
              <w:tc>
                <w:tcPr>
                  <w:tcW w:w="628"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3"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5053"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严格执行危险废物豁免管理清单。各设区市生态环境部门要对照国家危险废物豁免管理清单，梳理本辖区符合豁免管理条件的利用处置单位(非持证单位)，在设区市生态环境部门官网公开，实施动态管理。各地生态环境部门要加强危险废物豁免管理单位的日常监管，将豁免管理危险废物产生、贮存、运输、利用、处置等情况纳入全生命周期监控系统，严格落实危险废物相关管理制度，加强业务培训，提升危险废物规范化管理水平。</w:t>
                  </w:r>
                </w:p>
              </w:tc>
              <w:tc>
                <w:tcPr>
                  <w:tcW w:w="2290"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本项目不涉及危险废物豁免管理</w:t>
                  </w:r>
                </w:p>
              </w:tc>
              <w:tc>
                <w:tcPr>
                  <w:tcW w:w="628"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3"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5053"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严格危险废物应急处置和行政代处</w:t>
                  </w:r>
                  <w:r>
                    <w:rPr>
                      <w:rFonts w:hint="default" w:ascii="Times New Roman" w:hAnsi="Times New Roman" w:eastAsia="宋体" w:cs="Times New Roman"/>
                      <w:color w:val="auto"/>
                      <w:sz w:val="21"/>
                      <w:szCs w:val="21"/>
                      <w:lang w:val="en-US" w:eastAsia="zh-CN"/>
                    </w:rPr>
                    <w:t>置</w:t>
                  </w:r>
                  <w:r>
                    <w:rPr>
                      <w:rFonts w:hint="default" w:ascii="Times New Roman" w:hAnsi="Times New Roman" w:eastAsia="宋体" w:cs="Times New Roman"/>
                      <w:color w:val="auto"/>
                      <w:sz w:val="21"/>
                      <w:szCs w:val="21"/>
                    </w:rPr>
                    <w:t>管理。各地要结合实际制定危险废物应急处置和行政代处置管理方案，明确适用范围、各方职责、执行程序和监管措施等内容。按照《固体废物污染环境防治法》《国家危险废物名录》(2021版)等要求，需采取应急处置或行政代处置的相关部门和单位，要科学制定处置方案并按要求向有关生态环境部门和地方政府报备。</w:t>
                  </w:r>
                  <w:r>
                    <w:rPr>
                      <w:rFonts w:hint="default" w:ascii="Times New Roman" w:hAnsi="Times New Roman" w:eastAsia="宋体" w:cs="Times New Roman"/>
                      <w:color w:val="auto"/>
                      <w:sz w:val="21"/>
                      <w:szCs w:val="21"/>
                      <w:lang w:val="en-US" w:eastAsia="zh-CN"/>
                    </w:rPr>
                    <w:t>严</w:t>
                  </w:r>
                  <w:r>
                    <w:rPr>
                      <w:rFonts w:hint="default" w:ascii="Times New Roman" w:hAnsi="Times New Roman" w:eastAsia="宋体" w:cs="Times New Roman"/>
                      <w:color w:val="auto"/>
                      <w:sz w:val="21"/>
                      <w:szCs w:val="21"/>
                    </w:rPr>
                    <w:t>禁借应急处置和行政代处</w:t>
                  </w:r>
                </w:p>
                <w:p>
                  <w:pPr>
                    <w:pStyle w:val="35"/>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置</w:t>
                  </w:r>
                  <w:r>
                    <w:rPr>
                      <w:rFonts w:hint="default" w:ascii="Times New Roman" w:hAnsi="Times New Roman" w:eastAsia="宋体" w:cs="Times New Roman"/>
                      <w:color w:val="auto"/>
                      <w:sz w:val="21"/>
                      <w:szCs w:val="21"/>
                    </w:rPr>
                    <w:t>名义逃避监管，违法处置危险废物。</w:t>
                  </w:r>
                </w:p>
              </w:tc>
              <w:tc>
                <w:tcPr>
                  <w:tcW w:w="2290"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本项目危险废物均交由有资质单位处置，不涉及危险废物应急处置和行政代处置管理</w:t>
                  </w:r>
                </w:p>
              </w:tc>
              <w:tc>
                <w:tcPr>
                  <w:tcW w:w="628" w:type="dxa"/>
                  <w:tcBorders>
                    <w:tl2br w:val="nil"/>
                    <w:tr2bl w:val="nil"/>
                  </w:tcBorders>
                  <w:noWrap w:val="0"/>
                  <w:vAlign w:val="center"/>
                </w:tcPr>
                <w:p>
                  <w:pPr>
                    <w:pStyle w:val="35"/>
                    <w:adjustRightIn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5、地下水、土壤环境影响分析</w:t>
            </w:r>
          </w:p>
          <w:p>
            <w:pPr>
              <w:keepNext w:val="0"/>
              <w:keepLines w:val="0"/>
              <w:suppressLineNumbers w:val="0"/>
              <w:adjustRightInd w:val="0"/>
              <w:snapToGrid w:val="0"/>
              <w:spacing w:before="0" w:beforeAutospacing="0" w:after="0" w:afterAutospacing="0" w:line="500" w:lineRule="exact"/>
              <w:ind w:right="0" w:firstLine="480" w:firstLineChars="200"/>
              <w:rPr>
                <w:rFonts w:hint="eastAsia" w:ascii="Times New Roman" w:hAnsi="Times New Roman"/>
                <w:b w:val="0"/>
                <w:bCs/>
                <w:color w:val="auto"/>
                <w:sz w:val="24"/>
                <w:szCs w:val="24"/>
                <w:lang w:val="en-US" w:eastAsia="zh-CN"/>
              </w:rPr>
            </w:pPr>
            <w:r>
              <w:rPr>
                <w:rFonts w:hint="eastAsia" w:ascii="Times New Roman" w:hAnsi="Times New Roman"/>
                <w:b w:val="0"/>
                <w:bCs/>
                <w:color w:val="auto"/>
                <w:sz w:val="24"/>
                <w:szCs w:val="24"/>
                <w:lang w:val="en-US" w:eastAsia="zh-CN"/>
              </w:rPr>
              <w:t>（1）地下水</w:t>
            </w: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A.污染源及污染途径分析</w:t>
            </w:r>
          </w:p>
          <w:p>
            <w:pPr>
              <w:keepNext w:val="0"/>
              <w:keepLines w:val="0"/>
              <w:suppressLineNumbers w:val="0"/>
              <w:adjustRightInd w:val="0"/>
              <w:snapToGrid w:val="0"/>
              <w:spacing w:before="0" w:beforeAutospacing="0" w:after="0" w:afterAutospacing="0" w:line="500" w:lineRule="exact"/>
              <w:ind w:left="0" w:right="0" w:firstLine="480" w:firstLineChars="200"/>
              <w:rPr>
                <w:rFonts w:hint="eastAsia" w:eastAsia="宋体" w:cs="Times New Roman"/>
                <w:color w:val="auto"/>
                <w:sz w:val="24"/>
                <w:szCs w:val="24"/>
                <w:lang w:val="en-US" w:eastAsia="zh-CN"/>
              </w:rPr>
            </w:pPr>
            <w:r>
              <w:rPr>
                <w:rFonts w:hint="eastAsia" w:ascii="Times New Roman" w:hAnsi="Times New Roman" w:eastAsia="宋体" w:cs="Times New Roman"/>
                <w:color w:val="auto"/>
                <w:sz w:val="24"/>
                <w:szCs w:val="24"/>
              </w:rPr>
              <w:t>根据对项目生产过程及存储方式等进行分析，本项目污染物能污染地下水的途径主要为液体原料、废水、固废的渗漏。主要污染源为原料贮存区、废水处理站及</w:t>
            </w:r>
            <w:r>
              <w:rPr>
                <w:rFonts w:hint="eastAsia" w:cs="Times New Roman"/>
                <w:color w:val="auto"/>
                <w:sz w:val="24"/>
                <w:szCs w:val="24"/>
                <w:lang w:eastAsia="zh-CN"/>
              </w:rPr>
              <w:t>危废贮存点</w:t>
            </w:r>
            <w:r>
              <w:rPr>
                <w:rFonts w:hint="eastAsia" w:ascii="Times New Roman" w:hAnsi="Times New Roman" w:eastAsia="宋体" w:cs="Times New Roman"/>
                <w:color w:val="auto"/>
                <w:sz w:val="24"/>
                <w:szCs w:val="24"/>
              </w:rPr>
              <w:t>。本次环评要求企业在易污染地下水的</w:t>
            </w:r>
            <w:r>
              <w:rPr>
                <w:rFonts w:hint="eastAsia" w:cs="Times New Roman"/>
                <w:color w:val="auto"/>
                <w:sz w:val="24"/>
                <w:szCs w:val="24"/>
                <w:lang w:eastAsia="zh-CN"/>
              </w:rPr>
              <w:t>危废贮存点</w:t>
            </w:r>
            <w:r>
              <w:rPr>
                <w:rFonts w:hint="eastAsia" w:ascii="Times New Roman" w:hAnsi="Times New Roman" w:eastAsia="宋体" w:cs="Times New Roman"/>
                <w:color w:val="auto"/>
                <w:sz w:val="24"/>
                <w:szCs w:val="24"/>
              </w:rPr>
              <w:t>、污水站等采取防渗措施，污水输送管网采用明渠，因此，在正常情况下，不会对地下水产生影响</w:t>
            </w:r>
            <w:r>
              <w:rPr>
                <w:rFonts w:hint="eastAsia" w:eastAsia="宋体" w:cs="Times New Roman"/>
                <w:color w:val="auto"/>
                <w:sz w:val="24"/>
                <w:szCs w:val="24"/>
                <w:lang w:val="en-US" w:eastAsia="zh-CN"/>
              </w:rPr>
              <w:t>或对地下水造成的影响极小</w:t>
            </w:r>
            <w:r>
              <w:rPr>
                <w:rFonts w:hint="eastAsia" w:ascii="Times New Roman" w:hAnsi="Times New Roman" w:eastAsia="宋体" w:cs="Times New Roman"/>
                <w:color w:val="auto"/>
                <w:sz w:val="24"/>
                <w:szCs w:val="24"/>
              </w:rPr>
              <w:t>。</w:t>
            </w:r>
            <w:r>
              <w:rPr>
                <w:rFonts w:hint="eastAsia" w:eastAsia="宋体" w:cs="Times New Roman"/>
                <w:color w:val="auto"/>
                <w:sz w:val="24"/>
                <w:szCs w:val="24"/>
                <w:lang w:val="en-US" w:eastAsia="zh-CN"/>
              </w:rPr>
              <w:t xml:space="preserve">  </w:t>
            </w:r>
          </w:p>
          <w:p>
            <w:pPr>
              <w:keepNext w:val="0"/>
              <w:keepLines w:val="0"/>
              <w:suppressLineNumbers w:val="0"/>
              <w:adjustRightInd w:val="0"/>
              <w:snapToGrid w:val="0"/>
              <w:spacing w:before="0" w:beforeAutospacing="0" w:after="0" w:afterAutospacing="0" w:line="500" w:lineRule="exact"/>
              <w:ind w:left="0" w:right="0" w:firstLine="480" w:firstLineChars="200"/>
              <w:rPr>
                <w:rFonts w:hint="default"/>
                <w:color w:val="auto"/>
                <w:lang w:val="en-US" w:eastAsia="zh-CN"/>
              </w:rPr>
            </w:pPr>
            <w:r>
              <w:rPr>
                <w:rFonts w:hint="eastAsia"/>
                <w:color w:val="auto"/>
                <w:sz w:val="24"/>
                <w:szCs w:val="24"/>
                <w:lang w:val="en-US" w:eastAsia="zh-CN"/>
              </w:rPr>
              <w:t>B.污染防治措施</w:t>
            </w:r>
          </w:p>
          <w:p>
            <w:pPr>
              <w:keepNext w:val="0"/>
              <w:keepLines w:val="0"/>
              <w:suppressLineNumbers w:val="0"/>
              <w:adjustRightInd w:val="0"/>
              <w:snapToGrid w:val="0"/>
              <w:spacing w:before="0" w:beforeAutospacing="0" w:after="0" w:afterAutospacing="0" w:line="500" w:lineRule="exact"/>
              <w:ind w:left="0" w:right="0"/>
              <w:jc w:val="center"/>
              <w:rPr>
                <w:rFonts w:ascii="Times New Roman" w:hAnsi="Times New Roman"/>
                <w:b/>
                <w:bCs/>
                <w:color w:val="auto"/>
                <w:sz w:val="24"/>
                <w:szCs w:val="24"/>
              </w:rPr>
            </w:pPr>
          </w:p>
          <w:p>
            <w:pPr>
              <w:keepNext w:val="0"/>
              <w:keepLines w:val="0"/>
              <w:suppressLineNumbers w:val="0"/>
              <w:adjustRightInd w:val="0"/>
              <w:snapToGrid w:val="0"/>
              <w:spacing w:before="0" w:beforeAutospacing="0" w:after="0" w:afterAutospacing="0" w:line="500" w:lineRule="exact"/>
              <w:ind w:left="0" w:right="0"/>
              <w:jc w:val="center"/>
              <w:rPr>
                <w:rFonts w:ascii="Times New Roman" w:hAnsi="Times New Roman"/>
                <w:b/>
                <w:bCs/>
                <w:color w:val="auto"/>
                <w:sz w:val="24"/>
                <w:szCs w:val="24"/>
              </w:rPr>
            </w:pPr>
          </w:p>
          <w:p>
            <w:pPr>
              <w:keepNext w:val="0"/>
              <w:keepLines w:val="0"/>
              <w:suppressLineNumbers w:val="0"/>
              <w:adjustRightInd w:val="0"/>
              <w:snapToGrid w:val="0"/>
              <w:spacing w:before="0" w:beforeAutospacing="0" w:after="0" w:afterAutospacing="0" w:line="500" w:lineRule="exact"/>
              <w:ind w:left="0" w:right="0"/>
              <w:jc w:val="center"/>
              <w:rPr>
                <w:rFonts w:ascii="Times New Roman" w:hAnsi="Times New Roman"/>
                <w:b/>
                <w:bCs/>
                <w:color w:val="auto"/>
                <w:sz w:val="24"/>
                <w:szCs w:val="24"/>
              </w:rPr>
            </w:pPr>
            <w:r>
              <w:rPr>
                <w:rFonts w:ascii="Times New Roman" w:hAnsi="Times New Roman"/>
                <w:b/>
                <w:bCs/>
                <w:color w:val="auto"/>
                <w:sz w:val="24"/>
                <w:szCs w:val="24"/>
              </w:rPr>
              <w:t>表</w:t>
            </w:r>
            <w:r>
              <w:rPr>
                <w:rFonts w:hint="eastAsia"/>
                <w:b/>
                <w:bCs/>
                <w:color w:val="auto"/>
                <w:sz w:val="24"/>
                <w:szCs w:val="24"/>
              </w:rPr>
              <w:t>4-</w:t>
            </w:r>
            <w:r>
              <w:rPr>
                <w:rFonts w:hint="eastAsia"/>
                <w:b/>
                <w:bCs/>
                <w:color w:val="auto"/>
                <w:sz w:val="24"/>
                <w:szCs w:val="24"/>
                <w:lang w:val="en-US" w:eastAsia="zh-CN"/>
              </w:rPr>
              <w:t xml:space="preserve">31 </w:t>
            </w:r>
            <w:r>
              <w:rPr>
                <w:rFonts w:hint="eastAsia" w:ascii="Times New Roman" w:hAnsi="Times New Roman"/>
                <w:b/>
                <w:bCs/>
                <w:color w:val="auto"/>
                <w:sz w:val="24"/>
                <w:szCs w:val="24"/>
                <w:lang w:val="en-US" w:eastAsia="zh-CN"/>
              </w:rPr>
              <w:t xml:space="preserve"> </w:t>
            </w:r>
            <w:r>
              <w:rPr>
                <w:rFonts w:ascii="Times New Roman" w:hAnsi="Times New Roman"/>
                <w:b/>
                <w:bCs/>
                <w:color w:val="auto"/>
                <w:sz w:val="24"/>
                <w:szCs w:val="24"/>
              </w:rPr>
              <w:t>项目厂区地下水污染防渗分区</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610"/>
              <w:gridCol w:w="1114"/>
              <w:gridCol w:w="1287"/>
              <w:gridCol w:w="940"/>
              <w:gridCol w:w="1187"/>
              <w:gridCol w:w="23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61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
                      <w:bCs/>
                      <w:color w:val="000000"/>
                      <w:sz w:val="21"/>
                      <w:szCs w:val="21"/>
                      <w:lang w:eastAsia="zh-CN"/>
                    </w:rPr>
                  </w:pPr>
                  <w:r>
                    <w:rPr>
                      <w:rFonts w:hint="eastAsia"/>
                      <w:b/>
                      <w:bCs/>
                      <w:color w:val="000000"/>
                      <w:sz w:val="21"/>
                      <w:szCs w:val="21"/>
                      <w:lang w:val="en-US" w:eastAsia="zh-CN"/>
                    </w:rPr>
                    <w:t>名称</w:t>
                  </w:r>
                </w:p>
              </w:tc>
              <w:tc>
                <w:tcPr>
                  <w:tcW w:w="111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sz w:val="21"/>
                      <w:szCs w:val="21"/>
                    </w:rPr>
                  </w:pPr>
                  <w:r>
                    <w:rPr>
                      <w:rFonts w:hint="eastAsia"/>
                      <w:b/>
                      <w:bCs/>
                      <w:color w:val="000000"/>
                      <w:sz w:val="21"/>
                      <w:szCs w:val="21"/>
                      <w:lang w:val="en-US" w:eastAsia="zh-CN"/>
                    </w:rPr>
                    <w:t>污染控制难易程度</w:t>
                  </w:r>
                </w:p>
              </w:tc>
              <w:tc>
                <w:tcPr>
                  <w:tcW w:w="128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b/>
                      <w:bCs/>
                      <w:color w:val="000000"/>
                      <w:sz w:val="21"/>
                      <w:szCs w:val="21"/>
                      <w:lang w:val="en-US" w:eastAsia="zh-CN"/>
                    </w:rPr>
                  </w:pPr>
                  <w:r>
                    <w:rPr>
                      <w:rFonts w:hint="eastAsia"/>
                      <w:b/>
                      <w:bCs/>
                      <w:color w:val="000000"/>
                      <w:sz w:val="21"/>
                      <w:szCs w:val="21"/>
                      <w:lang w:val="en-US" w:eastAsia="zh-CN"/>
                    </w:rPr>
                    <w:t>天然包气带防污性能</w:t>
                  </w:r>
                </w:p>
              </w:tc>
              <w:tc>
                <w:tcPr>
                  <w:tcW w:w="94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b/>
                      <w:bCs/>
                      <w:color w:val="000000"/>
                      <w:sz w:val="21"/>
                      <w:szCs w:val="21"/>
                      <w:lang w:val="en-US" w:eastAsia="zh-CN"/>
                    </w:rPr>
                  </w:pPr>
                  <w:r>
                    <w:rPr>
                      <w:rFonts w:hint="eastAsia"/>
                      <w:b/>
                      <w:bCs/>
                      <w:color w:val="000000"/>
                      <w:sz w:val="21"/>
                      <w:szCs w:val="21"/>
                      <w:lang w:val="en-US" w:eastAsia="zh-CN"/>
                    </w:rPr>
                    <w:t>污染物类型</w:t>
                  </w:r>
                </w:p>
              </w:tc>
              <w:tc>
                <w:tcPr>
                  <w:tcW w:w="118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b/>
                      <w:bCs/>
                      <w:color w:val="000000"/>
                      <w:sz w:val="21"/>
                      <w:szCs w:val="21"/>
                      <w:lang w:val="en-US" w:eastAsia="zh-CN"/>
                    </w:rPr>
                  </w:pPr>
                  <w:r>
                    <w:rPr>
                      <w:rFonts w:hint="eastAsia"/>
                      <w:b/>
                      <w:bCs/>
                      <w:color w:val="000000"/>
                      <w:sz w:val="21"/>
                      <w:szCs w:val="21"/>
                      <w:lang w:val="en-US" w:eastAsia="zh-CN"/>
                    </w:rPr>
                    <w:t>防渗分区</w:t>
                  </w:r>
                </w:p>
              </w:tc>
              <w:tc>
                <w:tcPr>
                  <w:tcW w:w="236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sz w:val="21"/>
                      <w:szCs w:val="21"/>
                    </w:rPr>
                  </w:pPr>
                  <w:r>
                    <w:rPr>
                      <w:b/>
                      <w:bCs/>
                      <w:color w:val="000000"/>
                      <w:sz w:val="21"/>
                      <w:szCs w:val="21"/>
                    </w:rPr>
                    <w:t>防渗技术要求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6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eastAsia="zh-CN"/>
                    </w:rPr>
                  </w:pPr>
                  <w:r>
                    <w:rPr>
                      <w:rFonts w:hint="eastAsia"/>
                      <w:color w:val="000000"/>
                      <w:sz w:val="21"/>
                      <w:szCs w:val="21"/>
                      <w:lang w:eastAsia="zh-CN"/>
                    </w:rPr>
                    <w:t>危废贮存点</w:t>
                  </w:r>
                </w:p>
              </w:tc>
              <w:tc>
                <w:tcPr>
                  <w:tcW w:w="111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eastAsia="zh-CN"/>
                    </w:rPr>
                  </w:pPr>
                  <w:r>
                    <w:rPr>
                      <w:rFonts w:hint="eastAsia"/>
                      <w:color w:val="000000"/>
                      <w:sz w:val="21"/>
                      <w:szCs w:val="21"/>
                      <w:lang w:val="en-US" w:eastAsia="zh-CN"/>
                    </w:rPr>
                    <w:t>易</w:t>
                  </w:r>
                </w:p>
              </w:tc>
              <w:tc>
                <w:tcPr>
                  <w:tcW w:w="128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val="en-US" w:eastAsia="zh-CN"/>
                    </w:rPr>
                  </w:pPr>
                  <w:r>
                    <w:rPr>
                      <w:rFonts w:hint="eastAsia"/>
                      <w:color w:val="000000"/>
                      <w:sz w:val="21"/>
                      <w:szCs w:val="21"/>
                      <w:lang w:val="en-US" w:eastAsia="zh-CN"/>
                    </w:rPr>
                    <w:t>中</w:t>
                  </w:r>
                </w:p>
              </w:tc>
              <w:tc>
                <w:tcPr>
                  <w:tcW w:w="94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val="en-US" w:eastAsia="zh-CN"/>
                    </w:rPr>
                  </w:pPr>
                  <w:r>
                    <w:rPr>
                      <w:rFonts w:hint="eastAsia"/>
                      <w:color w:val="000000"/>
                      <w:sz w:val="21"/>
                      <w:szCs w:val="21"/>
                      <w:lang w:val="en-US" w:eastAsia="zh-CN"/>
                    </w:rPr>
                    <w:t>其他类型</w:t>
                  </w:r>
                </w:p>
              </w:tc>
              <w:tc>
                <w:tcPr>
                  <w:tcW w:w="118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sz w:val="21"/>
                      <w:szCs w:val="21"/>
                      <w:lang w:val="en-US" w:eastAsia="zh-CN"/>
                    </w:rPr>
                  </w:pPr>
                  <w:r>
                    <w:rPr>
                      <w:rFonts w:hint="eastAsia"/>
                      <w:color w:val="000000"/>
                      <w:sz w:val="21"/>
                      <w:szCs w:val="21"/>
                      <w:lang w:val="en-US" w:eastAsia="zh-CN"/>
                    </w:rPr>
                    <w:t>一般防渗区</w:t>
                  </w:r>
                </w:p>
              </w:tc>
              <w:tc>
                <w:tcPr>
                  <w:tcW w:w="2366"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eastAsia="宋体"/>
                      <w:color w:val="000000"/>
                      <w:sz w:val="21"/>
                      <w:szCs w:val="21"/>
                      <w:lang w:val="en-US" w:eastAsia="zh-CN"/>
                    </w:rPr>
                  </w:pPr>
                  <w:r>
                    <w:rPr>
                      <w:rFonts w:hint="eastAsia"/>
                      <w:color w:val="000000"/>
                      <w:sz w:val="21"/>
                      <w:szCs w:val="21"/>
                      <w:lang w:val="en-US" w:eastAsia="zh-CN"/>
                    </w:rPr>
                    <w:t>表面防渗材料应与所接触的物料或污染物相容，可采用抗渗混凝土、高密度聚乙烯膜、钠基膨润土防水毯或其他防渗性能等效的材料。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6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val="en-US" w:eastAsia="zh-CN"/>
                    </w:rPr>
                  </w:pPr>
                  <w:r>
                    <w:rPr>
                      <w:rFonts w:hint="eastAsia"/>
                      <w:color w:val="000000"/>
                      <w:sz w:val="21"/>
                      <w:szCs w:val="21"/>
                      <w:lang w:val="en-US" w:eastAsia="zh-CN"/>
                    </w:rPr>
                    <w:t>化粪池、</w:t>
                  </w:r>
                  <w:r>
                    <w:rPr>
                      <w:color w:val="000000"/>
                      <w:sz w:val="21"/>
                      <w:szCs w:val="21"/>
                    </w:rPr>
                    <w:t>污水输送、收集管道</w:t>
                  </w:r>
                </w:p>
              </w:tc>
              <w:tc>
                <w:tcPr>
                  <w:tcW w:w="111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难</w:t>
                  </w:r>
                </w:p>
              </w:tc>
              <w:tc>
                <w:tcPr>
                  <w:tcW w:w="128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中</w:t>
                  </w:r>
                </w:p>
              </w:tc>
              <w:tc>
                <w:tcPr>
                  <w:tcW w:w="94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其他类型</w:t>
                  </w:r>
                </w:p>
              </w:tc>
              <w:tc>
                <w:tcPr>
                  <w:tcW w:w="118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val="en-US" w:eastAsia="zh-CN"/>
                    </w:rPr>
                  </w:pPr>
                  <w:r>
                    <w:rPr>
                      <w:rFonts w:hint="eastAsia"/>
                      <w:color w:val="000000"/>
                      <w:sz w:val="21"/>
                      <w:szCs w:val="21"/>
                      <w:lang w:val="en-US" w:eastAsia="zh-CN"/>
                    </w:rPr>
                    <w:t>一般防渗区</w:t>
                  </w:r>
                </w:p>
              </w:tc>
              <w:tc>
                <w:tcPr>
                  <w:tcW w:w="236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r>
                    <w:rPr>
                      <w:rFonts w:hint="eastAsia"/>
                      <w:color w:val="000000"/>
                      <w:sz w:val="21"/>
                      <w:szCs w:val="21"/>
                      <w:lang w:val="en-US" w:eastAsia="zh-CN"/>
                    </w:rPr>
                    <w:t>等效黏土防渗层 M</w:t>
                  </w:r>
                  <w:r>
                    <w:rPr>
                      <w:rFonts w:hint="eastAsia"/>
                      <w:color w:val="000000"/>
                      <w:sz w:val="21"/>
                      <w:szCs w:val="21"/>
                      <w:vertAlign w:val="subscript"/>
                      <w:lang w:val="en-US" w:eastAsia="zh-CN"/>
                    </w:rPr>
                    <w:t>b</w:t>
                  </w:r>
                  <w:r>
                    <w:rPr>
                      <w:rFonts w:hint="eastAsia"/>
                      <w:color w:val="000000"/>
                      <w:sz w:val="21"/>
                      <w:szCs w:val="21"/>
                      <w:lang w:val="en-US" w:eastAsia="zh-CN"/>
                    </w:rPr>
                    <w:t>&gt;1.5 m，K≤1.0</w:t>
                  </w:r>
                  <w:r>
                    <w:rPr>
                      <w:rFonts w:hint="default" w:ascii="Times New Roman" w:hAnsi="Times New Roman" w:cs="Times New Roman"/>
                      <w:color w:val="000000"/>
                      <w:sz w:val="21"/>
                      <w:szCs w:val="21"/>
                      <w:lang w:val="en-US" w:eastAsia="zh-CN"/>
                    </w:rPr>
                    <w:t>×</w:t>
                  </w:r>
                  <w:r>
                    <w:rPr>
                      <w:rFonts w:hint="eastAsia"/>
                      <w:color w:val="000000"/>
                      <w:sz w:val="21"/>
                      <w:szCs w:val="21"/>
                      <w:lang w:val="en-US" w:eastAsia="zh-CN"/>
                    </w:rPr>
                    <w:t xml:space="preserve"> 10</w:t>
                  </w:r>
                  <w:r>
                    <w:rPr>
                      <w:rFonts w:hint="eastAsia"/>
                      <w:color w:val="000000"/>
                      <w:sz w:val="21"/>
                      <w:szCs w:val="21"/>
                      <w:vertAlign w:val="superscript"/>
                      <w:lang w:val="en-US" w:eastAsia="zh-CN"/>
                    </w:rPr>
                    <w:t>-7</w:t>
                  </w:r>
                  <w:r>
                    <w:rPr>
                      <w:rFonts w:hint="eastAsia"/>
                      <w:color w:val="000000"/>
                      <w:sz w:val="21"/>
                      <w:szCs w:val="21"/>
                      <w:lang w:val="en-US" w:eastAsia="zh-CN"/>
                    </w:rPr>
                    <w:t>cm/s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6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r>
                    <w:rPr>
                      <w:rFonts w:hint="eastAsia"/>
                      <w:color w:val="000000"/>
                      <w:sz w:val="21"/>
                      <w:szCs w:val="21"/>
                    </w:rPr>
                    <w:t>事故应急池</w:t>
                  </w:r>
                </w:p>
              </w:tc>
              <w:tc>
                <w:tcPr>
                  <w:tcW w:w="111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r>
                    <w:rPr>
                      <w:rFonts w:hint="eastAsia"/>
                      <w:color w:val="000000"/>
                      <w:sz w:val="21"/>
                      <w:szCs w:val="21"/>
                      <w:lang w:val="en-US" w:eastAsia="zh-CN"/>
                    </w:rPr>
                    <w:t>易</w:t>
                  </w:r>
                </w:p>
              </w:tc>
              <w:tc>
                <w:tcPr>
                  <w:tcW w:w="128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val="en-US" w:eastAsia="zh-CN"/>
                    </w:rPr>
                  </w:pPr>
                  <w:r>
                    <w:rPr>
                      <w:rFonts w:hint="eastAsia"/>
                      <w:color w:val="000000"/>
                      <w:sz w:val="21"/>
                      <w:szCs w:val="21"/>
                      <w:lang w:val="en-US" w:eastAsia="zh-CN"/>
                    </w:rPr>
                    <w:t>中</w:t>
                  </w:r>
                </w:p>
              </w:tc>
              <w:tc>
                <w:tcPr>
                  <w:tcW w:w="94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val="en-US" w:eastAsia="zh-CN"/>
                    </w:rPr>
                  </w:pPr>
                  <w:r>
                    <w:rPr>
                      <w:rFonts w:hint="eastAsia"/>
                      <w:color w:val="000000"/>
                      <w:sz w:val="21"/>
                      <w:szCs w:val="21"/>
                      <w:lang w:val="en-US" w:eastAsia="zh-CN"/>
                    </w:rPr>
                    <w:t>其他类型</w:t>
                  </w:r>
                </w:p>
              </w:tc>
              <w:tc>
                <w:tcPr>
                  <w:tcW w:w="118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sz w:val="21"/>
                      <w:szCs w:val="21"/>
                      <w:lang w:val="en-US" w:eastAsia="zh-CN"/>
                    </w:rPr>
                  </w:pPr>
                  <w:r>
                    <w:rPr>
                      <w:rFonts w:hint="eastAsia"/>
                      <w:color w:val="000000"/>
                      <w:sz w:val="21"/>
                      <w:szCs w:val="21"/>
                      <w:lang w:val="en-US" w:eastAsia="zh-CN"/>
                    </w:rPr>
                    <w:t>简单防渗区</w:t>
                  </w:r>
                </w:p>
              </w:tc>
              <w:tc>
                <w:tcPr>
                  <w:tcW w:w="236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r>
                    <w:rPr>
                      <w:color w:val="000000"/>
                      <w:sz w:val="21"/>
                      <w:szCs w:val="21"/>
                    </w:rPr>
                    <w:t>一般地面硬化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6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r>
                    <w:rPr>
                      <w:rFonts w:hint="eastAsia"/>
                      <w:color w:val="000000"/>
                      <w:sz w:val="21"/>
                      <w:szCs w:val="21"/>
                    </w:rPr>
                    <w:t>原料堆放区、</w:t>
                  </w:r>
                  <w:r>
                    <w:rPr>
                      <w:color w:val="000000"/>
                      <w:sz w:val="21"/>
                      <w:szCs w:val="21"/>
                    </w:rPr>
                    <w:t>一般</w:t>
                  </w:r>
                  <w:r>
                    <w:rPr>
                      <w:rFonts w:hint="eastAsia"/>
                      <w:color w:val="000000"/>
                      <w:sz w:val="21"/>
                      <w:szCs w:val="21"/>
                    </w:rPr>
                    <w:t>工业</w:t>
                  </w:r>
                  <w:r>
                    <w:rPr>
                      <w:color w:val="000000"/>
                      <w:sz w:val="21"/>
                      <w:szCs w:val="21"/>
                    </w:rPr>
                    <w:t>固废堆场</w:t>
                  </w:r>
                </w:p>
              </w:tc>
              <w:tc>
                <w:tcPr>
                  <w:tcW w:w="111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rPr>
                  </w:pPr>
                  <w:r>
                    <w:rPr>
                      <w:rFonts w:hint="eastAsia"/>
                      <w:color w:val="000000"/>
                      <w:sz w:val="21"/>
                      <w:szCs w:val="21"/>
                      <w:lang w:val="en-US" w:eastAsia="zh-CN"/>
                    </w:rPr>
                    <w:t>易</w:t>
                  </w:r>
                </w:p>
              </w:tc>
              <w:tc>
                <w:tcPr>
                  <w:tcW w:w="128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sz w:val="21"/>
                      <w:szCs w:val="21"/>
                      <w:lang w:val="en-US" w:eastAsia="zh-CN"/>
                    </w:rPr>
                  </w:pPr>
                  <w:r>
                    <w:rPr>
                      <w:rFonts w:hint="eastAsia"/>
                      <w:color w:val="000000"/>
                      <w:sz w:val="21"/>
                      <w:szCs w:val="21"/>
                      <w:lang w:val="en-US" w:eastAsia="zh-CN"/>
                    </w:rPr>
                    <w:t>中</w:t>
                  </w:r>
                </w:p>
              </w:tc>
              <w:tc>
                <w:tcPr>
                  <w:tcW w:w="94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val="en-US" w:eastAsia="zh-CN"/>
                    </w:rPr>
                  </w:pPr>
                  <w:r>
                    <w:rPr>
                      <w:rFonts w:hint="eastAsia"/>
                      <w:color w:val="000000"/>
                      <w:sz w:val="21"/>
                      <w:szCs w:val="21"/>
                      <w:lang w:val="en-US" w:eastAsia="zh-CN"/>
                    </w:rPr>
                    <w:t>其他类型</w:t>
                  </w:r>
                </w:p>
              </w:tc>
              <w:tc>
                <w:tcPr>
                  <w:tcW w:w="118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sz w:val="21"/>
                      <w:szCs w:val="21"/>
                      <w:lang w:val="en-US" w:eastAsia="zh-CN"/>
                    </w:rPr>
                  </w:pPr>
                  <w:r>
                    <w:rPr>
                      <w:rFonts w:hint="eastAsia"/>
                      <w:color w:val="000000"/>
                      <w:sz w:val="21"/>
                      <w:szCs w:val="21"/>
                      <w:lang w:val="en-US" w:eastAsia="zh-CN"/>
                    </w:rPr>
                    <w:t>简单防渗区</w:t>
                  </w:r>
                </w:p>
              </w:tc>
              <w:tc>
                <w:tcPr>
                  <w:tcW w:w="236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r>
                    <w:rPr>
                      <w:color w:val="000000"/>
                      <w:sz w:val="21"/>
                      <w:szCs w:val="21"/>
                    </w:rPr>
                    <w:t>一般地面硬化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6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r>
                    <w:rPr>
                      <w:color w:val="000000"/>
                      <w:sz w:val="21"/>
                      <w:szCs w:val="21"/>
                    </w:rPr>
                    <w:t>办公</w:t>
                  </w:r>
                  <w:r>
                    <w:rPr>
                      <w:rFonts w:hint="eastAsia"/>
                      <w:color w:val="000000"/>
                      <w:sz w:val="21"/>
                      <w:szCs w:val="21"/>
                    </w:rPr>
                    <w:t>区</w:t>
                  </w:r>
                </w:p>
              </w:tc>
              <w:tc>
                <w:tcPr>
                  <w:tcW w:w="111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rPr>
                  </w:pPr>
                  <w:r>
                    <w:rPr>
                      <w:rFonts w:hint="eastAsia"/>
                      <w:color w:val="000000"/>
                      <w:sz w:val="21"/>
                      <w:szCs w:val="21"/>
                      <w:lang w:val="en-US" w:eastAsia="zh-CN"/>
                    </w:rPr>
                    <w:t>易</w:t>
                  </w:r>
                </w:p>
              </w:tc>
              <w:tc>
                <w:tcPr>
                  <w:tcW w:w="128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val="en-US" w:eastAsia="zh-CN"/>
                    </w:rPr>
                  </w:pPr>
                  <w:r>
                    <w:rPr>
                      <w:rFonts w:hint="eastAsia"/>
                      <w:color w:val="000000"/>
                      <w:sz w:val="21"/>
                      <w:szCs w:val="21"/>
                      <w:lang w:val="en-US" w:eastAsia="zh-CN"/>
                    </w:rPr>
                    <w:t>中</w:t>
                  </w:r>
                </w:p>
              </w:tc>
              <w:tc>
                <w:tcPr>
                  <w:tcW w:w="94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val="en-US" w:eastAsia="zh-CN"/>
                    </w:rPr>
                  </w:pPr>
                  <w:r>
                    <w:rPr>
                      <w:rFonts w:hint="eastAsia"/>
                      <w:color w:val="000000"/>
                      <w:sz w:val="21"/>
                      <w:szCs w:val="21"/>
                      <w:lang w:val="en-US" w:eastAsia="zh-CN"/>
                    </w:rPr>
                    <w:t>其他类型</w:t>
                  </w:r>
                </w:p>
              </w:tc>
              <w:tc>
                <w:tcPr>
                  <w:tcW w:w="118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sz w:val="21"/>
                      <w:szCs w:val="21"/>
                      <w:lang w:val="en-US" w:eastAsia="zh-CN"/>
                    </w:rPr>
                  </w:pPr>
                  <w:r>
                    <w:rPr>
                      <w:rFonts w:hint="eastAsia"/>
                      <w:color w:val="000000"/>
                      <w:sz w:val="21"/>
                      <w:szCs w:val="21"/>
                      <w:lang w:val="en-US" w:eastAsia="zh-CN"/>
                    </w:rPr>
                    <w:t>简单防渗区</w:t>
                  </w:r>
                </w:p>
              </w:tc>
              <w:tc>
                <w:tcPr>
                  <w:tcW w:w="236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r>
                    <w:rPr>
                      <w:color w:val="000000"/>
                      <w:sz w:val="21"/>
                      <w:szCs w:val="21"/>
                    </w:rPr>
                    <w:t>一般地面硬化</w:t>
                  </w:r>
                </w:p>
              </w:tc>
            </w:tr>
          </w:tbl>
          <w:p>
            <w:pPr>
              <w:keepNext w:val="0"/>
              <w:keepLines w:val="0"/>
              <w:suppressLineNumbers w:val="0"/>
              <w:adjustRightInd w:val="0"/>
              <w:snapToGrid w:val="0"/>
              <w:spacing w:before="0" w:beforeAutospacing="0" w:after="0" w:afterAutospacing="0" w:line="500" w:lineRule="exact"/>
              <w:ind w:left="0" w:right="0" w:firstLine="480" w:firstLineChars="200"/>
              <w:rPr>
                <w:rFonts w:hint="eastAsia" w:ascii="Times New Roman" w:hAnsi="Times New Roman"/>
                <w:color w:val="auto"/>
                <w:sz w:val="24"/>
                <w:szCs w:val="22"/>
                <w:lang w:val="en-US" w:eastAsia="zh-CN"/>
              </w:rPr>
            </w:pPr>
            <w:r>
              <w:rPr>
                <w:rFonts w:hint="eastAsia" w:ascii="Times New Roman" w:hAnsi="Times New Roman"/>
                <w:color w:val="auto"/>
                <w:sz w:val="24"/>
                <w:szCs w:val="22"/>
                <w:lang w:val="en-US" w:eastAsia="zh-CN"/>
              </w:rPr>
              <w:t>项目对可能产生地下水影响的各项途径进行有效预防，在确保各项防渗措施得以落实，并加强维护和厂区环境管理的前提下，可有效控制厂区内的废水污染物下渗现象，避免污染地下水，因此项目对区域地下水环境</w:t>
            </w:r>
            <w:r>
              <w:rPr>
                <w:rFonts w:hint="eastAsia"/>
                <w:color w:val="auto"/>
                <w:sz w:val="24"/>
                <w:szCs w:val="22"/>
                <w:lang w:val="en-US" w:eastAsia="zh-CN"/>
              </w:rPr>
              <w:t>造成的影响极小</w:t>
            </w:r>
            <w:r>
              <w:rPr>
                <w:rFonts w:hint="eastAsia" w:ascii="Times New Roman" w:hAnsi="Times New Roman"/>
                <w:color w:val="auto"/>
                <w:sz w:val="24"/>
                <w:szCs w:val="22"/>
                <w:lang w:val="en-US" w:eastAsia="zh-CN"/>
              </w:rPr>
              <w:t>。</w:t>
            </w:r>
          </w:p>
          <w:p>
            <w:pPr>
              <w:keepNext w:val="0"/>
              <w:keepLines w:val="0"/>
              <w:suppressLineNumbers w:val="0"/>
              <w:adjustRightInd w:val="0"/>
              <w:snapToGrid w:val="0"/>
              <w:spacing w:before="0" w:beforeAutospacing="0" w:after="0" w:afterAutospacing="0" w:line="500" w:lineRule="exact"/>
              <w:ind w:left="0" w:right="0" w:firstLine="480" w:firstLineChars="200"/>
              <w:jc w:val="lef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（2）土壤</w:t>
            </w:r>
          </w:p>
          <w:p>
            <w:pPr>
              <w:keepNext w:val="0"/>
              <w:keepLines w:val="0"/>
              <w:suppressLineNumbers w:val="0"/>
              <w:adjustRightInd w:val="0"/>
              <w:snapToGrid w:val="0"/>
              <w:spacing w:before="0" w:beforeAutospacing="0" w:after="0" w:afterAutospacing="0" w:line="500" w:lineRule="exact"/>
              <w:ind w:left="0" w:right="0" w:firstLine="480" w:firstLineChars="20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根据工程分析，项目运行过程中可能会引起企业内及周边土壤环境影响的途径包括地面漫流、垂直入渗，项目可能污染土壤的物质包括废水、固废等，主要污染源为</w:t>
            </w:r>
            <w:r>
              <w:rPr>
                <w:rFonts w:hint="eastAsia" w:cs="Times New Roman"/>
                <w:color w:val="auto"/>
                <w:sz w:val="24"/>
                <w:szCs w:val="24"/>
                <w:highlight w:val="none"/>
                <w:lang w:val="en-US" w:eastAsia="zh-CN"/>
              </w:rPr>
              <w:t>危废贮存点</w:t>
            </w:r>
            <w:r>
              <w:rPr>
                <w:rFonts w:hint="eastAsia" w:ascii="Times New Roman" w:hAnsi="Times New Roman" w:eastAsia="宋体" w:cs="Times New Roman"/>
                <w:color w:val="auto"/>
                <w:sz w:val="24"/>
                <w:szCs w:val="24"/>
                <w:highlight w:val="none"/>
                <w:lang w:val="en-US" w:eastAsia="zh-CN"/>
              </w:rPr>
              <w:t>。</w:t>
            </w:r>
          </w:p>
          <w:p>
            <w:pPr>
              <w:keepNext w:val="0"/>
              <w:keepLines w:val="0"/>
              <w:suppressLineNumbers w:val="0"/>
              <w:adjustRightInd w:val="0"/>
              <w:snapToGrid w:val="0"/>
              <w:spacing w:before="0" w:beforeAutospacing="0" w:after="0" w:afterAutospacing="0" w:line="500" w:lineRule="exact"/>
              <w:ind w:left="0" w:right="0" w:firstLine="480" w:firstLineChars="20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本项目废气主要为</w:t>
            </w:r>
            <w:r>
              <w:rPr>
                <w:rFonts w:hint="eastAsia" w:eastAsia="宋体" w:cs="Times New Roman"/>
                <w:color w:val="auto"/>
                <w:sz w:val="24"/>
                <w:szCs w:val="24"/>
                <w:highlight w:val="none"/>
                <w:lang w:val="en-US" w:eastAsia="zh-CN"/>
              </w:rPr>
              <w:t>印刷废气</w:t>
            </w:r>
            <w:r>
              <w:rPr>
                <w:rFonts w:hint="eastAsia" w:cs="Times New Roman"/>
                <w:color w:val="auto"/>
                <w:sz w:val="24"/>
                <w:szCs w:val="24"/>
                <w:highlight w:val="none"/>
                <w:lang w:val="en-US" w:eastAsia="zh-CN"/>
              </w:rPr>
              <w:t>、胶黏废气、热熔胶废气、分切粉尘、木粉尘、危废贮存点废气</w:t>
            </w:r>
            <w:r>
              <w:rPr>
                <w:rFonts w:hint="eastAsia" w:ascii="Times New Roman" w:hAnsi="Times New Roman" w:eastAsia="宋体" w:cs="Times New Roman"/>
                <w:color w:val="auto"/>
                <w:sz w:val="24"/>
                <w:szCs w:val="24"/>
                <w:highlight w:val="none"/>
                <w:lang w:val="en-US" w:eastAsia="zh-CN"/>
              </w:rPr>
              <w:t>，不涉及重金属粉尘，正常情况下不会对土壤造成明显影响。</w:t>
            </w:r>
          </w:p>
          <w:p>
            <w:pPr>
              <w:keepNext w:val="0"/>
              <w:keepLines w:val="0"/>
              <w:pageBreakBefore w:val="0"/>
              <w:widowControl w:val="0"/>
              <w:suppressLineNumbers w:val="0"/>
              <w:kinsoku/>
              <w:wordWrap/>
              <w:overflowPunct/>
              <w:topLinePunct w:val="0"/>
              <w:autoSpaceDE/>
              <w:autoSpaceDN/>
              <w:bidi w:val="0"/>
              <w:spacing w:line="5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本项目废水主要为生活污水，生活污水</w:t>
            </w:r>
            <w:r>
              <w:rPr>
                <w:rFonts w:hint="eastAsia" w:ascii="Times New Roman" w:hAnsi="Times New Roman" w:eastAsia="宋体" w:cs="Times New Roman"/>
                <w:color w:val="auto"/>
                <w:kern w:val="2"/>
                <w:sz w:val="24"/>
                <w:szCs w:val="24"/>
                <w:lang w:val="en-US" w:eastAsia="zh-CN" w:bidi="ar"/>
              </w:rPr>
              <w:t>接管至</w:t>
            </w:r>
            <w:r>
              <w:rPr>
                <w:rFonts w:hint="eastAsia" w:ascii="Times New Roman" w:hAnsi="Times New Roman" w:cs="Times New Roman"/>
                <w:color w:val="auto"/>
                <w:kern w:val="2"/>
                <w:sz w:val="24"/>
                <w:szCs w:val="24"/>
                <w:lang w:val="en-US" w:eastAsia="zh-CN" w:bidi="ar"/>
              </w:rPr>
              <w:t>海安</w:t>
            </w:r>
            <w:r>
              <w:rPr>
                <w:rFonts w:hint="eastAsia" w:cs="Times New Roman"/>
                <w:color w:val="auto"/>
                <w:kern w:val="2"/>
                <w:sz w:val="24"/>
                <w:szCs w:val="24"/>
                <w:lang w:val="en-US" w:eastAsia="zh-CN" w:bidi="ar"/>
              </w:rPr>
              <w:t>市惠泽净水有限公司</w:t>
            </w:r>
            <w:r>
              <w:rPr>
                <w:rFonts w:hint="eastAsia" w:ascii="Times New Roman" w:hAnsi="Times New Roman" w:eastAsia="宋体" w:cs="Times New Roman"/>
                <w:color w:val="auto"/>
                <w:kern w:val="2"/>
                <w:sz w:val="24"/>
                <w:szCs w:val="24"/>
                <w:lang w:val="en-US" w:eastAsia="zh-CN" w:bidi="ar"/>
              </w:rPr>
              <w:t>处理，达标尾水排入</w:t>
            </w:r>
            <w:r>
              <w:rPr>
                <w:rFonts w:hint="eastAsia" w:eastAsia="宋体" w:cs="Times New Roman"/>
                <w:color w:val="auto"/>
                <w:kern w:val="2"/>
                <w:sz w:val="24"/>
                <w:szCs w:val="24"/>
                <w:lang w:val="en-US" w:eastAsia="zh-CN" w:bidi="ar"/>
              </w:rPr>
              <w:t>洋蛮</w:t>
            </w:r>
            <w:r>
              <w:rPr>
                <w:rFonts w:hint="eastAsia" w:ascii="Times New Roman" w:hAnsi="Times New Roman" w:eastAsia="宋体" w:cs="Times New Roman"/>
                <w:color w:val="auto"/>
                <w:kern w:val="2"/>
                <w:sz w:val="24"/>
                <w:szCs w:val="24"/>
                <w:lang w:val="en-US" w:eastAsia="zh-CN" w:bidi="ar"/>
              </w:rPr>
              <w:t>河。</w:t>
            </w:r>
            <w:r>
              <w:rPr>
                <w:rFonts w:hint="eastAsia" w:ascii="Times New Roman" w:hAnsi="Times New Roman" w:eastAsia="宋体" w:cs="Times New Roman"/>
                <w:color w:val="auto"/>
                <w:sz w:val="24"/>
                <w:szCs w:val="24"/>
                <w:highlight w:val="none"/>
                <w:lang w:val="en-US" w:eastAsia="zh-CN"/>
              </w:rPr>
              <w:t>正常情况下废水不会对土壤造成明显影响。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本项目固体废物主要为生产过程中产生的</w:t>
            </w:r>
            <w:r>
              <w:rPr>
                <w:rFonts w:hint="default" w:ascii="Times New Roman" w:hAnsi="Times New Roman" w:eastAsia="宋体" w:cs="Times New Roman"/>
                <w:color w:val="auto"/>
                <w:sz w:val="24"/>
                <w:szCs w:val="22"/>
                <w:highlight w:val="none"/>
              </w:rPr>
              <w:t>废边角料</w:t>
            </w:r>
            <w:r>
              <w:rPr>
                <w:rFonts w:hint="eastAsia" w:cs="Times New Roman"/>
                <w:color w:val="auto"/>
                <w:sz w:val="24"/>
                <w:szCs w:val="22"/>
                <w:highlight w:val="none"/>
                <w:lang w:eastAsia="zh-CN"/>
              </w:rPr>
              <w:t>、</w:t>
            </w:r>
            <w:r>
              <w:rPr>
                <w:rFonts w:hint="default" w:ascii="Times New Roman" w:hAnsi="Times New Roman" w:eastAsia="宋体" w:cs="Times New Roman"/>
                <w:color w:val="auto"/>
                <w:sz w:val="24"/>
                <w:szCs w:val="22"/>
                <w:highlight w:val="none"/>
              </w:rPr>
              <w:t>废包装</w:t>
            </w:r>
            <w:r>
              <w:rPr>
                <w:rFonts w:hint="eastAsia" w:cs="Times New Roman"/>
                <w:color w:val="auto"/>
                <w:sz w:val="24"/>
                <w:szCs w:val="22"/>
                <w:highlight w:val="none"/>
                <w:lang w:val="en-US" w:eastAsia="zh-CN"/>
              </w:rPr>
              <w:t>桶</w:t>
            </w:r>
            <w:r>
              <w:rPr>
                <w:rFonts w:hint="eastAsia" w:cs="Times New Roman"/>
                <w:color w:val="auto"/>
                <w:sz w:val="24"/>
                <w:szCs w:val="22"/>
                <w:highlight w:val="none"/>
                <w:lang w:eastAsia="zh-CN"/>
              </w:rPr>
              <w:t>、</w:t>
            </w:r>
            <w:r>
              <w:rPr>
                <w:rFonts w:hint="eastAsia" w:cs="Times New Roman"/>
                <w:color w:val="auto"/>
                <w:sz w:val="24"/>
                <w:szCs w:val="22"/>
                <w:highlight w:val="none"/>
                <w:lang w:val="en-US" w:eastAsia="zh-CN"/>
              </w:rPr>
              <w:t>一般废包装材料、</w:t>
            </w:r>
            <w:r>
              <w:rPr>
                <w:rFonts w:hint="default" w:ascii="Times New Roman" w:hAnsi="Times New Roman" w:eastAsia="宋体" w:cs="Times New Roman"/>
                <w:color w:val="auto"/>
                <w:sz w:val="24"/>
                <w:szCs w:val="22"/>
                <w:highlight w:val="none"/>
              </w:rPr>
              <w:t>废劳保用品</w:t>
            </w:r>
            <w:r>
              <w:rPr>
                <w:rFonts w:hint="eastAsia" w:cs="Times New Roman"/>
                <w:color w:val="auto"/>
                <w:sz w:val="24"/>
                <w:szCs w:val="22"/>
                <w:highlight w:val="none"/>
                <w:lang w:eastAsia="zh-CN"/>
              </w:rPr>
              <w:t>、</w:t>
            </w:r>
            <w:r>
              <w:rPr>
                <w:rFonts w:hint="default" w:ascii="Times New Roman" w:hAnsi="Times New Roman" w:eastAsia="宋体" w:cs="Times New Roman"/>
                <w:color w:val="auto"/>
                <w:sz w:val="24"/>
                <w:szCs w:val="22"/>
                <w:highlight w:val="none"/>
              </w:rPr>
              <w:t>废活性炭</w:t>
            </w:r>
            <w:r>
              <w:rPr>
                <w:rFonts w:hint="eastAsia" w:cs="Times New Roman"/>
                <w:color w:val="auto"/>
                <w:sz w:val="24"/>
                <w:szCs w:val="22"/>
                <w:highlight w:val="none"/>
                <w:lang w:eastAsia="zh-CN"/>
              </w:rPr>
              <w:t>、</w:t>
            </w:r>
            <w:r>
              <w:rPr>
                <w:rFonts w:hint="eastAsia" w:cs="Times New Roman"/>
                <w:color w:val="auto"/>
                <w:sz w:val="24"/>
                <w:szCs w:val="22"/>
                <w:highlight w:val="none"/>
                <w:lang w:val="en-US" w:eastAsia="zh-CN"/>
              </w:rPr>
              <w:t>废润滑油、废润滑油桶、含油废液、清洗废液、</w:t>
            </w:r>
            <w:r>
              <w:rPr>
                <w:rFonts w:hint="default" w:ascii="Times New Roman" w:hAnsi="Times New Roman" w:eastAsia="宋体" w:cs="Times New Roman"/>
                <w:color w:val="auto"/>
                <w:sz w:val="24"/>
                <w:szCs w:val="22"/>
                <w:highlight w:val="none"/>
              </w:rPr>
              <w:t>生活垃圾</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2"/>
                <w:highlight w:val="none"/>
              </w:rPr>
              <w:t>废边角料</w:t>
            </w:r>
            <w:r>
              <w:rPr>
                <w:rFonts w:hint="eastAsia" w:cs="Times New Roman"/>
                <w:color w:val="auto"/>
                <w:sz w:val="24"/>
                <w:szCs w:val="22"/>
                <w:highlight w:val="none"/>
                <w:lang w:eastAsia="zh-CN"/>
              </w:rPr>
              <w:t>、</w:t>
            </w:r>
            <w:r>
              <w:rPr>
                <w:rFonts w:hint="eastAsia" w:cs="Times New Roman"/>
                <w:color w:val="auto"/>
                <w:sz w:val="24"/>
                <w:szCs w:val="22"/>
                <w:highlight w:val="none"/>
                <w:lang w:val="en-US" w:eastAsia="zh-CN"/>
              </w:rPr>
              <w:t>一般</w:t>
            </w:r>
            <w:r>
              <w:rPr>
                <w:rFonts w:hint="default" w:ascii="Times New Roman" w:hAnsi="Times New Roman" w:eastAsia="宋体" w:cs="Times New Roman"/>
                <w:color w:val="auto"/>
                <w:sz w:val="24"/>
                <w:szCs w:val="22"/>
                <w:highlight w:val="none"/>
              </w:rPr>
              <w:t>废包装材料</w:t>
            </w:r>
            <w:r>
              <w:rPr>
                <w:rFonts w:hint="eastAsia" w:ascii="Times New Roman" w:hAnsi="Times New Roman" w:eastAsia="宋体" w:cs="Times New Roman"/>
                <w:color w:val="auto"/>
                <w:sz w:val="24"/>
                <w:szCs w:val="24"/>
                <w:highlight w:val="none"/>
                <w:lang w:val="en-US" w:eastAsia="zh-CN"/>
              </w:rPr>
              <w:t>收集后外售；</w:t>
            </w:r>
            <w:r>
              <w:rPr>
                <w:rFonts w:hint="default" w:ascii="Times New Roman" w:hAnsi="Times New Roman" w:eastAsia="宋体" w:cs="Times New Roman"/>
                <w:color w:val="auto"/>
                <w:kern w:val="0"/>
                <w:sz w:val="24"/>
                <w:szCs w:val="24"/>
                <w:highlight w:val="none"/>
              </w:rPr>
              <w:t>废劳保用品、废活性炭袋装密封，废润滑油、含油废</w:t>
            </w:r>
            <w:r>
              <w:rPr>
                <w:rFonts w:hint="eastAsia" w:cs="Times New Roman"/>
                <w:color w:val="auto"/>
                <w:kern w:val="0"/>
                <w:sz w:val="24"/>
                <w:szCs w:val="24"/>
                <w:highlight w:val="none"/>
                <w:lang w:val="en-US" w:eastAsia="zh-CN"/>
              </w:rPr>
              <w:t>液、清洗废液桶装</w:t>
            </w:r>
            <w:r>
              <w:rPr>
                <w:rFonts w:hint="default" w:ascii="Times New Roman" w:hAnsi="Times New Roman" w:eastAsia="宋体" w:cs="Times New Roman"/>
                <w:color w:val="auto"/>
                <w:kern w:val="0"/>
                <w:sz w:val="24"/>
                <w:szCs w:val="24"/>
                <w:highlight w:val="none"/>
              </w:rPr>
              <w:t>密封</w:t>
            </w:r>
            <w:r>
              <w:rPr>
                <w:rFonts w:hint="eastAsia"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采用托盘堆放，</w:t>
            </w:r>
            <w:r>
              <w:rPr>
                <w:rFonts w:hint="eastAsia"/>
                <w:color w:val="auto"/>
                <w:kern w:val="0"/>
                <w:sz w:val="24"/>
                <w:szCs w:val="24"/>
                <w:lang w:val="en-US" w:eastAsia="zh-CN"/>
              </w:rPr>
              <w:t>废包装</w:t>
            </w:r>
            <w:r>
              <w:rPr>
                <w:rFonts w:hint="eastAsia"/>
                <w:color w:val="auto"/>
                <w:kern w:val="0"/>
                <w:sz w:val="24"/>
                <w:szCs w:val="24"/>
              </w:rPr>
              <w:t>桶</w:t>
            </w:r>
            <w:r>
              <w:rPr>
                <w:rFonts w:hint="eastAsia"/>
                <w:color w:val="auto"/>
                <w:kern w:val="0"/>
                <w:sz w:val="24"/>
                <w:szCs w:val="24"/>
                <w:lang w:eastAsia="zh-CN"/>
              </w:rPr>
              <w:t>、</w:t>
            </w:r>
            <w:r>
              <w:rPr>
                <w:rFonts w:hint="eastAsia"/>
                <w:color w:val="auto"/>
                <w:kern w:val="0"/>
                <w:sz w:val="24"/>
                <w:szCs w:val="24"/>
                <w:lang w:val="en-US" w:eastAsia="zh-CN"/>
              </w:rPr>
              <w:t>废润滑油桶</w:t>
            </w:r>
            <w:r>
              <w:rPr>
                <w:rFonts w:hint="eastAsia"/>
                <w:color w:val="auto"/>
                <w:kern w:val="0"/>
                <w:sz w:val="24"/>
                <w:szCs w:val="24"/>
              </w:rPr>
              <w:t>加盖密封贮存在</w:t>
            </w:r>
            <w:r>
              <w:rPr>
                <w:rFonts w:hint="eastAsia"/>
                <w:color w:val="auto"/>
                <w:kern w:val="0"/>
                <w:sz w:val="24"/>
                <w:szCs w:val="24"/>
                <w:lang w:eastAsia="zh-CN"/>
              </w:rPr>
              <w:t>危废贮存点，</w:t>
            </w:r>
            <w:r>
              <w:rPr>
                <w:rFonts w:hint="default" w:ascii="Times New Roman" w:hAnsi="Times New Roman" w:eastAsia="宋体" w:cs="Times New Roman"/>
                <w:color w:val="auto"/>
                <w:kern w:val="0"/>
                <w:sz w:val="24"/>
                <w:szCs w:val="24"/>
                <w:highlight w:val="none"/>
              </w:rPr>
              <w:t>危险废物分类分区贮存于</w:t>
            </w:r>
            <w:r>
              <w:rPr>
                <w:rFonts w:hint="eastAsia" w:cs="Times New Roman"/>
                <w:color w:val="auto"/>
                <w:kern w:val="0"/>
                <w:sz w:val="24"/>
                <w:szCs w:val="24"/>
                <w:highlight w:val="none"/>
                <w:lang w:eastAsia="zh-CN"/>
              </w:rPr>
              <w:t>危废贮存点</w:t>
            </w:r>
            <w:r>
              <w:rPr>
                <w:rFonts w:hint="default" w:ascii="Times New Roman" w:hAnsi="Times New Roman" w:eastAsia="宋体" w:cs="Times New Roman"/>
                <w:color w:val="auto"/>
                <w:kern w:val="0"/>
                <w:sz w:val="24"/>
                <w:szCs w:val="24"/>
                <w:highlight w:val="none"/>
              </w:rPr>
              <w:t>内</w:t>
            </w:r>
            <w:r>
              <w:rPr>
                <w:rFonts w:hint="eastAsia" w:ascii="Times New Roman" w:hAnsi="Times New Roman" w:eastAsia="宋体" w:cs="Times New Roman"/>
                <w:color w:val="auto"/>
                <w:sz w:val="24"/>
                <w:szCs w:val="24"/>
                <w:highlight w:val="none"/>
                <w:lang w:val="en-US" w:eastAsia="zh-CN"/>
              </w:rPr>
              <w:t>交由有资质单位处置；生活垃圾一并由环卫部门统一清运。本项目产生的固体废物全部综合利用或妥善处置，不外排。正常情况下不会对土壤造成明显影响。可能对土壤环境影响的污染特征是危废</w:t>
            </w:r>
            <w:r>
              <w:rPr>
                <w:rFonts w:hint="eastAsia" w:cs="Times New Roman"/>
                <w:color w:val="auto"/>
                <w:sz w:val="24"/>
                <w:szCs w:val="24"/>
                <w:highlight w:val="none"/>
                <w:lang w:val="en-US" w:eastAsia="zh-CN"/>
              </w:rPr>
              <w:t>泄漏</w:t>
            </w:r>
            <w:r>
              <w:rPr>
                <w:rFonts w:hint="eastAsia" w:ascii="Times New Roman" w:hAnsi="Times New Roman" w:eastAsia="宋体" w:cs="Times New Roman"/>
                <w:color w:val="auto"/>
                <w:sz w:val="24"/>
                <w:szCs w:val="24"/>
                <w:highlight w:val="none"/>
                <w:lang w:val="en-US" w:eastAsia="zh-CN"/>
              </w:rPr>
              <w:t>污染周边土壤，本次环评要求定期对所贮存的危险废物包装容器进行检查，发现破损，及时更换、维修，发现隐患问题，应及时处理，不能及时处理的要立即上报给相关领导；危废转移及运输过程中，必须用包装袋装好，以防转移及运输过程中有遗失或破损造成的</w:t>
            </w:r>
            <w:r>
              <w:rPr>
                <w:rFonts w:hint="eastAsia" w:cs="Times New Roman"/>
                <w:color w:val="auto"/>
                <w:sz w:val="24"/>
                <w:szCs w:val="24"/>
                <w:highlight w:val="none"/>
                <w:lang w:val="en-US" w:eastAsia="zh-CN"/>
              </w:rPr>
              <w:t>泄漏</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textAlignment w:val="auto"/>
              <w:rPr>
                <w:rFonts w:hint="eastAsia"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综上，企业在采取相应的土壤环境污染防治措施后，不会对项目地造成</w:t>
            </w:r>
            <w:r>
              <w:rPr>
                <w:rFonts w:hint="eastAsia" w:eastAsia="宋体" w:cs="Times New Roman"/>
                <w:color w:val="auto"/>
                <w:sz w:val="24"/>
                <w:szCs w:val="24"/>
                <w:highlight w:val="none"/>
                <w:lang w:val="en-US" w:eastAsia="zh-CN"/>
              </w:rPr>
              <w:t>明显的</w:t>
            </w:r>
            <w:r>
              <w:rPr>
                <w:rFonts w:hint="eastAsia" w:ascii="Times New Roman" w:hAnsi="Times New Roman" w:eastAsia="宋体" w:cs="Times New Roman"/>
                <w:color w:val="auto"/>
                <w:sz w:val="24"/>
                <w:szCs w:val="24"/>
                <w:highlight w:val="none"/>
                <w:lang w:val="en-US" w:eastAsia="zh-CN"/>
              </w:rPr>
              <w:t>土壤影响。</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 xml:space="preserve">6、环境风险 </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（1）风险调查</w:t>
            </w:r>
          </w:p>
          <w:p>
            <w:pPr>
              <w:pStyle w:val="4"/>
              <w:pageBreakBefore w:val="0"/>
              <w:widowControl w:val="0"/>
              <w:kinsoku/>
              <w:wordWrap/>
              <w:overflowPunct/>
              <w:topLinePunct w:val="0"/>
              <w:autoSpaceDE/>
              <w:autoSpaceDN/>
              <w:bidi w:val="0"/>
              <w:spacing w:before="0" w:after="0" w:line="500" w:lineRule="exact"/>
              <w:ind w:firstLine="480" w:firstLineChars="200"/>
              <w:textAlignment w:val="auto"/>
              <w:rPr>
                <w:rFonts w:hint="eastAsia" w:cs="Times New Roman"/>
                <w:b w:val="0"/>
                <w:bCs w:val="0"/>
                <w:sz w:val="24"/>
                <w:szCs w:val="24"/>
                <w:lang w:val="en-US" w:eastAsia="zh-CN"/>
              </w:rPr>
            </w:pPr>
            <w:r>
              <w:rPr>
                <w:rFonts w:hint="eastAsia" w:cs="Times New Roman"/>
                <w:b w:val="0"/>
                <w:bCs w:val="0"/>
                <w:sz w:val="24"/>
                <w:szCs w:val="24"/>
                <w:lang w:val="en-US" w:eastAsia="zh-CN"/>
              </w:rPr>
              <w:t>本项目涉及危险物质及数量见下表。</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b/>
                <w:bCs/>
                <w:color w:val="000000"/>
                <w:sz w:val="24"/>
                <w:szCs w:val="24"/>
              </w:rPr>
            </w:pPr>
            <w:r>
              <w:rPr>
                <w:rFonts w:ascii="Times New Roman" w:hAnsi="Times New Roman"/>
                <w:b/>
                <w:bCs/>
                <w:color w:val="000000"/>
                <w:sz w:val="24"/>
                <w:szCs w:val="24"/>
              </w:rPr>
              <w:t>表</w:t>
            </w:r>
            <w:r>
              <w:rPr>
                <w:rFonts w:hint="eastAsia"/>
                <w:b/>
                <w:bCs/>
                <w:color w:val="000000"/>
                <w:sz w:val="24"/>
                <w:szCs w:val="24"/>
                <w:lang w:val="en-US" w:eastAsia="zh-CN"/>
              </w:rPr>
              <w:t xml:space="preserve">4-32  </w:t>
            </w:r>
            <w:r>
              <w:rPr>
                <w:rFonts w:hint="eastAsia"/>
                <w:b/>
                <w:bCs/>
                <w:color w:val="000000"/>
                <w:sz w:val="24"/>
                <w:szCs w:val="24"/>
              </w:rPr>
              <w:t>本项目</w:t>
            </w:r>
            <w:r>
              <w:rPr>
                <w:rFonts w:ascii="Times New Roman" w:hAnsi="Times New Roman"/>
                <w:b/>
                <w:bCs/>
                <w:color w:val="000000"/>
                <w:sz w:val="24"/>
                <w:szCs w:val="24"/>
              </w:rPr>
              <w:t>涉及的危险物质及数量</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58"/>
              <w:gridCol w:w="1962"/>
              <w:gridCol w:w="1593"/>
              <w:gridCol w:w="1328"/>
              <w:gridCol w:w="1329"/>
              <w:gridCol w:w="15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8" w:type="dxa"/>
                  <w:noWrap w:val="0"/>
                  <w:vAlign w:val="center"/>
                </w:tcPr>
                <w:p>
                  <w:pPr>
                    <w:pStyle w:val="31"/>
                    <w:jc w:val="center"/>
                    <w:rPr>
                      <w:rFonts w:ascii="Times New Roman" w:hAnsi="Times New Roman"/>
                      <w:b/>
                      <w:bCs/>
                      <w:color w:val="000000"/>
                      <w:sz w:val="21"/>
                      <w:szCs w:val="21"/>
                      <w:lang w:eastAsia="zh-CN"/>
                    </w:rPr>
                  </w:pPr>
                  <w:r>
                    <w:rPr>
                      <w:rFonts w:ascii="Times New Roman" w:hAnsi="Times New Roman"/>
                      <w:b/>
                      <w:bCs/>
                      <w:color w:val="000000"/>
                      <w:sz w:val="21"/>
                      <w:szCs w:val="21"/>
                      <w:lang w:eastAsia="zh-CN"/>
                    </w:rPr>
                    <w:t>序号</w:t>
                  </w:r>
                </w:p>
              </w:tc>
              <w:tc>
                <w:tcPr>
                  <w:tcW w:w="1962" w:type="dxa"/>
                  <w:noWrap w:val="0"/>
                  <w:vAlign w:val="center"/>
                </w:tcPr>
                <w:p>
                  <w:pPr>
                    <w:pStyle w:val="31"/>
                    <w:jc w:val="center"/>
                    <w:rPr>
                      <w:rFonts w:ascii="Times New Roman" w:hAnsi="Times New Roman"/>
                      <w:b/>
                      <w:bCs/>
                      <w:color w:val="000000"/>
                      <w:sz w:val="21"/>
                      <w:szCs w:val="21"/>
                      <w:lang w:eastAsia="zh-CN"/>
                    </w:rPr>
                  </w:pPr>
                  <w:r>
                    <w:rPr>
                      <w:rFonts w:ascii="Times New Roman" w:hAnsi="Times New Roman"/>
                      <w:b/>
                      <w:bCs/>
                      <w:color w:val="000000"/>
                      <w:sz w:val="21"/>
                      <w:szCs w:val="21"/>
                      <w:lang w:eastAsia="zh-CN"/>
                    </w:rPr>
                    <w:t>名称</w:t>
                  </w:r>
                </w:p>
              </w:tc>
              <w:tc>
                <w:tcPr>
                  <w:tcW w:w="1593" w:type="dxa"/>
                  <w:noWrap w:val="0"/>
                  <w:vAlign w:val="center"/>
                </w:tcPr>
                <w:p>
                  <w:pPr>
                    <w:pStyle w:val="31"/>
                    <w:jc w:val="center"/>
                    <w:rPr>
                      <w:rFonts w:ascii="Times New Roman" w:hAnsi="Times New Roman"/>
                      <w:b/>
                      <w:bCs/>
                      <w:color w:val="000000"/>
                      <w:sz w:val="21"/>
                      <w:szCs w:val="21"/>
                      <w:lang w:eastAsia="zh-CN"/>
                    </w:rPr>
                  </w:pPr>
                  <w:r>
                    <w:rPr>
                      <w:rFonts w:ascii="Times New Roman" w:hAnsi="Times New Roman"/>
                      <w:b/>
                      <w:bCs/>
                      <w:color w:val="000000"/>
                      <w:sz w:val="21"/>
                      <w:szCs w:val="21"/>
                      <w:lang w:eastAsia="zh-CN"/>
                    </w:rPr>
                    <w:t>最大存在量（t）</w:t>
                  </w:r>
                </w:p>
              </w:tc>
              <w:tc>
                <w:tcPr>
                  <w:tcW w:w="1328" w:type="dxa"/>
                  <w:noWrap w:val="0"/>
                  <w:vAlign w:val="center"/>
                </w:tcPr>
                <w:p>
                  <w:pPr>
                    <w:pStyle w:val="31"/>
                    <w:jc w:val="center"/>
                    <w:rPr>
                      <w:rFonts w:ascii="Times New Roman" w:hAnsi="Times New Roman"/>
                      <w:b/>
                      <w:bCs/>
                      <w:color w:val="000000"/>
                      <w:sz w:val="21"/>
                      <w:szCs w:val="21"/>
                      <w:lang w:eastAsia="zh-CN"/>
                    </w:rPr>
                  </w:pPr>
                  <w:r>
                    <w:rPr>
                      <w:rFonts w:ascii="Times New Roman" w:hAnsi="Times New Roman"/>
                      <w:b/>
                      <w:bCs/>
                      <w:color w:val="000000"/>
                      <w:sz w:val="21"/>
                      <w:szCs w:val="21"/>
                      <w:lang w:eastAsia="zh-CN"/>
                    </w:rPr>
                    <w:t>临界量t</w:t>
                  </w:r>
                </w:p>
              </w:tc>
              <w:tc>
                <w:tcPr>
                  <w:tcW w:w="1329" w:type="dxa"/>
                  <w:noWrap w:val="0"/>
                  <w:vAlign w:val="center"/>
                </w:tcPr>
                <w:p>
                  <w:pPr>
                    <w:pStyle w:val="31"/>
                    <w:jc w:val="center"/>
                    <w:rPr>
                      <w:rFonts w:ascii="Times New Roman" w:hAnsi="Times New Roman"/>
                      <w:b/>
                      <w:bCs/>
                      <w:color w:val="000000"/>
                      <w:sz w:val="21"/>
                      <w:szCs w:val="21"/>
                      <w:lang w:eastAsia="zh-CN"/>
                    </w:rPr>
                  </w:pPr>
                  <w:r>
                    <w:rPr>
                      <w:rFonts w:ascii="Times New Roman" w:hAnsi="Times New Roman"/>
                      <w:b/>
                      <w:bCs/>
                      <w:color w:val="000000"/>
                      <w:sz w:val="21"/>
                      <w:szCs w:val="21"/>
                      <w:lang w:eastAsia="zh-CN"/>
                    </w:rPr>
                    <w:t>q/Q</w:t>
                  </w:r>
                </w:p>
              </w:tc>
              <w:tc>
                <w:tcPr>
                  <w:tcW w:w="1534" w:type="dxa"/>
                  <w:noWrap w:val="0"/>
                  <w:vAlign w:val="center"/>
                </w:tcPr>
                <w:p>
                  <w:pPr>
                    <w:pStyle w:val="31"/>
                    <w:jc w:val="center"/>
                    <w:rPr>
                      <w:rFonts w:ascii="Times New Roman" w:hAnsi="Times New Roman"/>
                      <w:b/>
                      <w:bCs/>
                      <w:color w:val="000000"/>
                      <w:sz w:val="21"/>
                      <w:szCs w:val="21"/>
                      <w:lang w:eastAsia="zh-CN"/>
                    </w:rPr>
                  </w:pPr>
                  <w:r>
                    <w:rPr>
                      <w:rFonts w:hint="eastAsia" w:ascii="Times New Roman" w:hAnsi="Times New Roman"/>
                      <w:b/>
                      <w:bCs/>
                      <w:color w:val="000000"/>
                      <w:sz w:val="21"/>
                      <w:szCs w:val="21"/>
                      <w:lang w:val="en-US" w:eastAsia="zh-CN"/>
                    </w:rPr>
                    <w:t>存在</w:t>
                  </w:r>
                  <w:r>
                    <w:rPr>
                      <w:rFonts w:ascii="Times New Roman" w:hAnsi="Times New Roman"/>
                      <w:b/>
                      <w:bCs/>
                      <w:color w:val="000000"/>
                      <w:sz w:val="21"/>
                      <w:szCs w:val="21"/>
                      <w:lang w:eastAsia="zh-CN"/>
                    </w:rPr>
                    <w:t>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8" w:type="dxa"/>
                  <w:noWrap w:val="0"/>
                  <w:vAlign w:val="center"/>
                </w:tcPr>
                <w:p>
                  <w:pPr>
                    <w:pStyle w:val="31"/>
                    <w:jc w:val="center"/>
                    <w:rPr>
                      <w:rFonts w:ascii="Times New Roman" w:hAnsi="Times New Roman"/>
                      <w:color w:val="000000"/>
                      <w:sz w:val="21"/>
                      <w:szCs w:val="21"/>
                      <w:lang w:eastAsia="zh-CN"/>
                    </w:rPr>
                  </w:pPr>
                  <w:r>
                    <w:rPr>
                      <w:rFonts w:ascii="Times New Roman" w:hAnsi="Times New Roman"/>
                      <w:color w:val="000000"/>
                      <w:sz w:val="21"/>
                      <w:szCs w:val="21"/>
                      <w:lang w:eastAsia="zh-CN"/>
                    </w:rPr>
                    <w:t>1</w:t>
                  </w:r>
                </w:p>
              </w:tc>
              <w:tc>
                <w:tcPr>
                  <w:tcW w:w="1962"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水性油墨</w:t>
                  </w:r>
                </w:p>
              </w:tc>
              <w:tc>
                <w:tcPr>
                  <w:tcW w:w="1593" w:type="dxa"/>
                  <w:noWrap w:val="0"/>
                  <w:vAlign w:val="center"/>
                </w:tcPr>
                <w:p>
                  <w:pPr>
                    <w:jc w:val="center"/>
                    <w:rPr>
                      <w:rFonts w:hint="default" w:ascii="Times New Roman" w:hAnsi="Times New Roman" w:eastAsia="宋体"/>
                      <w:color w:val="000000"/>
                      <w:sz w:val="21"/>
                      <w:szCs w:val="21"/>
                      <w:lang w:val="en-US" w:eastAsia="zh-CN"/>
                    </w:rPr>
                  </w:pPr>
                  <w:r>
                    <w:rPr>
                      <w:rFonts w:hint="eastAsia"/>
                      <w:color w:val="000000"/>
                      <w:sz w:val="21"/>
                      <w:szCs w:val="21"/>
                      <w:lang w:val="en-US" w:eastAsia="zh-CN"/>
                    </w:rPr>
                    <w:t>0.1</w:t>
                  </w:r>
                </w:p>
              </w:tc>
              <w:tc>
                <w:tcPr>
                  <w:tcW w:w="132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100</w:t>
                  </w:r>
                </w:p>
              </w:tc>
              <w:tc>
                <w:tcPr>
                  <w:tcW w:w="1329" w:type="dxa"/>
                  <w:noWrap w:val="0"/>
                  <w:vAlign w:val="center"/>
                </w:tcPr>
                <w:p>
                  <w:pPr>
                    <w:keepNext w:val="0"/>
                    <w:keepLines w:val="0"/>
                    <w:widowControl/>
                    <w:suppressLineNumbers w:val="0"/>
                    <w:jc w:val="center"/>
                    <w:textAlignment w:val="center"/>
                    <w:rPr>
                      <w:rFonts w:hint="default" w:ascii="Times New Roman" w:hAnsi="Times New Roman" w:eastAsia="宋体"/>
                      <w:color w:val="000000"/>
                      <w:sz w:val="21"/>
                      <w:szCs w:val="21"/>
                      <w:lang w:val="en-US" w:eastAsia="zh-CN"/>
                    </w:rPr>
                  </w:pPr>
                  <w:r>
                    <w:rPr>
                      <w:rFonts w:hint="eastAsia"/>
                      <w:color w:val="000000"/>
                      <w:sz w:val="21"/>
                      <w:szCs w:val="21"/>
                      <w:lang w:val="en-US" w:eastAsia="zh-CN"/>
                    </w:rPr>
                    <w:t>0.001</w:t>
                  </w:r>
                </w:p>
              </w:tc>
              <w:tc>
                <w:tcPr>
                  <w:tcW w:w="1534" w:type="dxa"/>
                  <w:vMerge w:val="restart"/>
                  <w:noWrap w:val="0"/>
                  <w:vAlign w:val="center"/>
                </w:tcPr>
                <w:p>
                  <w:pPr>
                    <w:pStyle w:val="31"/>
                    <w:jc w:val="center"/>
                    <w:rPr>
                      <w:rFonts w:ascii="Times New Roman" w:hAnsi="Times New Roman"/>
                      <w:color w:val="000000"/>
                      <w:sz w:val="21"/>
                      <w:szCs w:val="21"/>
                      <w:lang w:eastAsia="zh-CN"/>
                    </w:rPr>
                  </w:pPr>
                  <w:r>
                    <w:rPr>
                      <w:rFonts w:hint="eastAsia" w:ascii="Times New Roman" w:hAnsi="Times New Roman"/>
                      <w:color w:val="000000"/>
                      <w:sz w:val="21"/>
                      <w:szCs w:val="21"/>
                      <w:lang w:val="en-US" w:eastAsia="zh-CN"/>
                    </w:rPr>
                    <w:t>原料堆放区及生产车间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8" w:type="dxa"/>
                  <w:noWrap w:val="0"/>
                  <w:vAlign w:val="center"/>
                </w:tcPr>
                <w:p>
                  <w:pPr>
                    <w:pStyle w:val="31"/>
                    <w:jc w:val="center"/>
                    <w:rPr>
                      <w:rFonts w:ascii="Times New Roman" w:hAnsi="Times New Roman"/>
                      <w:color w:val="000000"/>
                      <w:sz w:val="21"/>
                      <w:szCs w:val="21"/>
                      <w:lang w:eastAsia="zh-CN"/>
                    </w:rPr>
                  </w:pPr>
                  <w:r>
                    <w:rPr>
                      <w:rFonts w:hint="eastAsia" w:ascii="Times New Roman" w:hAnsi="Times New Roman"/>
                      <w:color w:val="000000"/>
                      <w:sz w:val="21"/>
                      <w:szCs w:val="21"/>
                      <w:lang w:val="en-US" w:eastAsia="zh-CN"/>
                    </w:rPr>
                    <w:t>2</w:t>
                  </w:r>
                </w:p>
              </w:tc>
              <w:tc>
                <w:tcPr>
                  <w:tcW w:w="196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olor w:val="000000"/>
                      <w:sz w:val="21"/>
                      <w:szCs w:val="21"/>
                      <w:lang w:val="en-US" w:eastAsia="zh-CN"/>
                    </w:rPr>
                  </w:pPr>
                  <w:r>
                    <w:rPr>
                      <w:rFonts w:hint="eastAsia" w:cs="Times New Roman"/>
                      <w:b w:val="0"/>
                      <w:bCs w:val="0"/>
                      <w:color w:val="000000"/>
                      <w:kern w:val="2"/>
                      <w:sz w:val="21"/>
                      <w:szCs w:val="21"/>
                      <w:lang w:val="en-US" w:eastAsia="zh-CN" w:bidi="ar-SA"/>
                    </w:rPr>
                    <w:t>润滑油</w:t>
                  </w:r>
                </w:p>
              </w:tc>
              <w:tc>
                <w:tcPr>
                  <w:tcW w:w="1593" w:type="dxa"/>
                  <w:noWrap w:val="0"/>
                  <w:vAlign w:val="center"/>
                </w:tcPr>
                <w:p>
                  <w:pPr>
                    <w:jc w:val="center"/>
                    <w:rPr>
                      <w:rFonts w:hint="default"/>
                      <w:color w:val="000000"/>
                      <w:sz w:val="21"/>
                      <w:szCs w:val="21"/>
                      <w:lang w:val="en-US" w:eastAsia="zh-CN"/>
                    </w:rPr>
                  </w:pPr>
                  <w:r>
                    <w:rPr>
                      <w:rFonts w:hint="eastAsia"/>
                      <w:color w:val="000000"/>
                      <w:sz w:val="21"/>
                      <w:szCs w:val="21"/>
                      <w:lang w:val="en-US" w:eastAsia="zh-CN"/>
                    </w:rPr>
                    <w:t>0.002</w:t>
                  </w:r>
                </w:p>
              </w:tc>
              <w:tc>
                <w:tcPr>
                  <w:tcW w:w="132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2500</w:t>
                  </w:r>
                </w:p>
              </w:tc>
              <w:tc>
                <w:tcPr>
                  <w:tcW w:w="1329" w:type="dxa"/>
                  <w:noWrap w:val="0"/>
                  <w:vAlign w:val="center"/>
                </w:tcPr>
                <w:p>
                  <w:pPr>
                    <w:keepNext w:val="0"/>
                    <w:keepLines w:val="0"/>
                    <w:widowControl/>
                    <w:suppressLineNumbers w:val="0"/>
                    <w:jc w:val="center"/>
                    <w:textAlignment w:val="center"/>
                    <w:rPr>
                      <w:rFonts w:hint="default" w:ascii="Times New Roman" w:hAnsi="Times New Roman"/>
                      <w:color w:val="000000"/>
                      <w:sz w:val="21"/>
                      <w:szCs w:val="21"/>
                      <w:lang w:val="en-US" w:eastAsia="zh-CN"/>
                    </w:rPr>
                  </w:pPr>
                  <w:r>
                    <w:rPr>
                      <w:rFonts w:hint="eastAsia"/>
                      <w:color w:val="000000"/>
                      <w:sz w:val="21"/>
                      <w:szCs w:val="21"/>
                      <w:lang w:val="en-US" w:eastAsia="zh-CN"/>
                    </w:rPr>
                    <w:t>0.0000008</w:t>
                  </w:r>
                </w:p>
              </w:tc>
              <w:tc>
                <w:tcPr>
                  <w:tcW w:w="1534" w:type="dxa"/>
                  <w:vMerge w:val="continue"/>
                  <w:noWrap w:val="0"/>
                  <w:vAlign w:val="center"/>
                </w:tcPr>
                <w:p>
                  <w:pPr>
                    <w:pStyle w:val="31"/>
                    <w:jc w:val="center"/>
                    <w:rPr>
                      <w:rFonts w:hint="eastAsia" w:ascii="Times New Roman" w:hAnsi="Times New Roman"/>
                      <w:color w:val="0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3</w:t>
                  </w:r>
                </w:p>
              </w:tc>
              <w:tc>
                <w:tcPr>
                  <w:tcW w:w="1962" w:type="dxa"/>
                  <w:noWrap w:val="0"/>
                  <w:vAlign w:val="center"/>
                </w:tcPr>
                <w:p>
                  <w:pPr>
                    <w:jc w:val="center"/>
                    <w:rPr>
                      <w:rFonts w:hint="default" w:ascii="Times New Roman" w:hAnsi="Times New Roman"/>
                      <w:kern w:val="2"/>
                      <w:sz w:val="21"/>
                      <w:szCs w:val="21"/>
                      <w:lang w:val="en-US" w:eastAsia="zh-CN" w:bidi="ar-SA"/>
                    </w:rPr>
                  </w:pPr>
                  <w:r>
                    <w:rPr>
                      <w:rFonts w:hint="eastAsia"/>
                      <w:kern w:val="2"/>
                      <w:sz w:val="21"/>
                      <w:szCs w:val="21"/>
                      <w:lang w:val="en-US" w:eastAsia="zh-CN" w:bidi="ar-SA"/>
                    </w:rPr>
                    <w:t>白乳胶</w:t>
                  </w:r>
                </w:p>
              </w:tc>
              <w:tc>
                <w:tcPr>
                  <w:tcW w:w="1593" w:type="dxa"/>
                  <w:noWrap w:val="0"/>
                  <w:vAlign w:val="center"/>
                </w:tcPr>
                <w:p>
                  <w:pPr>
                    <w:keepNext w:val="0"/>
                    <w:keepLines w:val="0"/>
                    <w:widowControl/>
                    <w:suppressLineNumbers w:val="0"/>
                    <w:jc w:val="center"/>
                    <w:textAlignment w:val="center"/>
                    <w:rPr>
                      <w:rFonts w:hint="default" w:ascii="Times New Roman" w:hAnsi="Times New Roman" w:eastAsia="宋体"/>
                      <w:color w:val="000000"/>
                      <w:sz w:val="21"/>
                      <w:szCs w:val="21"/>
                      <w:lang w:val="en-US" w:eastAsia="zh-CN"/>
                    </w:rPr>
                  </w:pPr>
                  <w:r>
                    <w:rPr>
                      <w:rFonts w:hint="eastAsia"/>
                      <w:color w:val="000000"/>
                      <w:sz w:val="21"/>
                      <w:szCs w:val="21"/>
                      <w:lang w:val="en-US" w:eastAsia="zh-CN"/>
                    </w:rPr>
                    <w:t>0.02</w:t>
                  </w:r>
                </w:p>
              </w:tc>
              <w:tc>
                <w:tcPr>
                  <w:tcW w:w="132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100</w:t>
                  </w:r>
                </w:p>
              </w:tc>
              <w:tc>
                <w:tcPr>
                  <w:tcW w:w="1329" w:type="dxa"/>
                  <w:noWrap w:val="0"/>
                  <w:vAlign w:val="center"/>
                </w:tcPr>
                <w:p>
                  <w:pPr>
                    <w:keepNext w:val="0"/>
                    <w:keepLines w:val="0"/>
                    <w:widowControl/>
                    <w:suppressLineNumbers w:val="0"/>
                    <w:jc w:val="center"/>
                    <w:textAlignment w:val="center"/>
                    <w:rPr>
                      <w:rFonts w:hint="default" w:ascii="Times New Roman" w:hAnsi="Times New Roman" w:eastAsia="宋体"/>
                      <w:color w:val="000000"/>
                      <w:sz w:val="21"/>
                      <w:szCs w:val="21"/>
                      <w:lang w:val="en-US" w:eastAsia="zh-CN"/>
                    </w:rPr>
                  </w:pPr>
                  <w:r>
                    <w:rPr>
                      <w:rFonts w:hint="eastAsia"/>
                      <w:color w:val="000000"/>
                      <w:sz w:val="21"/>
                      <w:szCs w:val="21"/>
                      <w:lang w:val="en-US" w:eastAsia="zh-CN"/>
                    </w:rPr>
                    <w:t>0.0002</w:t>
                  </w:r>
                </w:p>
              </w:tc>
              <w:tc>
                <w:tcPr>
                  <w:tcW w:w="1534" w:type="dxa"/>
                  <w:vMerge w:val="continue"/>
                  <w:noWrap w:val="0"/>
                  <w:vAlign w:val="center"/>
                </w:tcPr>
                <w:p>
                  <w:pPr>
                    <w:pStyle w:val="31"/>
                    <w:jc w:val="center"/>
                    <w:rPr>
                      <w:rFonts w:ascii="Times New Roman" w:hAnsi="Times New Roman"/>
                      <w:color w:val="00000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4</w:t>
                  </w:r>
                </w:p>
              </w:tc>
              <w:tc>
                <w:tcPr>
                  <w:tcW w:w="1962" w:type="dxa"/>
                  <w:noWrap w:val="0"/>
                  <w:vAlign w:val="center"/>
                </w:tcPr>
                <w:p>
                  <w:pPr>
                    <w:jc w:val="center"/>
                    <w:rPr>
                      <w:rFonts w:hint="default"/>
                      <w:kern w:val="2"/>
                      <w:sz w:val="21"/>
                      <w:szCs w:val="21"/>
                      <w:lang w:val="en-US" w:eastAsia="zh-CN" w:bidi="ar-SA"/>
                    </w:rPr>
                  </w:pPr>
                  <w:r>
                    <w:rPr>
                      <w:rFonts w:hint="eastAsia"/>
                      <w:kern w:val="2"/>
                      <w:sz w:val="21"/>
                      <w:szCs w:val="21"/>
                      <w:lang w:val="en-US" w:eastAsia="zh-CN" w:bidi="ar-SA"/>
                    </w:rPr>
                    <w:t>热熔胶</w:t>
                  </w:r>
                </w:p>
              </w:tc>
              <w:tc>
                <w:tcPr>
                  <w:tcW w:w="1593" w:type="dxa"/>
                  <w:noWrap w:val="0"/>
                  <w:vAlign w:val="center"/>
                </w:tcPr>
                <w:p>
                  <w:pPr>
                    <w:keepNext w:val="0"/>
                    <w:keepLines w:val="0"/>
                    <w:widowControl/>
                    <w:suppressLineNumbers w:val="0"/>
                    <w:jc w:val="center"/>
                    <w:textAlignment w:val="center"/>
                    <w:rPr>
                      <w:rFonts w:hint="default"/>
                      <w:color w:val="000000"/>
                      <w:sz w:val="21"/>
                      <w:szCs w:val="21"/>
                      <w:lang w:val="en-US" w:eastAsia="zh-CN"/>
                    </w:rPr>
                  </w:pPr>
                  <w:r>
                    <w:rPr>
                      <w:rFonts w:hint="eastAsia"/>
                      <w:color w:val="000000"/>
                      <w:sz w:val="21"/>
                      <w:szCs w:val="21"/>
                      <w:lang w:val="en-US" w:eastAsia="zh-CN"/>
                    </w:rPr>
                    <w:t>0.1</w:t>
                  </w:r>
                </w:p>
              </w:tc>
              <w:tc>
                <w:tcPr>
                  <w:tcW w:w="132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100</w:t>
                  </w:r>
                </w:p>
              </w:tc>
              <w:tc>
                <w:tcPr>
                  <w:tcW w:w="1329" w:type="dxa"/>
                  <w:noWrap w:val="0"/>
                  <w:vAlign w:val="center"/>
                </w:tcPr>
                <w:p>
                  <w:pPr>
                    <w:keepNext w:val="0"/>
                    <w:keepLines w:val="0"/>
                    <w:widowControl/>
                    <w:suppressLineNumbers w:val="0"/>
                    <w:jc w:val="center"/>
                    <w:textAlignment w:val="center"/>
                    <w:rPr>
                      <w:rFonts w:hint="default"/>
                      <w:color w:val="000000"/>
                      <w:sz w:val="21"/>
                      <w:szCs w:val="21"/>
                      <w:lang w:val="en-US" w:eastAsia="zh-CN"/>
                    </w:rPr>
                  </w:pPr>
                  <w:r>
                    <w:rPr>
                      <w:rFonts w:hint="eastAsia"/>
                      <w:color w:val="000000"/>
                      <w:sz w:val="21"/>
                      <w:szCs w:val="21"/>
                      <w:lang w:val="en-US" w:eastAsia="zh-CN"/>
                    </w:rPr>
                    <w:t>0.001</w:t>
                  </w:r>
                </w:p>
              </w:tc>
              <w:tc>
                <w:tcPr>
                  <w:tcW w:w="1534" w:type="dxa"/>
                  <w:vMerge w:val="continue"/>
                  <w:noWrap w:val="0"/>
                  <w:vAlign w:val="center"/>
                </w:tcPr>
                <w:p>
                  <w:pPr>
                    <w:pStyle w:val="31"/>
                    <w:jc w:val="center"/>
                    <w:rPr>
                      <w:rFonts w:ascii="Times New Roman" w:hAnsi="Times New Roman"/>
                      <w:color w:val="00000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6</w:t>
                  </w:r>
                </w:p>
              </w:tc>
              <w:tc>
                <w:tcPr>
                  <w:tcW w:w="1962" w:type="dxa"/>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kern w:val="2"/>
                      <w:sz w:val="21"/>
                      <w:szCs w:val="21"/>
                      <w:lang w:val="en-US" w:eastAsia="zh-CN" w:bidi="ar-SA"/>
                    </w:rPr>
                    <w:t>废</w:t>
                  </w:r>
                  <w:r>
                    <w:rPr>
                      <w:rFonts w:hint="eastAsia"/>
                      <w:kern w:val="2"/>
                      <w:sz w:val="21"/>
                      <w:szCs w:val="21"/>
                      <w:lang w:val="en-US" w:eastAsia="zh-CN" w:bidi="ar-SA"/>
                    </w:rPr>
                    <w:t>活性炭</w:t>
                  </w:r>
                </w:p>
              </w:tc>
              <w:tc>
                <w:tcPr>
                  <w:tcW w:w="1593" w:type="dxa"/>
                  <w:noWrap w:val="0"/>
                  <w:vAlign w:val="center"/>
                </w:tcPr>
                <w:p>
                  <w:pPr>
                    <w:keepNext w:val="0"/>
                    <w:keepLines w:val="0"/>
                    <w:widowControl/>
                    <w:suppressLineNumbers w:val="0"/>
                    <w:jc w:val="center"/>
                    <w:textAlignment w:val="center"/>
                    <w:rPr>
                      <w:rFonts w:hint="default" w:ascii="Times New Roman" w:hAnsi="Times New Roman" w:eastAsia="宋体"/>
                      <w:color w:val="000000"/>
                      <w:sz w:val="21"/>
                      <w:szCs w:val="21"/>
                      <w:lang w:val="en-US" w:eastAsia="zh-CN"/>
                    </w:rPr>
                  </w:pPr>
                  <w:r>
                    <w:rPr>
                      <w:rFonts w:hint="eastAsia"/>
                      <w:color w:val="000000"/>
                      <w:sz w:val="21"/>
                      <w:szCs w:val="21"/>
                      <w:lang w:val="en-US" w:eastAsia="zh-CN"/>
                    </w:rPr>
                    <w:t>1.3056</w:t>
                  </w:r>
                </w:p>
              </w:tc>
              <w:tc>
                <w:tcPr>
                  <w:tcW w:w="132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50</w:t>
                  </w:r>
                </w:p>
              </w:tc>
              <w:tc>
                <w:tcPr>
                  <w:tcW w:w="1329" w:type="dxa"/>
                  <w:noWrap w:val="0"/>
                  <w:vAlign w:val="center"/>
                </w:tcPr>
                <w:p>
                  <w:pPr>
                    <w:keepNext w:val="0"/>
                    <w:keepLines w:val="0"/>
                    <w:widowControl/>
                    <w:suppressLineNumbers w:val="0"/>
                    <w:jc w:val="center"/>
                    <w:textAlignment w:val="center"/>
                    <w:rPr>
                      <w:rFonts w:hint="default" w:ascii="Times New Roman" w:hAnsi="Times New Roman" w:eastAsia="宋体"/>
                      <w:color w:val="000000"/>
                      <w:sz w:val="21"/>
                      <w:szCs w:val="21"/>
                      <w:lang w:val="en-US" w:eastAsia="zh-CN"/>
                    </w:rPr>
                  </w:pPr>
                  <w:r>
                    <w:rPr>
                      <w:rFonts w:hint="eastAsia"/>
                      <w:color w:val="000000"/>
                      <w:sz w:val="21"/>
                      <w:szCs w:val="21"/>
                      <w:lang w:val="en-US" w:eastAsia="zh-CN"/>
                    </w:rPr>
                    <w:t>0.026112</w:t>
                  </w:r>
                </w:p>
              </w:tc>
              <w:tc>
                <w:tcPr>
                  <w:tcW w:w="1534" w:type="dxa"/>
                  <w:vMerge w:val="restart"/>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危废贮存点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7</w:t>
                  </w:r>
                </w:p>
              </w:tc>
              <w:tc>
                <w:tcPr>
                  <w:tcW w:w="1962" w:type="dxa"/>
                  <w:noWrap w:val="0"/>
                  <w:vAlign w:val="center"/>
                </w:tcPr>
                <w:p>
                  <w:pPr>
                    <w:jc w:val="center"/>
                    <w:rPr>
                      <w:rFonts w:ascii="Times New Roman" w:hAnsi="Times New Roman"/>
                      <w:color w:val="000000"/>
                      <w:sz w:val="21"/>
                      <w:szCs w:val="21"/>
                    </w:rPr>
                  </w:pPr>
                  <w:r>
                    <w:rPr>
                      <w:rFonts w:hint="eastAsia" w:ascii="Times New Roman" w:hAnsi="Times New Roman"/>
                      <w:sz w:val="21"/>
                      <w:szCs w:val="21"/>
                      <w:lang w:val="en-US" w:eastAsia="zh-CN"/>
                    </w:rPr>
                    <w:t>废包装桶</w:t>
                  </w:r>
                </w:p>
              </w:tc>
              <w:tc>
                <w:tcPr>
                  <w:tcW w:w="1593" w:type="dxa"/>
                  <w:noWrap w:val="0"/>
                  <w:vAlign w:val="center"/>
                </w:tcPr>
                <w:p>
                  <w:pPr>
                    <w:keepNext w:val="0"/>
                    <w:keepLines w:val="0"/>
                    <w:widowControl/>
                    <w:suppressLineNumbers w:val="0"/>
                    <w:jc w:val="center"/>
                    <w:textAlignment w:val="center"/>
                    <w:rPr>
                      <w:rFonts w:hint="default" w:ascii="Times New Roman" w:hAnsi="Times New Roman" w:eastAsia="宋体"/>
                      <w:color w:val="000000"/>
                      <w:sz w:val="21"/>
                      <w:szCs w:val="21"/>
                      <w:lang w:val="en-US" w:eastAsia="zh-CN"/>
                    </w:rPr>
                  </w:pPr>
                  <w:r>
                    <w:rPr>
                      <w:rFonts w:hint="eastAsia"/>
                      <w:color w:val="000000"/>
                      <w:sz w:val="21"/>
                      <w:szCs w:val="21"/>
                      <w:lang w:val="en-US" w:eastAsia="zh-CN"/>
                    </w:rPr>
                    <w:t>0.004</w:t>
                  </w:r>
                </w:p>
              </w:tc>
              <w:tc>
                <w:tcPr>
                  <w:tcW w:w="132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50</w:t>
                  </w:r>
                </w:p>
              </w:tc>
              <w:tc>
                <w:tcPr>
                  <w:tcW w:w="1329" w:type="dxa"/>
                  <w:noWrap w:val="0"/>
                  <w:vAlign w:val="center"/>
                </w:tcPr>
                <w:p>
                  <w:pPr>
                    <w:keepNext w:val="0"/>
                    <w:keepLines w:val="0"/>
                    <w:widowControl/>
                    <w:suppressLineNumbers w:val="0"/>
                    <w:jc w:val="center"/>
                    <w:textAlignment w:val="center"/>
                    <w:rPr>
                      <w:rFonts w:hint="default" w:ascii="Times New Roman" w:hAnsi="Times New Roman" w:eastAsia="宋体"/>
                      <w:color w:val="000000"/>
                      <w:sz w:val="21"/>
                      <w:szCs w:val="21"/>
                      <w:lang w:val="en-US" w:eastAsia="zh-CN"/>
                    </w:rPr>
                  </w:pPr>
                  <w:r>
                    <w:rPr>
                      <w:rFonts w:hint="eastAsia"/>
                      <w:color w:val="000000"/>
                      <w:sz w:val="21"/>
                      <w:szCs w:val="21"/>
                      <w:lang w:val="en-US" w:eastAsia="zh-CN"/>
                    </w:rPr>
                    <w:t>0.00008</w:t>
                  </w:r>
                </w:p>
              </w:tc>
              <w:tc>
                <w:tcPr>
                  <w:tcW w:w="1534" w:type="dxa"/>
                  <w:vMerge w:val="continue"/>
                  <w:noWrap w:val="0"/>
                  <w:vAlign w:val="center"/>
                </w:tcPr>
                <w:p>
                  <w:pPr>
                    <w:pStyle w:val="31"/>
                    <w:jc w:val="center"/>
                    <w:rPr>
                      <w:rFonts w:ascii="Times New Roman" w:hAnsi="Times New Roman"/>
                      <w:color w:val="00000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8</w:t>
                  </w:r>
                </w:p>
              </w:tc>
              <w:tc>
                <w:tcPr>
                  <w:tcW w:w="1962" w:type="dxa"/>
                  <w:noWrap w:val="0"/>
                  <w:vAlign w:val="center"/>
                </w:tcPr>
                <w:p>
                  <w:pPr>
                    <w:jc w:val="center"/>
                    <w:rPr>
                      <w:rFonts w:hint="eastAsia" w:ascii="Times New Roman" w:hAnsi="Times New Roman" w:eastAsia="宋体"/>
                      <w:color w:val="000000"/>
                      <w:sz w:val="21"/>
                      <w:szCs w:val="21"/>
                      <w:lang w:val="en-US" w:eastAsia="zh-CN"/>
                    </w:rPr>
                  </w:pPr>
                  <w:r>
                    <w:rPr>
                      <w:rFonts w:ascii="Times New Roman" w:hAnsi="Times New Roman"/>
                      <w:color w:val="000000"/>
                      <w:sz w:val="21"/>
                      <w:szCs w:val="21"/>
                    </w:rPr>
                    <w:t>含油废</w:t>
                  </w:r>
                  <w:r>
                    <w:rPr>
                      <w:rFonts w:hint="eastAsia"/>
                      <w:color w:val="000000"/>
                      <w:sz w:val="21"/>
                      <w:szCs w:val="21"/>
                      <w:lang w:val="en-US" w:eastAsia="zh-CN"/>
                    </w:rPr>
                    <w:t>液</w:t>
                  </w:r>
                </w:p>
              </w:tc>
              <w:tc>
                <w:tcPr>
                  <w:tcW w:w="1593" w:type="dxa"/>
                  <w:noWrap w:val="0"/>
                  <w:vAlign w:val="center"/>
                </w:tcPr>
                <w:p>
                  <w:pPr>
                    <w:keepNext w:val="0"/>
                    <w:keepLines w:val="0"/>
                    <w:widowControl/>
                    <w:suppressLineNumbers w:val="0"/>
                    <w:jc w:val="center"/>
                    <w:textAlignment w:val="center"/>
                    <w:rPr>
                      <w:rFonts w:hint="default" w:ascii="Times New Roman" w:hAnsi="Times New Roman" w:eastAsia="宋体"/>
                      <w:color w:val="000000"/>
                      <w:sz w:val="21"/>
                      <w:szCs w:val="21"/>
                      <w:lang w:val="en-US" w:eastAsia="zh-CN"/>
                    </w:rPr>
                  </w:pPr>
                  <w:r>
                    <w:rPr>
                      <w:rFonts w:hint="eastAsia"/>
                      <w:color w:val="000000"/>
                      <w:sz w:val="21"/>
                      <w:szCs w:val="21"/>
                      <w:lang w:val="en-US" w:eastAsia="zh-CN"/>
                    </w:rPr>
                    <w:t>0.0225</w:t>
                  </w:r>
                </w:p>
              </w:tc>
              <w:tc>
                <w:tcPr>
                  <w:tcW w:w="132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50</w:t>
                  </w:r>
                </w:p>
              </w:tc>
              <w:tc>
                <w:tcPr>
                  <w:tcW w:w="1329" w:type="dxa"/>
                  <w:noWrap w:val="0"/>
                  <w:vAlign w:val="center"/>
                </w:tcPr>
                <w:p>
                  <w:pPr>
                    <w:keepNext w:val="0"/>
                    <w:keepLines w:val="0"/>
                    <w:widowControl/>
                    <w:suppressLineNumbers w:val="0"/>
                    <w:jc w:val="center"/>
                    <w:textAlignment w:val="center"/>
                    <w:rPr>
                      <w:rFonts w:hint="default" w:ascii="Times New Roman" w:hAnsi="Times New Roman" w:eastAsia="宋体"/>
                      <w:color w:val="000000"/>
                      <w:sz w:val="21"/>
                      <w:szCs w:val="21"/>
                      <w:lang w:val="en-US" w:eastAsia="zh-CN"/>
                    </w:rPr>
                  </w:pPr>
                  <w:r>
                    <w:rPr>
                      <w:rFonts w:hint="eastAsia"/>
                      <w:color w:val="000000"/>
                      <w:sz w:val="21"/>
                      <w:szCs w:val="21"/>
                      <w:lang w:val="en-US" w:eastAsia="zh-CN"/>
                    </w:rPr>
                    <w:t>0.00045</w:t>
                  </w:r>
                </w:p>
              </w:tc>
              <w:tc>
                <w:tcPr>
                  <w:tcW w:w="1534" w:type="dxa"/>
                  <w:vMerge w:val="continue"/>
                  <w:noWrap w:val="0"/>
                  <w:vAlign w:val="center"/>
                </w:tcPr>
                <w:p>
                  <w:pPr>
                    <w:pStyle w:val="31"/>
                    <w:jc w:val="center"/>
                    <w:rPr>
                      <w:rFonts w:ascii="Times New Roman" w:hAnsi="Times New Roman"/>
                      <w:color w:val="00000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8" w:type="dxa"/>
                  <w:noWrap w:val="0"/>
                  <w:vAlign w:val="center"/>
                </w:tcPr>
                <w:p>
                  <w:pPr>
                    <w:pStyle w:val="31"/>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9</w:t>
                  </w:r>
                </w:p>
              </w:tc>
              <w:tc>
                <w:tcPr>
                  <w:tcW w:w="196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color w:val="000000"/>
                      <w:sz w:val="21"/>
                      <w:szCs w:val="21"/>
                      <w:lang w:val="en-US" w:eastAsia="zh-CN"/>
                    </w:rPr>
                  </w:pPr>
                  <w:r>
                    <w:rPr>
                      <w:rFonts w:ascii="Times New Roman" w:hAnsi="Times New Roman"/>
                      <w:color w:val="000000"/>
                      <w:sz w:val="21"/>
                      <w:szCs w:val="21"/>
                    </w:rPr>
                    <w:t>废劳保用品</w:t>
                  </w:r>
                </w:p>
              </w:tc>
              <w:tc>
                <w:tcPr>
                  <w:tcW w:w="1593" w:type="dxa"/>
                  <w:noWrap w:val="0"/>
                  <w:vAlign w:val="center"/>
                </w:tcPr>
                <w:p>
                  <w:pPr>
                    <w:keepNext w:val="0"/>
                    <w:keepLines w:val="0"/>
                    <w:widowControl/>
                    <w:suppressLineNumbers w:val="0"/>
                    <w:jc w:val="center"/>
                    <w:textAlignment w:val="center"/>
                    <w:rPr>
                      <w:rFonts w:hint="default"/>
                      <w:color w:val="000000"/>
                      <w:sz w:val="21"/>
                      <w:szCs w:val="21"/>
                      <w:lang w:val="en-US" w:eastAsia="zh-CN"/>
                    </w:rPr>
                  </w:pPr>
                  <w:r>
                    <w:rPr>
                      <w:rFonts w:hint="eastAsia"/>
                      <w:color w:val="000000"/>
                      <w:sz w:val="21"/>
                      <w:szCs w:val="21"/>
                      <w:lang w:val="en-US" w:eastAsia="zh-CN"/>
                    </w:rPr>
                    <w:t>0.04</w:t>
                  </w:r>
                </w:p>
              </w:tc>
              <w:tc>
                <w:tcPr>
                  <w:tcW w:w="132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50</w:t>
                  </w:r>
                </w:p>
              </w:tc>
              <w:tc>
                <w:tcPr>
                  <w:tcW w:w="1329" w:type="dxa"/>
                  <w:noWrap w:val="0"/>
                  <w:vAlign w:val="center"/>
                </w:tcPr>
                <w:p>
                  <w:pPr>
                    <w:keepNext w:val="0"/>
                    <w:keepLines w:val="0"/>
                    <w:widowControl/>
                    <w:suppressLineNumbers w:val="0"/>
                    <w:jc w:val="center"/>
                    <w:textAlignment w:val="center"/>
                    <w:rPr>
                      <w:rFonts w:hint="default"/>
                      <w:color w:val="000000"/>
                      <w:sz w:val="21"/>
                      <w:szCs w:val="21"/>
                      <w:lang w:val="en-US" w:eastAsia="zh-CN"/>
                    </w:rPr>
                  </w:pPr>
                  <w:r>
                    <w:rPr>
                      <w:rFonts w:hint="eastAsia"/>
                      <w:color w:val="000000"/>
                      <w:sz w:val="21"/>
                      <w:szCs w:val="21"/>
                      <w:lang w:val="en-US" w:eastAsia="zh-CN"/>
                    </w:rPr>
                    <w:t>0.0008</w:t>
                  </w:r>
                </w:p>
              </w:tc>
              <w:tc>
                <w:tcPr>
                  <w:tcW w:w="1534" w:type="dxa"/>
                  <w:vMerge w:val="continue"/>
                  <w:noWrap w:val="0"/>
                  <w:vAlign w:val="center"/>
                </w:tcPr>
                <w:p>
                  <w:pPr>
                    <w:pStyle w:val="31"/>
                    <w:jc w:val="center"/>
                    <w:rPr>
                      <w:rFonts w:ascii="Times New Roman" w:hAnsi="Times New Roman"/>
                      <w:color w:val="00000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10</w:t>
                  </w:r>
                </w:p>
              </w:tc>
              <w:tc>
                <w:tcPr>
                  <w:tcW w:w="196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color w:val="000000"/>
                      <w:sz w:val="21"/>
                      <w:szCs w:val="21"/>
                      <w:lang w:val="en-US" w:eastAsia="zh-CN"/>
                    </w:rPr>
                  </w:pPr>
                  <w:r>
                    <w:rPr>
                      <w:rFonts w:hint="default" w:ascii="Times New Roman" w:hAnsi="Times New Roman" w:cs="Times New Roman"/>
                      <w:color w:val="000000"/>
                      <w:sz w:val="21"/>
                      <w:szCs w:val="21"/>
                      <w:highlight w:val="none"/>
                      <w:lang w:val="en-US" w:eastAsia="zh-CN"/>
                    </w:rPr>
                    <w:t>废润滑油</w:t>
                  </w:r>
                </w:p>
              </w:tc>
              <w:tc>
                <w:tcPr>
                  <w:tcW w:w="1593" w:type="dxa"/>
                  <w:noWrap w:val="0"/>
                  <w:vAlign w:val="center"/>
                </w:tcPr>
                <w:p>
                  <w:pPr>
                    <w:keepNext w:val="0"/>
                    <w:keepLines w:val="0"/>
                    <w:widowControl/>
                    <w:suppressLineNumbers w:val="0"/>
                    <w:jc w:val="center"/>
                    <w:textAlignment w:val="center"/>
                    <w:rPr>
                      <w:rFonts w:hint="default"/>
                      <w:color w:val="000000"/>
                      <w:sz w:val="21"/>
                      <w:szCs w:val="21"/>
                      <w:lang w:val="en-US" w:eastAsia="zh-CN"/>
                    </w:rPr>
                  </w:pPr>
                  <w:r>
                    <w:rPr>
                      <w:rFonts w:hint="eastAsia"/>
                      <w:color w:val="000000"/>
                      <w:sz w:val="21"/>
                      <w:szCs w:val="21"/>
                      <w:lang w:val="en-US" w:eastAsia="zh-CN"/>
                    </w:rPr>
                    <w:t>0.00015</w:t>
                  </w:r>
                </w:p>
              </w:tc>
              <w:tc>
                <w:tcPr>
                  <w:tcW w:w="132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50</w:t>
                  </w:r>
                </w:p>
              </w:tc>
              <w:tc>
                <w:tcPr>
                  <w:tcW w:w="1329" w:type="dxa"/>
                  <w:noWrap w:val="0"/>
                  <w:vAlign w:val="center"/>
                </w:tcPr>
                <w:p>
                  <w:pPr>
                    <w:keepNext w:val="0"/>
                    <w:keepLines w:val="0"/>
                    <w:widowControl/>
                    <w:suppressLineNumbers w:val="0"/>
                    <w:jc w:val="center"/>
                    <w:textAlignment w:val="center"/>
                    <w:rPr>
                      <w:rFonts w:hint="default"/>
                      <w:color w:val="000000"/>
                      <w:sz w:val="21"/>
                      <w:szCs w:val="21"/>
                      <w:lang w:val="en-US" w:eastAsia="zh-CN"/>
                    </w:rPr>
                  </w:pPr>
                  <w:r>
                    <w:rPr>
                      <w:rFonts w:hint="eastAsia"/>
                      <w:color w:val="000000"/>
                      <w:sz w:val="21"/>
                      <w:szCs w:val="21"/>
                      <w:lang w:val="en-US" w:eastAsia="zh-CN"/>
                    </w:rPr>
                    <w:t>0.000003</w:t>
                  </w:r>
                </w:p>
              </w:tc>
              <w:tc>
                <w:tcPr>
                  <w:tcW w:w="1534" w:type="dxa"/>
                  <w:vMerge w:val="continue"/>
                  <w:noWrap w:val="0"/>
                  <w:vAlign w:val="center"/>
                </w:tcPr>
                <w:p>
                  <w:pPr>
                    <w:pStyle w:val="31"/>
                    <w:jc w:val="center"/>
                    <w:rPr>
                      <w:rFonts w:ascii="Times New Roman" w:hAnsi="Times New Roman"/>
                      <w:color w:val="00000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11</w:t>
                  </w:r>
                </w:p>
              </w:tc>
              <w:tc>
                <w:tcPr>
                  <w:tcW w:w="196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废</w:t>
                  </w:r>
                  <w:r>
                    <w:rPr>
                      <w:rFonts w:hint="eastAsia" w:cs="Times New Roman"/>
                      <w:b w:val="0"/>
                      <w:bCs w:val="0"/>
                      <w:color w:val="000000"/>
                      <w:sz w:val="21"/>
                      <w:szCs w:val="21"/>
                      <w:lang w:val="en-US" w:eastAsia="zh-CN"/>
                    </w:rPr>
                    <w:t>润滑</w:t>
                  </w:r>
                  <w:r>
                    <w:rPr>
                      <w:rFonts w:hint="default" w:ascii="Times New Roman" w:hAnsi="Times New Roman" w:eastAsia="宋体" w:cs="Times New Roman"/>
                      <w:b w:val="0"/>
                      <w:bCs w:val="0"/>
                      <w:color w:val="000000"/>
                      <w:sz w:val="21"/>
                      <w:szCs w:val="21"/>
                      <w:lang w:val="en-US" w:eastAsia="zh-CN"/>
                    </w:rPr>
                    <w:t>油桶</w:t>
                  </w:r>
                </w:p>
              </w:tc>
              <w:tc>
                <w:tcPr>
                  <w:tcW w:w="1593" w:type="dxa"/>
                  <w:noWrap w:val="0"/>
                  <w:vAlign w:val="center"/>
                </w:tcPr>
                <w:p>
                  <w:pPr>
                    <w:keepNext w:val="0"/>
                    <w:keepLines w:val="0"/>
                    <w:widowControl/>
                    <w:suppressLineNumbers w:val="0"/>
                    <w:jc w:val="center"/>
                    <w:textAlignment w:val="center"/>
                    <w:rPr>
                      <w:rFonts w:hint="default"/>
                      <w:color w:val="000000"/>
                      <w:sz w:val="21"/>
                      <w:szCs w:val="21"/>
                      <w:lang w:val="en-US" w:eastAsia="zh-CN"/>
                    </w:rPr>
                  </w:pPr>
                  <w:r>
                    <w:rPr>
                      <w:rFonts w:hint="eastAsia"/>
                      <w:color w:val="000000"/>
                      <w:sz w:val="21"/>
                      <w:szCs w:val="21"/>
                      <w:lang w:val="en-US" w:eastAsia="zh-CN"/>
                    </w:rPr>
                    <w:t>0.0005</w:t>
                  </w:r>
                </w:p>
              </w:tc>
              <w:tc>
                <w:tcPr>
                  <w:tcW w:w="132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50</w:t>
                  </w:r>
                </w:p>
              </w:tc>
              <w:tc>
                <w:tcPr>
                  <w:tcW w:w="132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0.00001</w:t>
                  </w:r>
                </w:p>
              </w:tc>
              <w:tc>
                <w:tcPr>
                  <w:tcW w:w="1534" w:type="dxa"/>
                  <w:vMerge w:val="continue"/>
                  <w:noWrap w:val="0"/>
                  <w:vAlign w:val="center"/>
                </w:tcPr>
                <w:p>
                  <w:pPr>
                    <w:pStyle w:val="31"/>
                    <w:jc w:val="center"/>
                    <w:rPr>
                      <w:rFonts w:ascii="Times New Roman" w:hAnsi="Times New Roman"/>
                      <w:color w:val="00000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12</w:t>
                  </w:r>
                </w:p>
              </w:tc>
              <w:tc>
                <w:tcPr>
                  <w:tcW w:w="196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000000"/>
                      <w:sz w:val="21"/>
                      <w:szCs w:val="21"/>
                      <w:lang w:val="en-US" w:eastAsia="zh-CN"/>
                    </w:rPr>
                  </w:pPr>
                  <w:r>
                    <w:rPr>
                      <w:rFonts w:hint="eastAsia" w:cs="Times New Roman"/>
                      <w:b w:val="0"/>
                      <w:bCs w:val="0"/>
                      <w:color w:val="000000"/>
                      <w:sz w:val="21"/>
                      <w:szCs w:val="21"/>
                      <w:lang w:val="en-US" w:eastAsia="zh-CN"/>
                    </w:rPr>
                    <w:t>清洗废液</w:t>
                  </w:r>
                </w:p>
              </w:tc>
              <w:tc>
                <w:tcPr>
                  <w:tcW w:w="1593" w:type="dxa"/>
                  <w:noWrap w:val="0"/>
                  <w:vAlign w:val="center"/>
                </w:tcPr>
                <w:p>
                  <w:pPr>
                    <w:keepNext w:val="0"/>
                    <w:keepLines w:val="0"/>
                    <w:widowControl/>
                    <w:suppressLineNumbers w:val="0"/>
                    <w:jc w:val="center"/>
                    <w:textAlignment w:val="center"/>
                    <w:rPr>
                      <w:rFonts w:hint="default"/>
                      <w:color w:val="000000"/>
                      <w:sz w:val="21"/>
                      <w:szCs w:val="21"/>
                      <w:lang w:val="en-US" w:eastAsia="zh-CN"/>
                    </w:rPr>
                  </w:pPr>
                  <w:r>
                    <w:rPr>
                      <w:rFonts w:hint="eastAsia"/>
                      <w:color w:val="000000"/>
                      <w:sz w:val="21"/>
                      <w:szCs w:val="21"/>
                      <w:lang w:val="en-US" w:eastAsia="zh-CN"/>
                    </w:rPr>
                    <w:t>0.4</w:t>
                  </w:r>
                </w:p>
              </w:tc>
              <w:tc>
                <w:tcPr>
                  <w:tcW w:w="132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50</w:t>
                  </w:r>
                </w:p>
              </w:tc>
              <w:tc>
                <w:tcPr>
                  <w:tcW w:w="1329" w:type="dxa"/>
                  <w:noWrap w:val="0"/>
                  <w:vAlign w:val="center"/>
                </w:tcPr>
                <w:p>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0.008</w:t>
                  </w:r>
                </w:p>
              </w:tc>
              <w:tc>
                <w:tcPr>
                  <w:tcW w:w="1534" w:type="dxa"/>
                  <w:vMerge w:val="continue"/>
                  <w:noWrap w:val="0"/>
                  <w:vAlign w:val="center"/>
                </w:tcPr>
                <w:p>
                  <w:pPr>
                    <w:pStyle w:val="31"/>
                    <w:jc w:val="center"/>
                    <w:rPr>
                      <w:rFonts w:ascii="Times New Roman" w:hAnsi="Times New Roman"/>
                      <w:color w:val="00000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8" w:type="dxa"/>
                  <w:noWrap w:val="0"/>
                  <w:vAlign w:val="center"/>
                </w:tcPr>
                <w:p>
                  <w:pPr>
                    <w:pStyle w:val="31"/>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15</w:t>
                  </w:r>
                </w:p>
              </w:tc>
              <w:tc>
                <w:tcPr>
                  <w:tcW w:w="1962" w:type="dxa"/>
                  <w:noWrap w:val="0"/>
                  <w:vAlign w:val="center"/>
                </w:tcPr>
                <w:p>
                  <w:pPr>
                    <w:pStyle w:val="31"/>
                    <w:jc w:val="center"/>
                    <w:rPr>
                      <w:rFonts w:ascii="Times New Roman" w:hAnsi="Times New Roman"/>
                      <w:color w:val="000000"/>
                      <w:sz w:val="21"/>
                      <w:szCs w:val="21"/>
                      <w:lang w:eastAsia="zh-CN"/>
                    </w:rPr>
                  </w:pPr>
                  <w:r>
                    <w:rPr>
                      <w:rFonts w:ascii="Times New Roman" w:hAnsi="Times New Roman"/>
                      <w:color w:val="000000"/>
                      <w:sz w:val="21"/>
                      <w:szCs w:val="21"/>
                      <w:lang w:eastAsia="zh-CN"/>
                    </w:rPr>
                    <w:t>合计</w:t>
                  </w:r>
                </w:p>
              </w:tc>
              <w:tc>
                <w:tcPr>
                  <w:tcW w:w="1593" w:type="dxa"/>
                  <w:noWrap w:val="0"/>
                  <w:vAlign w:val="center"/>
                </w:tcPr>
                <w:p>
                  <w:pPr>
                    <w:jc w:val="center"/>
                    <w:rPr>
                      <w:rFonts w:ascii="Times New Roman" w:hAnsi="Times New Roman"/>
                      <w:color w:val="000000"/>
                      <w:sz w:val="21"/>
                      <w:szCs w:val="21"/>
                    </w:rPr>
                  </w:pPr>
                  <w:r>
                    <w:rPr>
                      <w:rFonts w:ascii="Times New Roman" w:hAnsi="Times New Roman"/>
                      <w:color w:val="000000"/>
                      <w:sz w:val="21"/>
                      <w:szCs w:val="21"/>
                    </w:rPr>
                    <w:t>/</w:t>
                  </w:r>
                </w:p>
              </w:tc>
              <w:tc>
                <w:tcPr>
                  <w:tcW w:w="1328" w:type="dxa"/>
                  <w:noWrap w:val="0"/>
                  <w:vAlign w:val="center"/>
                </w:tcPr>
                <w:p>
                  <w:pPr>
                    <w:pStyle w:val="31"/>
                    <w:jc w:val="center"/>
                    <w:rPr>
                      <w:rFonts w:ascii="Times New Roman" w:hAnsi="Times New Roman"/>
                      <w:color w:val="000000"/>
                      <w:sz w:val="21"/>
                      <w:szCs w:val="21"/>
                      <w:lang w:eastAsia="zh-CN"/>
                    </w:rPr>
                  </w:pPr>
                  <w:r>
                    <w:rPr>
                      <w:rFonts w:ascii="Times New Roman" w:hAnsi="Times New Roman"/>
                      <w:color w:val="000000"/>
                      <w:sz w:val="21"/>
                      <w:szCs w:val="21"/>
                      <w:lang w:eastAsia="zh-CN"/>
                    </w:rPr>
                    <w:t>/</w:t>
                  </w:r>
                </w:p>
              </w:tc>
              <w:tc>
                <w:tcPr>
                  <w:tcW w:w="1329" w:type="dxa"/>
                  <w:noWrap w:val="0"/>
                  <w:vAlign w:val="center"/>
                </w:tcPr>
                <w:p>
                  <w:pPr>
                    <w:keepNext w:val="0"/>
                    <w:keepLines w:val="0"/>
                    <w:widowControl/>
                    <w:suppressLineNumbers w:val="0"/>
                    <w:jc w:val="center"/>
                    <w:textAlignment w:val="center"/>
                    <w:rPr>
                      <w:rFonts w:hint="default" w:ascii="Times New Roman" w:hAnsi="Times New Roman" w:eastAsia="宋体"/>
                      <w:color w:val="000000"/>
                      <w:sz w:val="21"/>
                      <w:szCs w:val="21"/>
                      <w:lang w:val="en-US" w:eastAsia="zh-CN"/>
                    </w:rPr>
                  </w:pPr>
                  <w:r>
                    <w:rPr>
                      <w:rFonts w:hint="eastAsia"/>
                      <w:color w:val="000000"/>
                      <w:sz w:val="21"/>
                      <w:szCs w:val="21"/>
                      <w:lang w:val="en-US" w:eastAsia="zh-CN"/>
                    </w:rPr>
                    <w:t>0.0376558</w:t>
                  </w:r>
                </w:p>
              </w:tc>
              <w:tc>
                <w:tcPr>
                  <w:tcW w:w="1534" w:type="dxa"/>
                  <w:noWrap w:val="0"/>
                  <w:vAlign w:val="center"/>
                </w:tcPr>
                <w:p>
                  <w:pPr>
                    <w:pStyle w:val="31"/>
                    <w:jc w:val="center"/>
                    <w:rPr>
                      <w:rFonts w:ascii="Times New Roman" w:hAnsi="Times New Roman"/>
                      <w:color w:val="000000"/>
                      <w:sz w:val="21"/>
                      <w:szCs w:val="21"/>
                      <w:lang w:eastAsia="zh-CN"/>
                    </w:rPr>
                  </w:pPr>
                  <w:r>
                    <w:rPr>
                      <w:rFonts w:ascii="Times New Roman" w:hAnsi="Times New Roman"/>
                      <w:color w:val="000000"/>
                      <w:sz w:val="21"/>
                      <w:szCs w:val="21"/>
                      <w:lang w:eastAsia="zh-CN"/>
                    </w:rPr>
                    <w:t>/</w:t>
                  </w: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（2）环境风险识别</w:t>
            </w:r>
          </w:p>
          <w:p>
            <w:pPr>
              <w:spacing w:line="500" w:lineRule="exact"/>
              <w:ind w:firstLine="480" w:firstLineChars="200"/>
              <w:jc w:val="left"/>
              <w:rPr>
                <w:rFonts w:hint="eastAsia" w:cs="Times New Roman"/>
                <w:b/>
                <w:bCs/>
                <w:sz w:val="24"/>
                <w:szCs w:val="24"/>
                <w:lang w:val="en-US" w:eastAsia="zh-CN"/>
              </w:rPr>
            </w:pPr>
            <w:r>
              <w:rPr>
                <w:rFonts w:ascii="Times New Roman" w:hAnsi="Times New Roman"/>
                <w:b w:val="0"/>
                <w:bCs w:val="0"/>
                <w:color w:val="000000"/>
                <w:sz w:val="24"/>
                <w:szCs w:val="24"/>
              </w:rPr>
              <w:t>对照《建设项目环境风险</w:t>
            </w:r>
            <w:r>
              <w:rPr>
                <w:rFonts w:hint="eastAsia"/>
                <w:b w:val="0"/>
                <w:bCs w:val="0"/>
                <w:color w:val="000000"/>
                <w:sz w:val="24"/>
                <w:szCs w:val="24"/>
              </w:rPr>
              <w:t>评价</w:t>
            </w:r>
            <w:r>
              <w:rPr>
                <w:rFonts w:ascii="Times New Roman" w:hAnsi="Times New Roman"/>
                <w:b w:val="0"/>
                <w:bCs w:val="0"/>
                <w:color w:val="000000"/>
                <w:sz w:val="24"/>
                <w:szCs w:val="24"/>
              </w:rPr>
              <w:t>技术导则》（HJ169-2018），</w:t>
            </w:r>
            <w:r>
              <w:rPr>
                <w:rFonts w:ascii="Times New Roman" w:hAnsi="Times New Roman"/>
                <w:b w:val="0"/>
                <w:bCs w:val="0"/>
                <w:color w:val="000000"/>
                <w:sz w:val="24"/>
                <w:szCs w:val="24"/>
                <w:lang w:val="zh-CN"/>
              </w:rPr>
              <w:t>建设项目所涉及</w:t>
            </w:r>
            <w:r>
              <w:rPr>
                <w:rFonts w:ascii="Times New Roman" w:hAnsi="Times New Roman"/>
                <w:b w:val="0"/>
                <w:bCs w:val="0"/>
                <w:color w:val="000000"/>
                <w:sz w:val="24"/>
                <w:szCs w:val="24"/>
              </w:rPr>
              <w:t>主要</w:t>
            </w:r>
            <w:r>
              <w:rPr>
                <w:rFonts w:hint="eastAsia"/>
                <w:b w:val="0"/>
                <w:bCs w:val="0"/>
                <w:color w:val="000000"/>
                <w:sz w:val="24"/>
                <w:szCs w:val="24"/>
                <w:lang w:val="en-US" w:eastAsia="zh-CN"/>
              </w:rPr>
              <w:t>危险</w:t>
            </w:r>
            <w:r>
              <w:rPr>
                <w:rFonts w:ascii="Times New Roman" w:hAnsi="Times New Roman"/>
                <w:b w:val="0"/>
                <w:bCs w:val="0"/>
                <w:color w:val="000000"/>
                <w:sz w:val="24"/>
                <w:szCs w:val="24"/>
              </w:rPr>
              <w:t>物质环境风险识别</w:t>
            </w:r>
            <w:r>
              <w:rPr>
                <w:rFonts w:ascii="Times New Roman" w:hAnsi="Times New Roman"/>
                <w:b w:val="0"/>
                <w:bCs w:val="0"/>
                <w:color w:val="000000"/>
                <w:sz w:val="24"/>
                <w:szCs w:val="24"/>
                <w:lang w:val="zh-CN"/>
              </w:rPr>
              <w:t>见</w:t>
            </w:r>
            <w:r>
              <w:rPr>
                <w:rFonts w:hint="eastAsia" w:ascii="Times New Roman" w:hAnsi="Times New Roman"/>
                <w:b w:val="0"/>
                <w:bCs w:val="0"/>
                <w:kern w:val="0"/>
                <w:sz w:val="24"/>
                <w:szCs w:val="24"/>
                <w:lang w:val="en-US" w:eastAsia="zh-CN"/>
              </w:rPr>
              <w:t>下</w:t>
            </w:r>
            <w:r>
              <w:rPr>
                <w:rFonts w:ascii="Times New Roman" w:hAnsi="Times New Roman"/>
                <w:b w:val="0"/>
                <w:bCs w:val="0"/>
                <w:kern w:val="0"/>
                <w:sz w:val="24"/>
                <w:szCs w:val="24"/>
              </w:rPr>
              <w:t>表</w:t>
            </w:r>
            <w:r>
              <w:rPr>
                <w:rFonts w:ascii="Times New Roman" w:hAnsi="Times New Roman"/>
                <w:b w:val="0"/>
                <w:bCs w:val="0"/>
                <w:color w:val="000000"/>
                <w:sz w:val="24"/>
                <w:szCs w:val="24"/>
                <w:lang w:val="zh-CN"/>
              </w:rPr>
              <w:t>。</w:t>
            </w:r>
          </w:p>
          <w:p>
            <w:pPr>
              <w:spacing w:line="500" w:lineRule="exact"/>
              <w:jc w:val="center"/>
              <w:rPr>
                <w:rFonts w:ascii="Times New Roman" w:hAnsi="Times New Roman"/>
                <w:b/>
                <w:bCs/>
                <w:color w:val="000000"/>
                <w:sz w:val="24"/>
                <w:szCs w:val="24"/>
                <w:lang w:val="zh-CN"/>
              </w:rPr>
            </w:pPr>
            <w:r>
              <w:rPr>
                <w:rFonts w:ascii="Times New Roman" w:hAnsi="Times New Roman"/>
                <w:b/>
                <w:bCs/>
                <w:color w:val="000000"/>
                <w:sz w:val="24"/>
                <w:szCs w:val="24"/>
                <w:lang w:val="zh-CN"/>
              </w:rPr>
              <w:t>表</w:t>
            </w:r>
            <w:r>
              <w:rPr>
                <w:rFonts w:hint="eastAsia"/>
                <w:b/>
                <w:bCs/>
                <w:color w:val="000000"/>
                <w:sz w:val="24"/>
                <w:szCs w:val="24"/>
                <w:lang w:val="en-US" w:eastAsia="zh-CN"/>
              </w:rPr>
              <w:t xml:space="preserve">4-33  </w:t>
            </w:r>
            <w:r>
              <w:rPr>
                <w:rFonts w:ascii="Times New Roman" w:hAnsi="Times New Roman"/>
                <w:b/>
                <w:bCs/>
                <w:color w:val="000000"/>
                <w:sz w:val="24"/>
                <w:szCs w:val="24"/>
                <w:lang w:val="zh-CN"/>
              </w:rPr>
              <w:t>建设项目</w:t>
            </w:r>
            <w:r>
              <w:rPr>
                <w:rFonts w:ascii="Times New Roman" w:hAnsi="Times New Roman"/>
                <w:b/>
                <w:bCs/>
                <w:color w:val="000000"/>
                <w:sz w:val="24"/>
                <w:szCs w:val="24"/>
              </w:rPr>
              <w:t>主要危险物质环境风险识别</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52"/>
              <w:gridCol w:w="1650"/>
              <w:gridCol w:w="3858"/>
              <w:gridCol w:w="24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2" w:type="dxa"/>
                  <w:tcBorders>
                    <w:bottom w:val="single" w:color="auto" w:sz="4" w:space="0"/>
                    <w:right w:val="single" w:color="auto" w:sz="4" w:space="0"/>
                  </w:tcBorders>
                  <w:noWrap w:val="0"/>
                  <w:vAlign w:val="center"/>
                </w:tcPr>
                <w:p>
                  <w:pPr>
                    <w:adjustRightInd w:val="0"/>
                    <w:snapToGrid w:val="0"/>
                    <w:jc w:val="center"/>
                    <w:rPr>
                      <w:rFonts w:ascii="Times New Roman" w:hAnsi="Times New Roman"/>
                      <w:b/>
                      <w:color w:val="000000"/>
                      <w:spacing w:val="4"/>
                      <w:sz w:val="21"/>
                      <w:szCs w:val="21"/>
                    </w:rPr>
                  </w:pPr>
                  <w:r>
                    <w:rPr>
                      <w:rFonts w:ascii="Times New Roman" w:hAnsi="Times New Roman"/>
                      <w:b/>
                      <w:color w:val="000000"/>
                      <w:spacing w:val="4"/>
                      <w:sz w:val="21"/>
                      <w:szCs w:val="21"/>
                    </w:rPr>
                    <w:t>序号</w:t>
                  </w:r>
                </w:p>
              </w:tc>
              <w:tc>
                <w:tcPr>
                  <w:tcW w:w="1650" w:type="dxa"/>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color w:val="000000"/>
                      <w:spacing w:val="4"/>
                      <w:sz w:val="21"/>
                      <w:szCs w:val="21"/>
                    </w:rPr>
                  </w:pPr>
                  <w:r>
                    <w:rPr>
                      <w:rFonts w:ascii="Times New Roman" w:hAnsi="Times New Roman"/>
                      <w:b/>
                      <w:color w:val="000000"/>
                      <w:spacing w:val="4"/>
                      <w:sz w:val="21"/>
                      <w:szCs w:val="21"/>
                    </w:rPr>
                    <w:t>风险单元</w:t>
                  </w:r>
                </w:p>
              </w:tc>
              <w:tc>
                <w:tcPr>
                  <w:tcW w:w="3858" w:type="dxa"/>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color w:val="000000"/>
                      <w:spacing w:val="4"/>
                      <w:sz w:val="21"/>
                      <w:szCs w:val="21"/>
                    </w:rPr>
                  </w:pPr>
                  <w:r>
                    <w:rPr>
                      <w:rFonts w:ascii="Times New Roman" w:hAnsi="Times New Roman"/>
                      <w:b/>
                      <w:color w:val="000000"/>
                      <w:spacing w:val="4"/>
                      <w:sz w:val="21"/>
                      <w:szCs w:val="21"/>
                    </w:rPr>
                    <w:t>涉及风险物质</w:t>
                  </w:r>
                </w:p>
              </w:tc>
              <w:tc>
                <w:tcPr>
                  <w:tcW w:w="2444" w:type="dxa"/>
                  <w:tcBorders>
                    <w:left w:val="single" w:color="auto" w:sz="4" w:space="0"/>
                    <w:bottom w:val="single" w:color="auto" w:sz="4" w:space="0"/>
                  </w:tcBorders>
                  <w:noWrap w:val="0"/>
                  <w:vAlign w:val="center"/>
                </w:tcPr>
                <w:p>
                  <w:pPr>
                    <w:adjustRightInd w:val="0"/>
                    <w:snapToGrid w:val="0"/>
                    <w:jc w:val="center"/>
                    <w:rPr>
                      <w:rFonts w:ascii="Times New Roman" w:hAnsi="Times New Roman"/>
                      <w:b/>
                      <w:color w:val="000000"/>
                      <w:spacing w:val="4"/>
                      <w:sz w:val="21"/>
                      <w:szCs w:val="21"/>
                    </w:rPr>
                  </w:pPr>
                  <w:r>
                    <w:rPr>
                      <w:rFonts w:ascii="Times New Roman" w:hAnsi="Times New Roman"/>
                      <w:b/>
                      <w:color w:val="000000"/>
                      <w:spacing w:val="4"/>
                      <w:sz w:val="21"/>
                      <w:szCs w:val="21"/>
                    </w:rPr>
                    <w:t>可能影响环境的途径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2"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pacing w:val="4"/>
                      <w:sz w:val="21"/>
                      <w:szCs w:val="21"/>
                    </w:rPr>
                  </w:pPr>
                  <w:r>
                    <w:rPr>
                      <w:rFonts w:ascii="Times New Roman" w:hAnsi="Times New Roman"/>
                      <w:color w:val="000000"/>
                      <w:spacing w:val="4"/>
                      <w:sz w:val="21"/>
                      <w:szCs w:val="21"/>
                    </w:rPr>
                    <w:t>1</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olor w:val="000000"/>
                      <w:spacing w:val="4"/>
                      <w:sz w:val="21"/>
                      <w:szCs w:val="21"/>
                      <w:lang w:eastAsia="zh-CN"/>
                    </w:rPr>
                  </w:pPr>
                  <w:r>
                    <w:rPr>
                      <w:rFonts w:hint="eastAsia"/>
                      <w:color w:val="000000"/>
                      <w:spacing w:val="4"/>
                      <w:sz w:val="21"/>
                      <w:szCs w:val="21"/>
                      <w:lang w:val="en-US" w:eastAsia="zh-CN"/>
                    </w:rPr>
                    <w:t>原料堆放区</w:t>
                  </w:r>
                  <w:r>
                    <w:rPr>
                      <w:rFonts w:ascii="Times New Roman" w:hAnsi="Times New Roman"/>
                      <w:color w:val="000000"/>
                      <w:spacing w:val="4"/>
                      <w:sz w:val="21"/>
                      <w:szCs w:val="21"/>
                    </w:rPr>
                    <w:t>及</w:t>
                  </w:r>
                  <w:r>
                    <w:rPr>
                      <w:rFonts w:hint="eastAsia"/>
                      <w:color w:val="000000"/>
                      <w:spacing w:val="4"/>
                      <w:sz w:val="21"/>
                      <w:szCs w:val="21"/>
                      <w:lang w:val="en-US" w:eastAsia="zh-CN"/>
                    </w:rPr>
                    <w:t>生产车间</w:t>
                  </w:r>
                </w:p>
              </w:tc>
              <w:tc>
                <w:tcPr>
                  <w:tcW w:w="38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olor w:val="000000"/>
                      <w:spacing w:val="4"/>
                      <w:sz w:val="21"/>
                      <w:szCs w:val="21"/>
                      <w:lang w:val="en-US" w:eastAsia="zh-CN"/>
                    </w:rPr>
                  </w:pPr>
                  <w:r>
                    <w:rPr>
                      <w:rFonts w:hint="eastAsia"/>
                      <w:color w:val="000000"/>
                      <w:spacing w:val="4"/>
                      <w:sz w:val="21"/>
                      <w:szCs w:val="21"/>
                      <w:lang w:val="en-US" w:eastAsia="zh-CN"/>
                    </w:rPr>
                    <w:t>水性油墨、润滑油、白乳胶、热熔胶</w:t>
                  </w:r>
                </w:p>
              </w:tc>
              <w:tc>
                <w:tcPr>
                  <w:tcW w:w="2444" w:type="dxa"/>
                  <w:vMerge w:val="restart"/>
                  <w:tcBorders>
                    <w:top w:val="single" w:color="auto" w:sz="4" w:space="0"/>
                    <w:left w:val="single" w:color="auto" w:sz="4" w:space="0"/>
                  </w:tcBorders>
                  <w:noWrap w:val="0"/>
                  <w:vAlign w:val="center"/>
                </w:tcPr>
                <w:p>
                  <w:pPr>
                    <w:adjustRightInd w:val="0"/>
                    <w:snapToGrid w:val="0"/>
                    <w:jc w:val="center"/>
                    <w:rPr>
                      <w:rFonts w:ascii="Times New Roman" w:hAnsi="Times New Roman"/>
                      <w:color w:val="000000"/>
                      <w:spacing w:val="4"/>
                      <w:sz w:val="21"/>
                      <w:szCs w:val="21"/>
                    </w:rPr>
                  </w:pPr>
                  <w:r>
                    <w:rPr>
                      <w:rFonts w:ascii="宋体" w:hAnsi="宋体" w:eastAsia="宋体" w:cs="宋体"/>
                      <w:sz w:val="21"/>
                      <w:szCs w:val="21"/>
                    </w:rPr>
                    <w:t>设施设备运行故障导致超标排放，火灾等引起的伴生/次生污染物排放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泄</w:t>
                  </w:r>
                  <w:r>
                    <w:rPr>
                      <w:rFonts w:ascii="Times New Roman" w:hAnsi="Times New Roman"/>
                      <w:color w:val="000000"/>
                      <w:kern w:val="0"/>
                      <w:sz w:val="21"/>
                      <w:szCs w:val="21"/>
                    </w:rPr>
                    <w:t>漏以及火灾、爆炸等引起的伴生/次生污染物排放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2"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pacing w:val="4"/>
                      <w:sz w:val="21"/>
                      <w:szCs w:val="21"/>
                    </w:rPr>
                  </w:pPr>
                  <w:r>
                    <w:rPr>
                      <w:rFonts w:ascii="Times New Roman" w:hAnsi="Times New Roman"/>
                      <w:color w:val="000000"/>
                      <w:spacing w:val="4"/>
                      <w:sz w:val="21"/>
                      <w:szCs w:val="21"/>
                    </w:rPr>
                    <w:t>2</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olor w:val="000000"/>
                      <w:spacing w:val="4"/>
                      <w:sz w:val="21"/>
                      <w:szCs w:val="21"/>
                      <w:lang w:eastAsia="zh-CN"/>
                    </w:rPr>
                  </w:pPr>
                  <w:r>
                    <w:rPr>
                      <w:rFonts w:hint="eastAsia"/>
                      <w:color w:val="000000"/>
                      <w:spacing w:val="4"/>
                      <w:sz w:val="21"/>
                      <w:szCs w:val="21"/>
                      <w:lang w:eastAsia="zh-CN"/>
                    </w:rPr>
                    <w:t>危废贮存点</w:t>
                  </w:r>
                </w:p>
              </w:tc>
              <w:tc>
                <w:tcPr>
                  <w:tcW w:w="38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olor w:val="000000"/>
                      <w:spacing w:val="4"/>
                      <w:sz w:val="21"/>
                      <w:szCs w:val="21"/>
                      <w:lang w:val="en-US" w:eastAsia="zh-CN"/>
                    </w:rPr>
                  </w:pPr>
                  <w:r>
                    <w:rPr>
                      <w:rFonts w:hint="eastAsia"/>
                      <w:color w:val="000000"/>
                      <w:spacing w:val="4"/>
                      <w:sz w:val="21"/>
                      <w:szCs w:val="21"/>
                      <w:lang w:val="en-US" w:eastAsia="zh-CN"/>
                    </w:rPr>
                    <w:t>废活性炭、</w:t>
                  </w:r>
                  <w:r>
                    <w:rPr>
                      <w:rFonts w:ascii="Times New Roman" w:hAnsi="Times New Roman"/>
                      <w:color w:val="000000"/>
                      <w:spacing w:val="4"/>
                      <w:sz w:val="21"/>
                      <w:szCs w:val="21"/>
                    </w:rPr>
                    <w:t>废</w:t>
                  </w:r>
                  <w:r>
                    <w:rPr>
                      <w:rFonts w:hint="eastAsia" w:ascii="Times New Roman" w:hAnsi="Times New Roman"/>
                      <w:color w:val="000000"/>
                      <w:spacing w:val="4"/>
                      <w:sz w:val="21"/>
                      <w:szCs w:val="21"/>
                    </w:rPr>
                    <w:t>包装</w:t>
                  </w:r>
                  <w:r>
                    <w:rPr>
                      <w:rFonts w:ascii="Times New Roman" w:hAnsi="Times New Roman"/>
                      <w:color w:val="000000"/>
                      <w:spacing w:val="4"/>
                      <w:sz w:val="21"/>
                      <w:szCs w:val="21"/>
                    </w:rPr>
                    <w:t>桶、含油废</w:t>
                  </w:r>
                  <w:r>
                    <w:rPr>
                      <w:rFonts w:hint="eastAsia"/>
                      <w:color w:val="000000"/>
                      <w:spacing w:val="4"/>
                      <w:sz w:val="21"/>
                      <w:szCs w:val="21"/>
                      <w:lang w:val="en-US" w:eastAsia="zh-CN"/>
                    </w:rPr>
                    <w:t>液</w:t>
                  </w:r>
                  <w:r>
                    <w:rPr>
                      <w:rFonts w:ascii="Times New Roman" w:hAnsi="Times New Roman"/>
                      <w:color w:val="000000"/>
                      <w:spacing w:val="4"/>
                      <w:sz w:val="21"/>
                      <w:szCs w:val="21"/>
                    </w:rPr>
                    <w:t>、废劳保用品</w:t>
                  </w:r>
                  <w:r>
                    <w:rPr>
                      <w:rFonts w:hint="eastAsia"/>
                      <w:color w:val="000000"/>
                      <w:spacing w:val="4"/>
                      <w:sz w:val="21"/>
                      <w:szCs w:val="21"/>
                      <w:lang w:eastAsia="zh-CN"/>
                    </w:rPr>
                    <w:t>、</w:t>
                  </w:r>
                  <w:r>
                    <w:rPr>
                      <w:rFonts w:hint="eastAsia"/>
                      <w:color w:val="000000"/>
                      <w:spacing w:val="4"/>
                      <w:sz w:val="21"/>
                      <w:szCs w:val="21"/>
                      <w:lang w:val="en-US" w:eastAsia="zh-CN"/>
                    </w:rPr>
                    <w:t>废润滑油、废润滑油桶、清洗废液</w:t>
                  </w:r>
                </w:p>
              </w:tc>
              <w:tc>
                <w:tcPr>
                  <w:tcW w:w="2444" w:type="dxa"/>
                  <w:vMerge w:val="continue"/>
                  <w:tcBorders>
                    <w:left w:val="single" w:color="auto" w:sz="4" w:space="0"/>
                    <w:bottom w:val="single" w:color="auto" w:sz="4" w:space="0"/>
                  </w:tcBorders>
                  <w:noWrap w:val="0"/>
                  <w:vAlign w:val="center"/>
                </w:tcPr>
                <w:p>
                  <w:pPr>
                    <w:adjustRightInd w:val="0"/>
                    <w:snapToGrid w:val="0"/>
                    <w:jc w:val="center"/>
                    <w:rPr>
                      <w:rFonts w:ascii="Times New Roman" w:hAnsi="Times New Roman"/>
                      <w:color w:val="000000"/>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2" w:type="dxa"/>
                  <w:tcBorders>
                    <w:top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olor w:val="000000"/>
                      <w:spacing w:val="4"/>
                      <w:sz w:val="21"/>
                      <w:szCs w:val="21"/>
                      <w:lang w:val="en-US" w:eastAsia="zh-CN"/>
                    </w:rPr>
                  </w:pPr>
                  <w:r>
                    <w:rPr>
                      <w:rFonts w:hint="eastAsia"/>
                      <w:color w:val="000000"/>
                      <w:spacing w:val="4"/>
                      <w:sz w:val="21"/>
                      <w:szCs w:val="21"/>
                      <w:lang w:val="en-US" w:eastAsia="zh-CN"/>
                    </w:rPr>
                    <w:t>3</w:t>
                  </w:r>
                </w:p>
              </w:tc>
              <w:tc>
                <w:tcPr>
                  <w:tcW w:w="1650"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color w:val="000000"/>
                      <w:spacing w:val="4"/>
                      <w:sz w:val="21"/>
                      <w:szCs w:val="21"/>
                      <w:lang w:val="en-US" w:eastAsia="zh-CN"/>
                    </w:rPr>
                  </w:pPr>
                  <w:r>
                    <w:rPr>
                      <w:rFonts w:hint="eastAsia" w:cs="Times New Roman"/>
                      <w:color w:val="000000"/>
                      <w:sz w:val="21"/>
                      <w:szCs w:val="21"/>
                      <w:lang w:val="en-US" w:eastAsia="zh-CN"/>
                    </w:rPr>
                    <w:t>废气处理装置</w:t>
                  </w:r>
                </w:p>
              </w:tc>
              <w:tc>
                <w:tcPr>
                  <w:tcW w:w="3858"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color w:val="000000"/>
                      <w:spacing w:val="4"/>
                      <w:sz w:val="21"/>
                      <w:szCs w:val="21"/>
                      <w:lang w:val="en-US"/>
                    </w:rPr>
                  </w:pPr>
                  <w:r>
                    <w:rPr>
                      <w:rFonts w:hint="eastAsia" w:cs="Times New Roman"/>
                      <w:color w:val="000000"/>
                      <w:spacing w:val="4"/>
                      <w:sz w:val="21"/>
                      <w:szCs w:val="21"/>
                      <w:lang w:val="en-US" w:eastAsia="zh-CN"/>
                    </w:rPr>
                    <w:t>非甲烷总烃、颗粒物</w:t>
                  </w:r>
                </w:p>
              </w:tc>
              <w:tc>
                <w:tcPr>
                  <w:tcW w:w="2444" w:type="dxa"/>
                  <w:tcBorders>
                    <w:top w:val="single" w:color="auto" w:sz="4" w:space="0"/>
                    <w:left w:val="single" w:color="auto" w:sz="4" w:space="0"/>
                  </w:tcBorders>
                  <w:noWrap w:val="0"/>
                  <w:vAlign w:val="center"/>
                </w:tcPr>
                <w:p>
                  <w:pPr>
                    <w:adjustRightInd w:val="0"/>
                    <w:snapToGrid w:val="0"/>
                    <w:jc w:val="center"/>
                    <w:rPr>
                      <w:rFonts w:hint="default" w:ascii="Times New Roman" w:hAnsi="Times New Roman"/>
                      <w:color w:val="000000"/>
                      <w:kern w:val="0"/>
                      <w:sz w:val="21"/>
                      <w:szCs w:val="21"/>
                      <w:lang w:val="en-US"/>
                    </w:rPr>
                  </w:pPr>
                  <w:r>
                    <w:rPr>
                      <w:rFonts w:hint="eastAsia" w:ascii="Times New Roman" w:hAnsi="Times New Roman" w:cs="Times New Roman"/>
                      <w:color w:val="000000"/>
                      <w:sz w:val="21"/>
                      <w:szCs w:val="21"/>
                      <w:lang w:val="en-US" w:eastAsia="zh-CN"/>
                    </w:rPr>
                    <w:t>设施设备运行故障导致超标排放、大气扩散</w:t>
                  </w:r>
                  <w:r>
                    <w:rPr>
                      <w:rFonts w:hint="eastAsia" w:cs="Times New Roman"/>
                      <w:color w:val="000000"/>
                      <w:sz w:val="21"/>
                      <w:szCs w:val="21"/>
                      <w:lang w:val="en-US" w:eastAsia="zh-CN"/>
                    </w:rPr>
                    <w:t>，火灾等引起的伴生/次生污染物排放</w:t>
                  </w: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（3）环境风险分析</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color w:val="auto"/>
                <w:sz w:val="24"/>
                <w:szCs w:val="24"/>
              </w:rPr>
            </w:pPr>
            <w:r>
              <w:rPr>
                <w:rFonts w:hint="eastAsia" w:cs="Times New Roman"/>
                <w:b/>
                <w:bCs/>
                <w:sz w:val="24"/>
                <w:szCs w:val="24"/>
                <w:lang w:val="en-US" w:eastAsia="zh-CN"/>
              </w:rPr>
              <w:t xml:space="preserve"> </w:t>
            </w:r>
            <w:r>
              <w:rPr>
                <w:color w:val="auto"/>
                <w:sz w:val="24"/>
                <w:szCs w:val="24"/>
                <w:shd w:val="clear" w:color="auto" w:fill="FFFFFF"/>
              </w:rPr>
              <w:t>按照《建设项目环境风险评价技术导则》（HJ169-2018），</w:t>
            </w:r>
            <w:r>
              <w:rPr>
                <w:rFonts w:hint="eastAsia"/>
                <w:color w:val="auto"/>
                <w:sz w:val="24"/>
                <w:szCs w:val="24"/>
                <w:shd w:val="clear" w:color="auto" w:fill="FFFFFF"/>
                <w:lang w:val="en-US" w:eastAsia="zh-CN"/>
              </w:rPr>
              <w:t>本</w:t>
            </w:r>
            <w:r>
              <w:rPr>
                <w:color w:val="auto"/>
                <w:sz w:val="24"/>
                <w:szCs w:val="24"/>
                <w:shd w:val="clear" w:color="auto" w:fill="FFFFFF"/>
              </w:rPr>
              <w:t>项目涉及的主要风险物质为：</w:t>
            </w:r>
            <w:r>
              <w:rPr>
                <w:rFonts w:hint="eastAsia"/>
                <w:color w:val="auto"/>
                <w:sz w:val="24"/>
                <w:szCs w:val="24"/>
                <w:shd w:val="clear" w:color="auto" w:fill="FFFFFF"/>
                <w:lang w:val="en-US" w:eastAsia="zh-CN"/>
              </w:rPr>
              <w:t>水性油墨、白乳胶、</w:t>
            </w:r>
            <w:r>
              <w:rPr>
                <w:rFonts w:hint="eastAsia"/>
                <w:color w:val="auto"/>
                <w:sz w:val="24"/>
                <w:szCs w:val="24"/>
                <w:shd w:val="clear" w:color="auto" w:fill="FFFFFF"/>
              </w:rPr>
              <w:t>润滑油、</w:t>
            </w:r>
            <w:r>
              <w:rPr>
                <w:rFonts w:hint="eastAsia"/>
                <w:color w:val="auto"/>
                <w:sz w:val="24"/>
                <w:szCs w:val="24"/>
                <w:shd w:val="clear" w:color="auto" w:fill="FFFFFF"/>
                <w:lang w:eastAsia="zh-CN"/>
              </w:rPr>
              <w:t>废活性炭</w:t>
            </w:r>
            <w:r>
              <w:rPr>
                <w:rFonts w:hint="eastAsia"/>
                <w:color w:val="auto"/>
                <w:sz w:val="24"/>
                <w:szCs w:val="24"/>
                <w:shd w:val="clear" w:color="auto" w:fill="FFFFFF"/>
                <w:lang w:val="en-US" w:eastAsia="zh-CN"/>
              </w:rPr>
              <w:t>、</w:t>
            </w:r>
            <w:r>
              <w:rPr>
                <w:rFonts w:hint="eastAsia"/>
                <w:color w:val="auto"/>
                <w:sz w:val="24"/>
                <w:szCs w:val="24"/>
                <w:shd w:val="clear" w:color="auto" w:fill="FFFFFF"/>
                <w:lang w:eastAsia="zh-CN"/>
              </w:rPr>
              <w:t>废劳保用品、废润滑油、含油废</w:t>
            </w:r>
            <w:r>
              <w:rPr>
                <w:rFonts w:hint="eastAsia"/>
                <w:color w:val="auto"/>
                <w:sz w:val="24"/>
                <w:szCs w:val="24"/>
                <w:shd w:val="clear" w:color="auto" w:fill="FFFFFF"/>
                <w:lang w:val="en-US" w:eastAsia="zh-CN"/>
              </w:rPr>
              <w:t>液</w:t>
            </w:r>
            <w:r>
              <w:rPr>
                <w:rFonts w:hint="eastAsia"/>
                <w:color w:val="auto"/>
                <w:sz w:val="24"/>
                <w:szCs w:val="24"/>
                <w:shd w:val="clear" w:color="auto" w:fill="FFFFFF"/>
                <w:lang w:eastAsia="zh-CN"/>
              </w:rPr>
              <w:t>、</w:t>
            </w:r>
            <w:r>
              <w:rPr>
                <w:rFonts w:hint="eastAsia"/>
                <w:color w:val="auto"/>
                <w:sz w:val="24"/>
                <w:szCs w:val="24"/>
                <w:shd w:val="clear" w:color="auto" w:fill="FFFFFF"/>
                <w:lang w:val="en-US" w:eastAsia="zh-CN"/>
              </w:rPr>
              <w:t>清洗废液、</w:t>
            </w:r>
            <w:r>
              <w:rPr>
                <w:rFonts w:hint="eastAsia"/>
                <w:color w:val="auto"/>
                <w:sz w:val="24"/>
                <w:szCs w:val="24"/>
                <w:shd w:val="clear" w:color="auto" w:fill="FFFFFF"/>
                <w:lang w:eastAsia="zh-CN"/>
              </w:rPr>
              <w:t>废</w:t>
            </w:r>
            <w:r>
              <w:rPr>
                <w:rFonts w:hint="eastAsia"/>
                <w:color w:val="auto"/>
                <w:sz w:val="24"/>
                <w:szCs w:val="24"/>
                <w:shd w:val="clear" w:color="auto" w:fill="FFFFFF"/>
                <w:lang w:val="en-US" w:eastAsia="zh-CN"/>
              </w:rPr>
              <w:t>包装</w:t>
            </w:r>
            <w:r>
              <w:rPr>
                <w:rFonts w:hint="eastAsia"/>
                <w:color w:val="auto"/>
                <w:sz w:val="24"/>
                <w:szCs w:val="24"/>
                <w:shd w:val="clear" w:color="auto" w:fill="FFFFFF"/>
                <w:lang w:eastAsia="zh-CN"/>
              </w:rPr>
              <w:t>桶、</w:t>
            </w:r>
            <w:r>
              <w:rPr>
                <w:rFonts w:hint="eastAsia"/>
                <w:color w:val="auto"/>
                <w:sz w:val="24"/>
                <w:szCs w:val="24"/>
                <w:shd w:val="clear" w:color="auto" w:fill="FFFFFF"/>
                <w:lang w:val="en-US" w:eastAsia="zh-CN"/>
              </w:rPr>
              <w:t>废润滑油桶</w:t>
            </w:r>
            <w:r>
              <w:rPr>
                <w:color w:val="auto"/>
                <w:sz w:val="24"/>
                <w:szCs w:val="24"/>
                <w:shd w:val="clear" w:color="auto" w:fill="FFFFFF"/>
              </w:rPr>
              <w:t>等</w:t>
            </w:r>
            <w:r>
              <w:rPr>
                <w:rFonts w:hint="eastAsia"/>
                <w:color w:val="auto"/>
                <w:sz w:val="24"/>
                <w:szCs w:val="24"/>
                <w:shd w:val="clear" w:color="auto" w:fill="FFFFFF"/>
              </w:rPr>
              <w:t>，</w:t>
            </w:r>
            <w:r>
              <w:rPr>
                <w:color w:val="auto"/>
                <w:sz w:val="24"/>
                <w:szCs w:val="24"/>
              </w:rPr>
              <w:t>涉及气态或液态的风险物质发生泄漏时，产生的有机废气进入大气环境，导致周围大气环境中相应污染物浓度增高，造成环境空气质量污染；遇明火、火花则可能发生火灾爆炸事故，同时燃烧产生烟尘、</w:t>
            </w:r>
            <w:r>
              <w:rPr>
                <w:rFonts w:hint="eastAsia"/>
                <w:color w:val="auto"/>
                <w:sz w:val="24"/>
                <w:szCs w:val="24"/>
                <w:lang w:val="en-US" w:eastAsia="zh-CN"/>
              </w:rPr>
              <w:t>CO、</w:t>
            </w:r>
            <w:r>
              <w:rPr>
                <w:color w:val="auto"/>
                <w:sz w:val="24"/>
                <w:szCs w:val="24"/>
              </w:rPr>
              <w:t>SO</w:t>
            </w:r>
            <w:r>
              <w:rPr>
                <w:color w:val="auto"/>
                <w:sz w:val="24"/>
                <w:szCs w:val="24"/>
                <w:vertAlign w:val="subscript"/>
              </w:rPr>
              <w:t>2</w:t>
            </w:r>
            <w:r>
              <w:rPr>
                <w:color w:val="auto"/>
                <w:sz w:val="24"/>
                <w:szCs w:val="24"/>
              </w:rPr>
              <w:t>、NO</w:t>
            </w:r>
            <w:r>
              <w:rPr>
                <w:color w:val="auto"/>
                <w:sz w:val="24"/>
                <w:szCs w:val="24"/>
                <w:vertAlign w:val="subscript"/>
              </w:rPr>
              <w:t>X</w:t>
            </w:r>
            <w:r>
              <w:rPr>
                <w:color w:val="auto"/>
                <w:sz w:val="24"/>
                <w:szCs w:val="24"/>
              </w:rPr>
              <w:t>等废气进入大气环境，导致周围大气环境中相应污染物浓度增高，造成环境空气质量污染。对大气环境产生不利影响。另厂区发生泄漏以及火灾、爆炸事故也可能会导致有毒有害物质渗透入土壤中，造成土壤、地下水污染</w:t>
            </w: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olor w:val="auto"/>
                <w:sz w:val="24"/>
                <w:szCs w:val="24"/>
                <w:highlight w:val="none"/>
                <w:lang w:val="en-US" w:eastAsia="zh-CN"/>
              </w:rPr>
            </w:pPr>
            <w:r>
              <w:rPr>
                <w:color w:val="auto"/>
                <w:sz w:val="24"/>
                <w:szCs w:val="24"/>
                <w:shd w:val="clear" w:color="auto" w:fill="FFFFFF"/>
              </w:rPr>
              <w:t>主要影响如下：</w:t>
            </w:r>
          </w:p>
          <w:p>
            <w:pPr>
              <w:pStyle w:val="36"/>
              <w:pageBreakBefore w:val="0"/>
              <w:widowControl w:val="0"/>
              <w:kinsoku/>
              <w:wordWrap/>
              <w:overflowPunct/>
              <w:topLinePunct w:val="0"/>
              <w:autoSpaceDE/>
              <w:autoSpaceDN/>
              <w:bidi w:val="0"/>
              <w:adjustRightInd w:val="0"/>
              <w:snapToGrid w:val="0"/>
              <w:spacing w:line="500" w:lineRule="exact"/>
              <w:ind w:firstLine="480"/>
              <w:jc w:val="left"/>
              <w:textAlignment w:val="auto"/>
              <w:rPr>
                <w:rFonts w:ascii="Times New Roman" w:hAnsi="Times New Roman"/>
                <w:color w:val="auto"/>
                <w:highlight w:val="none"/>
              </w:rPr>
            </w:pPr>
            <w:r>
              <w:rPr>
                <w:rFonts w:ascii="Times New Roman" w:hAnsi="Times New Roman"/>
                <w:color w:val="auto"/>
                <w:highlight w:val="none"/>
              </w:rPr>
              <w:t>①对环境空气的影响：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shd w:val="clear" w:color="auto" w:fill="FFFFFF"/>
              </w:rPr>
            </w:pPr>
            <w:r>
              <w:rPr>
                <w:rFonts w:hint="eastAsia" w:ascii="Times New Roman" w:hAnsi="Times New Roman" w:eastAsia="宋体" w:cs="Times New Roman"/>
                <w:color w:val="auto"/>
                <w:sz w:val="24"/>
                <w:szCs w:val="24"/>
              </w:rPr>
              <w:t>本</w:t>
            </w:r>
            <w:r>
              <w:rPr>
                <w:rFonts w:hint="eastAsia" w:ascii="Times New Roman" w:hAnsi="Times New Roman" w:eastAsia="宋体" w:cs="Times New Roman"/>
                <w:color w:val="auto"/>
                <w:sz w:val="24"/>
                <w:szCs w:val="24"/>
                <w:lang w:val="en-US" w:eastAsia="zh-CN"/>
              </w:rPr>
              <w:t>项目</w:t>
            </w:r>
            <w:r>
              <w:rPr>
                <w:rFonts w:hint="eastAsia" w:cs="Times New Roman"/>
                <w:color w:val="auto"/>
                <w:sz w:val="24"/>
                <w:szCs w:val="24"/>
                <w:lang w:val="en-US" w:eastAsia="zh-CN"/>
              </w:rPr>
              <w:t>废</w:t>
            </w:r>
            <w:r>
              <w:rPr>
                <w:rFonts w:hint="eastAsia" w:ascii="Times New Roman" w:hAnsi="Times New Roman" w:eastAsia="宋体" w:cs="Times New Roman"/>
                <w:color w:val="auto"/>
                <w:sz w:val="24"/>
                <w:szCs w:val="24"/>
                <w:lang w:val="en-US" w:eastAsia="zh-CN"/>
              </w:rPr>
              <w:t>润滑油、</w:t>
            </w:r>
            <w:r>
              <w:rPr>
                <w:rFonts w:hint="eastAsia" w:cs="Times New Roman"/>
                <w:color w:val="auto"/>
                <w:sz w:val="24"/>
                <w:szCs w:val="24"/>
                <w:lang w:val="en-US" w:eastAsia="zh-CN"/>
              </w:rPr>
              <w:t>含油废液、清洗废液</w:t>
            </w:r>
            <w:r>
              <w:rPr>
                <w:rFonts w:hint="eastAsia" w:ascii="Times New Roman" w:hAnsi="Times New Roman" w:eastAsia="宋体" w:cs="Times New Roman"/>
                <w:color w:val="auto"/>
                <w:sz w:val="24"/>
                <w:szCs w:val="24"/>
                <w:lang w:val="en-US" w:eastAsia="zh-CN"/>
              </w:rPr>
              <w:t>桶装</w:t>
            </w:r>
            <w:r>
              <w:rPr>
                <w:rFonts w:hint="eastAsia" w:cs="Times New Roman"/>
                <w:color w:val="auto"/>
                <w:sz w:val="24"/>
                <w:szCs w:val="24"/>
                <w:lang w:val="en-US" w:eastAsia="zh-CN"/>
              </w:rPr>
              <w:t>密闭分区储存在危废贮存点</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废润滑油桶、废包装桶加盖密封贮存</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贮存容器下方设置不锈钢托盘用以收集泄露液体；</w:t>
            </w:r>
            <w:r>
              <w:rPr>
                <w:color w:val="auto"/>
                <w:sz w:val="24"/>
                <w:szCs w:val="24"/>
                <w:shd w:val="clear" w:color="auto" w:fill="FFFFFF"/>
              </w:rPr>
              <w:t>废活性炭</w:t>
            </w:r>
            <w:r>
              <w:rPr>
                <w:rFonts w:hint="eastAsia"/>
                <w:color w:val="auto"/>
                <w:sz w:val="24"/>
                <w:szCs w:val="24"/>
                <w:shd w:val="clear" w:color="auto" w:fill="FFFFFF"/>
                <w:lang w:eastAsia="zh-CN"/>
              </w:rPr>
              <w:t>、</w:t>
            </w:r>
            <w:r>
              <w:rPr>
                <w:rFonts w:hint="eastAsia"/>
                <w:color w:val="auto"/>
                <w:sz w:val="24"/>
                <w:szCs w:val="24"/>
                <w:shd w:val="clear" w:color="auto" w:fill="FFFFFF"/>
                <w:lang w:val="en-US" w:eastAsia="zh-CN"/>
              </w:rPr>
              <w:t>废劳保用品</w:t>
            </w:r>
            <w:r>
              <w:rPr>
                <w:color w:val="auto"/>
                <w:sz w:val="24"/>
                <w:szCs w:val="24"/>
                <w:shd w:val="clear" w:color="auto" w:fill="FFFFFF"/>
              </w:rPr>
              <w:t>等</w:t>
            </w:r>
            <w:r>
              <w:rPr>
                <w:rFonts w:hint="eastAsia"/>
                <w:color w:val="auto"/>
                <w:sz w:val="24"/>
                <w:szCs w:val="24"/>
                <w:shd w:val="clear" w:color="auto" w:fill="FFFFFF"/>
                <w:lang w:val="en-US" w:eastAsia="zh-CN"/>
              </w:rPr>
              <w:t>危险废物均密封</w:t>
            </w:r>
            <w:r>
              <w:rPr>
                <w:color w:val="auto"/>
                <w:sz w:val="24"/>
                <w:szCs w:val="24"/>
                <w:shd w:val="clear" w:color="auto" w:fill="FFFFFF"/>
              </w:rPr>
              <w:t>包装贮存</w:t>
            </w:r>
            <w:r>
              <w:rPr>
                <w:rFonts w:hint="eastAsia"/>
                <w:color w:val="auto"/>
                <w:sz w:val="24"/>
                <w:szCs w:val="24"/>
                <w:shd w:val="clear" w:color="auto" w:fill="FFFFFF"/>
                <w:lang w:val="en-US" w:eastAsia="zh-CN"/>
              </w:rPr>
              <w:t>在危废贮存点</w:t>
            </w:r>
            <w:r>
              <w:rPr>
                <w:color w:val="auto"/>
                <w:sz w:val="24"/>
                <w:szCs w:val="24"/>
                <w:shd w:val="clear" w:color="auto" w:fill="FFFFFF"/>
              </w:rPr>
              <w:t>，有效减少挥发性物质对环境空气的影响。</w:t>
            </w:r>
          </w:p>
          <w:p>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Times New Roman" w:hAnsi="Times New Roman"/>
                <w:color w:val="auto"/>
                <w:sz w:val="24"/>
                <w:highlight w:val="none"/>
              </w:rPr>
            </w:pPr>
            <w:r>
              <w:rPr>
                <w:rFonts w:ascii="Times New Roman" w:hAnsi="Times New Roman"/>
                <w:color w:val="auto"/>
                <w:sz w:val="24"/>
                <w:highlight w:val="none"/>
              </w:rPr>
              <w:t>②对地表水的影响：</w:t>
            </w:r>
          </w:p>
          <w:p>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Times New Roman" w:hAnsi="Times New Roman"/>
                <w:color w:val="auto"/>
                <w:sz w:val="24"/>
                <w:highlight w:val="none"/>
              </w:rPr>
            </w:pPr>
            <w:r>
              <w:rPr>
                <w:rFonts w:hint="eastAsia"/>
                <w:color w:val="auto"/>
                <w:sz w:val="24"/>
                <w:highlight w:val="none"/>
                <w:lang w:eastAsia="zh-CN"/>
              </w:rPr>
              <w:t>危废贮存点</w:t>
            </w:r>
            <w:r>
              <w:rPr>
                <w:rFonts w:ascii="Times New Roman" w:hAnsi="Times New Roman"/>
                <w:color w:val="auto"/>
                <w:sz w:val="24"/>
                <w:highlight w:val="none"/>
              </w:rPr>
              <w:t>所具有防雨、防漏、防渗措施，当事故发生时，不会产生废液进入厂区雨水系统，对周边地表水产生不良影响。</w:t>
            </w:r>
          </w:p>
          <w:p>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Times New Roman" w:hAnsi="Times New Roman"/>
                <w:color w:val="auto"/>
                <w:sz w:val="24"/>
                <w:highlight w:val="none"/>
              </w:rPr>
            </w:pPr>
            <w:r>
              <w:rPr>
                <w:rFonts w:ascii="Times New Roman" w:hAnsi="Times New Roman"/>
                <w:color w:val="auto"/>
                <w:sz w:val="24"/>
                <w:highlight w:val="none"/>
              </w:rPr>
              <w:t>③对地下水的影响：</w:t>
            </w:r>
          </w:p>
          <w:p>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olor w:val="auto"/>
                <w:sz w:val="24"/>
                <w:highlight w:val="none"/>
                <w:lang w:val="en-US" w:eastAsia="zh-CN"/>
              </w:rPr>
            </w:pPr>
            <w:r>
              <w:rPr>
                <w:rFonts w:ascii="Times New Roman" w:hAnsi="Times New Roman"/>
                <w:color w:val="auto"/>
                <w:sz w:val="24"/>
                <w:highlight w:val="none"/>
              </w:rPr>
              <w:t>危险废物暂存场所应按照</w:t>
            </w:r>
            <w:r>
              <w:rPr>
                <w:rFonts w:hint="eastAsia" w:ascii="Times New Roman" w:hAnsi="Times New Roman"/>
                <w:color w:val="auto"/>
                <w:sz w:val="24"/>
                <w:highlight w:val="none"/>
              </w:rPr>
              <w:t>《危险废物贮存污染控制标准》（GB18597-20</w:t>
            </w:r>
            <w:r>
              <w:rPr>
                <w:rFonts w:hint="eastAsia" w:ascii="Times New Roman" w:hAnsi="Times New Roman"/>
                <w:color w:val="auto"/>
                <w:sz w:val="24"/>
                <w:highlight w:val="none"/>
                <w:lang w:val="en-US" w:eastAsia="zh-CN"/>
              </w:rPr>
              <w:t>23</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的相关要求建设</w:t>
            </w:r>
            <w:r>
              <w:rPr>
                <w:rFonts w:ascii="Times New Roman" w:hAnsi="Times New Roman"/>
                <w:color w:val="auto"/>
                <w:sz w:val="24"/>
                <w:highlight w:val="none"/>
              </w:rPr>
              <w:t>，进行防腐、防渗，设集液托盘</w:t>
            </w:r>
            <w:r>
              <w:rPr>
                <w:rFonts w:hint="eastAsia"/>
                <w:color w:val="auto"/>
                <w:sz w:val="24"/>
                <w:highlight w:val="none"/>
                <w:lang w:eastAsia="zh-CN"/>
              </w:rPr>
              <w:t>，</w:t>
            </w:r>
            <w:r>
              <w:rPr>
                <w:rFonts w:hint="eastAsia"/>
                <w:color w:val="auto"/>
                <w:sz w:val="24"/>
                <w:highlight w:val="none"/>
                <w:lang w:val="en-US" w:eastAsia="zh-CN"/>
              </w:rPr>
              <w:t>正常情况下不会泄露至室外污染土壤和地下水，不会对区域地下水环境产生影响。</w:t>
            </w:r>
          </w:p>
          <w:p>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Times New Roman" w:hAnsi="Times New Roman"/>
                <w:color w:val="auto"/>
                <w:sz w:val="24"/>
                <w:highlight w:val="none"/>
              </w:rPr>
            </w:pPr>
            <w:r>
              <w:rPr>
                <w:rFonts w:ascii="Times New Roman" w:hAnsi="Times New Roman"/>
                <w:color w:val="auto"/>
                <w:sz w:val="24"/>
                <w:highlight w:val="none"/>
              </w:rPr>
              <w:t>④对环境敏感保护目标的影响：</w:t>
            </w:r>
          </w:p>
          <w:p>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Times New Roman" w:hAnsi="Times New Roman"/>
                <w:color w:val="auto"/>
                <w:sz w:val="24"/>
                <w:highlight w:val="none"/>
              </w:rPr>
            </w:pPr>
            <w:r>
              <w:rPr>
                <w:rFonts w:hint="eastAsia" w:ascii="Times New Roman" w:hAnsi="Times New Roman"/>
                <w:color w:val="auto"/>
                <w:sz w:val="24"/>
                <w:highlight w:val="none"/>
              </w:rPr>
              <w:t>本项目</w:t>
            </w:r>
            <w:r>
              <w:rPr>
                <w:rFonts w:ascii="Times New Roman" w:hAnsi="Times New Roman"/>
                <w:color w:val="auto"/>
                <w:sz w:val="24"/>
                <w:highlight w:val="none"/>
              </w:rPr>
              <w:t>暂存的危险废物都按要求妥善保管，暂存场地地面按控制标准的要求做了防渗漏处理，一旦发生泄漏事故及时采取控制措施，环境风险水平在可控制范围内。</w:t>
            </w:r>
          </w:p>
          <w:p>
            <w:pPr>
              <w:pStyle w:val="4"/>
              <w:pageBreakBefore w:val="0"/>
              <w:widowControl w:val="0"/>
              <w:kinsoku/>
              <w:wordWrap/>
              <w:overflowPunct/>
              <w:topLinePunct w:val="0"/>
              <w:autoSpaceDE/>
              <w:autoSpaceDN/>
              <w:bidi w:val="0"/>
              <w:spacing w:before="0" w:after="0" w:line="500" w:lineRule="exact"/>
              <w:ind w:firstLine="480" w:firstLineChars="200"/>
              <w:textAlignment w:val="auto"/>
              <w:rPr>
                <w:rFonts w:hint="default"/>
                <w:b w:val="0"/>
                <w:bCs w:val="0"/>
                <w:lang w:val="en-US" w:eastAsia="zh-CN"/>
              </w:rPr>
            </w:pPr>
            <w:r>
              <w:rPr>
                <w:rFonts w:ascii="Times New Roman" w:hAnsi="Times New Roman"/>
                <w:b w:val="0"/>
                <w:bCs w:val="0"/>
                <w:color w:val="auto"/>
                <w:sz w:val="24"/>
                <w:highlight w:val="none"/>
              </w:rPr>
              <w:t>综上，建设项目危废发生少量泄漏事件，可及时收集，并能及时处置，影响能够控制厂区内，环境风险可接受。</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eastAsia" w:cs="Times New Roman"/>
                <w:b/>
                <w:bCs/>
                <w:sz w:val="24"/>
                <w:szCs w:val="24"/>
                <w:lang w:val="en-US" w:eastAsia="zh-CN"/>
              </w:rPr>
            </w:pPr>
            <w:r>
              <w:rPr>
                <w:rFonts w:hint="eastAsia" w:cs="Times New Roman"/>
                <w:b/>
                <w:bCs/>
                <w:sz w:val="24"/>
                <w:szCs w:val="24"/>
                <w:lang w:val="en-US" w:eastAsia="zh-CN"/>
              </w:rPr>
              <w:t>（4）环境风险防范应急措施</w:t>
            </w:r>
          </w:p>
          <w:p>
            <w:pPr>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hAnsi="Times New Roman"/>
                <w:color w:val="000000"/>
                <w:sz w:val="24"/>
                <w:szCs w:val="24"/>
              </w:rPr>
            </w:pPr>
            <w:r>
              <w:rPr>
                <w:rFonts w:ascii="Times New Roman" w:hAnsi="Times New Roman"/>
                <w:color w:val="000000"/>
                <w:sz w:val="24"/>
                <w:szCs w:val="24"/>
              </w:rPr>
              <w:t>为减少危险化学品可能造成的环境风险，建设单位拟采取以下风险防范及应急措施：</w:t>
            </w:r>
          </w:p>
          <w:p>
            <w:pPr>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hAnsi="Times New Roman"/>
                <w:color w:val="000000"/>
                <w:sz w:val="24"/>
                <w:szCs w:val="24"/>
              </w:rPr>
            </w:pPr>
            <w:r>
              <w:rPr>
                <w:rFonts w:hint="eastAsia" w:ascii="宋体" w:hAnsi="宋体" w:cs="宋体"/>
                <w:color w:val="000000"/>
                <w:sz w:val="24"/>
                <w:szCs w:val="24"/>
              </w:rPr>
              <w:t>①</w:t>
            </w:r>
            <w:r>
              <w:rPr>
                <w:rFonts w:ascii="Times New Roman" w:hAnsi="Times New Roman"/>
                <w:color w:val="000000"/>
                <w:sz w:val="24"/>
                <w:szCs w:val="24"/>
              </w:rPr>
              <w:t>建立健全各种有关消防与安全生产的规章制度，建立岗位责任制。仓库、生产车间严禁明火。生产车间、公用工程、仓库等场所配置足量的泡沫、干粉等灭火器，并保持完好状态。</w:t>
            </w:r>
          </w:p>
          <w:p>
            <w:pPr>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hAnsi="Times New Roman"/>
                <w:color w:val="000000"/>
                <w:sz w:val="24"/>
                <w:szCs w:val="24"/>
              </w:rPr>
            </w:pPr>
            <w:r>
              <w:rPr>
                <w:rFonts w:hint="eastAsia" w:ascii="宋体" w:hAnsi="宋体" w:cs="宋体"/>
                <w:color w:val="000000"/>
                <w:sz w:val="24"/>
                <w:szCs w:val="24"/>
              </w:rPr>
              <w:t>②</w:t>
            </w:r>
            <w:r>
              <w:rPr>
                <w:rFonts w:ascii="Times New Roman" w:hAnsi="Times New Roman"/>
                <w:color w:val="000000"/>
                <w:sz w:val="24"/>
                <w:szCs w:val="24"/>
              </w:rPr>
              <w:t>厂区留有足够的消防通道。生产车间、仓库设置消防给水管道和消防栓。厂部要组织义务消防员，并进行定期的培训和训练。对有火灾危险的场所设置自动报警系统，一旦发生火灾，立即做出应急反应。</w:t>
            </w:r>
          </w:p>
          <w:p>
            <w:pPr>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hAnsi="Times New Roman"/>
                <w:color w:val="000000"/>
                <w:sz w:val="24"/>
                <w:szCs w:val="24"/>
              </w:rPr>
            </w:pPr>
            <w:r>
              <w:rPr>
                <w:rFonts w:ascii="Times New Roman" w:hAnsi="Times New Roman"/>
                <w:color w:val="000000"/>
                <w:sz w:val="24"/>
                <w:szCs w:val="24"/>
              </w:rPr>
              <w:t>③对于</w:t>
            </w:r>
            <w:r>
              <w:rPr>
                <w:rFonts w:hint="eastAsia"/>
                <w:color w:val="000000"/>
                <w:sz w:val="24"/>
                <w:szCs w:val="24"/>
                <w:lang w:eastAsia="zh-CN"/>
              </w:rPr>
              <w:t>危废贮存点</w:t>
            </w:r>
            <w:r>
              <w:rPr>
                <w:rFonts w:ascii="Times New Roman" w:hAnsi="Times New Roman"/>
                <w:color w:val="000000"/>
                <w:sz w:val="24"/>
                <w:szCs w:val="24"/>
              </w:rPr>
              <w:t>，建设单位拟设置监控系统，主要在</w:t>
            </w:r>
            <w:r>
              <w:rPr>
                <w:rFonts w:hint="eastAsia"/>
                <w:color w:val="000000"/>
                <w:sz w:val="24"/>
                <w:szCs w:val="24"/>
                <w:lang w:val="en-US" w:eastAsia="zh-CN"/>
              </w:rPr>
              <w:t>贮存点</w:t>
            </w:r>
            <w:r>
              <w:rPr>
                <w:rFonts w:ascii="Times New Roman" w:hAnsi="Times New Roman"/>
                <w:color w:val="000000"/>
                <w:sz w:val="24"/>
                <w:szCs w:val="24"/>
              </w:rPr>
              <w:t>出入口、</w:t>
            </w:r>
            <w:r>
              <w:rPr>
                <w:rFonts w:hint="eastAsia"/>
                <w:color w:val="000000"/>
                <w:sz w:val="24"/>
                <w:szCs w:val="24"/>
                <w:lang w:val="en-US" w:eastAsia="zh-CN"/>
              </w:rPr>
              <w:t>贮存点</w:t>
            </w:r>
            <w:r>
              <w:rPr>
                <w:rFonts w:ascii="Times New Roman" w:hAnsi="Times New Roman"/>
                <w:color w:val="000000"/>
                <w:sz w:val="24"/>
                <w:szCs w:val="24"/>
              </w:rPr>
              <w:t>内、厂门口等关键位置安装视频监控设施，进行实时监控，并与中控室联网。</w:t>
            </w:r>
            <w:r>
              <w:rPr>
                <w:rFonts w:hint="eastAsia"/>
                <w:color w:val="000000"/>
                <w:sz w:val="24"/>
                <w:szCs w:val="24"/>
                <w:lang w:eastAsia="zh-CN"/>
              </w:rPr>
              <w:t>危废收集点</w:t>
            </w:r>
            <w:r>
              <w:rPr>
                <w:rFonts w:ascii="Times New Roman" w:hAnsi="Times New Roman"/>
                <w:color w:val="000000"/>
                <w:sz w:val="24"/>
                <w:szCs w:val="24"/>
              </w:rPr>
              <w:t>设置警示标志牌。</w:t>
            </w:r>
          </w:p>
          <w:p>
            <w:pPr>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hAnsi="Times New Roman"/>
                <w:color w:val="000000"/>
                <w:sz w:val="24"/>
                <w:szCs w:val="24"/>
              </w:rPr>
            </w:pPr>
            <w:r>
              <w:rPr>
                <w:rFonts w:ascii="Times New Roman" w:hAnsi="Times New Roman"/>
                <w:color w:val="000000"/>
                <w:sz w:val="24"/>
                <w:szCs w:val="24"/>
              </w:rPr>
              <w:t>贮存过程拟在危废</w:t>
            </w:r>
            <w:r>
              <w:rPr>
                <w:rFonts w:hint="eastAsia"/>
                <w:color w:val="000000"/>
                <w:sz w:val="24"/>
                <w:szCs w:val="24"/>
                <w:lang w:val="en-US" w:eastAsia="zh-CN"/>
              </w:rPr>
              <w:t>收集点</w:t>
            </w:r>
            <w:r>
              <w:rPr>
                <w:rFonts w:ascii="Times New Roman" w:hAnsi="Times New Roman"/>
                <w:color w:val="000000"/>
                <w:sz w:val="24"/>
                <w:szCs w:val="24"/>
              </w:rPr>
              <w:t>设置地沟等，发生少量泄漏立即将容器内剩余溶液转移，并收集托盘、地沟内泄漏液体，防止泄漏物料挥发到大气中。</w:t>
            </w:r>
          </w:p>
          <w:p>
            <w:pPr>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sz w:val="24"/>
                <w:szCs w:val="24"/>
              </w:rPr>
            </w:pPr>
            <w:r>
              <w:rPr>
                <w:rFonts w:hint="eastAsia" w:ascii="宋体" w:hAnsi="宋体" w:cs="宋体"/>
                <w:color w:val="000000"/>
                <w:sz w:val="24"/>
                <w:szCs w:val="24"/>
              </w:rPr>
              <w:t>④</w:t>
            </w:r>
            <w:r>
              <w:rPr>
                <w:rFonts w:ascii="Times New Roman" w:hAnsi="Times New Roman"/>
                <w:color w:val="000000"/>
                <w:sz w:val="24"/>
                <w:szCs w:val="24"/>
              </w:rPr>
              <w:t>厂区内的雨水管道、事故沟收集系统要严格分开，设置切换阀。</w:t>
            </w:r>
          </w:p>
          <w:p>
            <w:pPr>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hint="eastAsia" w:ascii="Times New Roman" w:hAnsi="Times New Roman" w:cs="Times New Roman"/>
                <w:color w:val="000000"/>
                <w:lang w:val="en-US" w:eastAsia="zh-CN"/>
              </w:rPr>
            </w:pPr>
            <w:r>
              <w:rPr>
                <w:rFonts w:hint="eastAsia" w:ascii="宋体" w:hAnsi="宋体" w:eastAsia="宋体" w:cs="宋体"/>
                <w:sz w:val="24"/>
                <w:szCs w:val="24"/>
              </w:rPr>
              <w:t>⑤</w:t>
            </w:r>
            <w:r>
              <w:rPr>
                <w:rFonts w:hint="eastAsia" w:ascii="Times New Roman" w:hAnsi="Times New Roman" w:cs="Times New Roman"/>
                <w:color w:val="000000"/>
                <w:sz w:val="24"/>
                <w:szCs w:val="24"/>
                <w:lang w:val="en-US" w:eastAsia="zh-CN"/>
              </w:rPr>
              <w:t>平时加强废气处理设施的维护保养，及时发现处理设备的隐患，并及时进行维修，确保废气处理系统正常运行；建立健全的环保机构，配置必要的监测仪器，对管理人员和技术人员进行岗位培训，对废气处理实行全过程跟踪控制</w:t>
            </w:r>
            <w:r>
              <w:rPr>
                <w:rFonts w:hint="eastAsia" w:ascii="Times New Roman" w:hAnsi="Times New Roman" w:cs="Times New Roman"/>
                <w:color w:val="000000"/>
                <w:lang w:val="en-US" w:eastAsia="zh-CN"/>
              </w:rPr>
              <w:t>。</w:t>
            </w:r>
          </w:p>
          <w:p>
            <w:pPr>
              <w:keepNext w:val="0"/>
              <w:keepLines w:val="0"/>
              <w:pageBreakBefore w:val="0"/>
              <w:widowControl w:val="0"/>
              <w:tabs>
                <w:tab w:val="left" w:pos="600"/>
              </w:tabs>
              <w:kinsoku/>
              <w:wordWrap/>
              <w:overflowPunct/>
              <w:topLinePunct w:val="0"/>
              <w:autoSpaceDE/>
              <w:autoSpaceDN/>
              <w:bidi w:val="0"/>
              <w:adjustRightInd w:val="0"/>
              <w:snapToGrid w:val="0"/>
              <w:spacing w:line="500" w:lineRule="exact"/>
              <w:ind w:firstLine="480" w:firstLineChars="200"/>
              <w:jc w:val="both"/>
              <w:textAlignment w:val="auto"/>
              <w:rPr>
                <w:color w:val="auto"/>
                <w:sz w:val="24"/>
              </w:rPr>
            </w:pPr>
            <w:r>
              <w:rPr>
                <w:color w:val="auto"/>
                <w:sz w:val="24"/>
                <w:szCs w:val="24"/>
                <w:highlight w:val="none"/>
              </w:rPr>
              <w:fldChar w:fldCharType="begin"/>
            </w:r>
            <w:r>
              <w:rPr>
                <w:color w:val="auto"/>
                <w:sz w:val="24"/>
                <w:szCs w:val="24"/>
                <w:highlight w:val="none"/>
              </w:rPr>
              <w:instrText xml:space="preserve"> = 6 \* GB3 \* MERGEFORMAT </w:instrText>
            </w:r>
            <w:r>
              <w:rPr>
                <w:color w:val="auto"/>
                <w:sz w:val="24"/>
                <w:szCs w:val="24"/>
                <w:highlight w:val="none"/>
              </w:rPr>
              <w:fldChar w:fldCharType="separate"/>
            </w:r>
            <w:r>
              <w:rPr>
                <w:sz w:val="24"/>
                <w:szCs w:val="24"/>
              </w:rPr>
              <w:t>⑥</w:t>
            </w:r>
            <w:r>
              <w:rPr>
                <w:color w:val="auto"/>
                <w:sz w:val="24"/>
                <w:szCs w:val="24"/>
                <w:highlight w:val="none"/>
              </w:rPr>
              <w:fldChar w:fldCharType="end"/>
            </w:r>
            <w:r>
              <w:rPr>
                <w:color w:val="auto"/>
                <w:sz w:val="24"/>
                <w:highlight w:val="none"/>
              </w:rPr>
              <w:t>若厂区发生火灾，产生的消防废水也有可能对地下水和土壤环境造成影响。</w:t>
            </w:r>
            <w:r>
              <w:rPr>
                <w:color w:val="auto"/>
                <w:sz w:val="24"/>
              </w:rPr>
              <w:t>本项目事故废水主要为火灾时的消防废水，发生火灾时启动应急措施，不会影响到厂区其他企业。</w:t>
            </w:r>
          </w:p>
          <w:p>
            <w:pPr>
              <w:keepNext w:val="0"/>
              <w:keepLines w:val="0"/>
              <w:pageBreakBefore w:val="0"/>
              <w:widowControl w:val="0"/>
              <w:tabs>
                <w:tab w:val="left" w:pos="600"/>
              </w:tabs>
              <w:kinsoku/>
              <w:wordWrap/>
              <w:overflowPunct/>
              <w:topLinePunct w:val="0"/>
              <w:autoSpaceDE/>
              <w:autoSpaceDN/>
              <w:bidi w:val="0"/>
              <w:adjustRightInd w:val="0"/>
              <w:snapToGrid w:val="0"/>
              <w:spacing w:line="500" w:lineRule="exact"/>
              <w:ind w:firstLine="480" w:firstLineChars="200"/>
              <w:jc w:val="both"/>
              <w:textAlignment w:val="auto"/>
              <w:rPr>
                <w:color w:val="auto"/>
                <w:sz w:val="24"/>
                <w:highlight w:val="none"/>
              </w:rPr>
            </w:pPr>
            <w:r>
              <w:rPr>
                <w:color w:val="auto"/>
                <w:sz w:val="24"/>
                <w:highlight w:val="none"/>
              </w:rPr>
              <w:t>根据《事故状态下水体污染的预防与控制技术要求》（</w:t>
            </w:r>
            <w:r>
              <w:rPr>
                <w:rFonts w:hint="eastAsia"/>
                <w:color w:val="auto"/>
                <w:sz w:val="24"/>
                <w:highlight w:val="none"/>
              </w:rPr>
              <w:t>Q/SY08190-2019</w:t>
            </w:r>
            <w:r>
              <w:rPr>
                <w:color w:val="auto"/>
                <w:sz w:val="24"/>
                <w:highlight w:val="none"/>
              </w:rPr>
              <w:t>），计算本项目所需事故应急池容积。事故储存设施总有效容积：</w:t>
            </w:r>
          </w:p>
          <w:p>
            <w:pPr>
              <w:keepNext w:val="0"/>
              <w:keepLines w:val="0"/>
              <w:pageBreakBefore w:val="0"/>
              <w:widowControl w:val="0"/>
              <w:tabs>
                <w:tab w:val="left" w:pos="600"/>
              </w:tabs>
              <w:kinsoku/>
              <w:wordWrap/>
              <w:overflowPunct/>
              <w:topLinePunct w:val="0"/>
              <w:autoSpaceDE/>
              <w:autoSpaceDN/>
              <w:bidi w:val="0"/>
              <w:adjustRightInd w:val="0"/>
              <w:snapToGrid w:val="0"/>
              <w:spacing w:line="500" w:lineRule="exact"/>
              <w:ind w:firstLine="480" w:firstLineChars="200"/>
              <w:jc w:val="both"/>
              <w:textAlignment w:val="auto"/>
              <w:rPr>
                <w:color w:val="auto"/>
                <w:sz w:val="24"/>
                <w:highlight w:val="none"/>
              </w:rPr>
            </w:pPr>
            <w:r>
              <w:rPr>
                <w:color w:val="auto"/>
                <w:sz w:val="24"/>
                <w:highlight w:val="none"/>
              </w:rPr>
              <w:t>V</w:t>
            </w:r>
            <w:r>
              <w:rPr>
                <w:color w:val="auto"/>
                <w:sz w:val="24"/>
                <w:highlight w:val="none"/>
                <w:vertAlign w:val="subscript"/>
              </w:rPr>
              <w:t>总</w:t>
            </w:r>
            <w:r>
              <w:rPr>
                <w:color w:val="auto"/>
                <w:sz w:val="24"/>
                <w:highlight w:val="none"/>
              </w:rPr>
              <w:t>=（V</w:t>
            </w:r>
            <w:r>
              <w:rPr>
                <w:color w:val="auto"/>
                <w:sz w:val="24"/>
                <w:highlight w:val="none"/>
                <w:vertAlign w:val="subscript"/>
              </w:rPr>
              <w:t>1</w:t>
            </w:r>
            <w:r>
              <w:rPr>
                <w:color w:val="auto"/>
                <w:sz w:val="24"/>
                <w:highlight w:val="none"/>
              </w:rPr>
              <w:t>+V</w:t>
            </w:r>
            <w:r>
              <w:rPr>
                <w:color w:val="auto"/>
                <w:sz w:val="24"/>
                <w:highlight w:val="none"/>
                <w:vertAlign w:val="subscript"/>
              </w:rPr>
              <w:t>2</w:t>
            </w:r>
            <w:r>
              <w:rPr>
                <w:color w:val="auto"/>
                <w:sz w:val="24"/>
                <w:highlight w:val="none"/>
              </w:rPr>
              <w:t>-V</w:t>
            </w:r>
            <w:r>
              <w:rPr>
                <w:color w:val="auto"/>
                <w:sz w:val="24"/>
                <w:highlight w:val="none"/>
                <w:vertAlign w:val="subscript"/>
              </w:rPr>
              <w:t>3</w:t>
            </w:r>
            <w:r>
              <w:rPr>
                <w:color w:val="auto"/>
                <w:sz w:val="24"/>
                <w:highlight w:val="none"/>
              </w:rPr>
              <w:t>）max+V</w:t>
            </w:r>
            <w:r>
              <w:rPr>
                <w:color w:val="auto"/>
                <w:sz w:val="24"/>
                <w:highlight w:val="none"/>
                <w:vertAlign w:val="subscript"/>
              </w:rPr>
              <w:t>4</w:t>
            </w:r>
            <w:r>
              <w:rPr>
                <w:color w:val="auto"/>
                <w:sz w:val="24"/>
                <w:highlight w:val="none"/>
              </w:rPr>
              <w:t>+V</w:t>
            </w:r>
            <w:r>
              <w:rPr>
                <w:color w:val="auto"/>
                <w:sz w:val="24"/>
                <w:highlight w:val="none"/>
                <w:vertAlign w:val="subscript"/>
              </w:rPr>
              <w:t>5</w:t>
            </w:r>
          </w:p>
          <w:p>
            <w:pPr>
              <w:keepNext w:val="0"/>
              <w:keepLines w:val="0"/>
              <w:pageBreakBefore w:val="0"/>
              <w:widowControl w:val="0"/>
              <w:tabs>
                <w:tab w:val="left" w:pos="600"/>
              </w:tabs>
              <w:kinsoku/>
              <w:wordWrap/>
              <w:overflowPunct/>
              <w:topLinePunct w:val="0"/>
              <w:autoSpaceDE/>
              <w:autoSpaceDN/>
              <w:bidi w:val="0"/>
              <w:adjustRightInd w:val="0"/>
              <w:snapToGrid w:val="0"/>
              <w:spacing w:line="500" w:lineRule="exact"/>
              <w:ind w:firstLine="480" w:firstLineChars="200"/>
              <w:jc w:val="both"/>
              <w:textAlignment w:val="auto"/>
              <w:rPr>
                <w:color w:val="auto"/>
                <w:sz w:val="24"/>
                <w:highlight w:val="none"/>
              </w:rPr>
            </w:pPr>
            <w:r>
              <w:rPr>
                <w:color w:val="auto"/>
                <w:sz w:val="24"/>
                <w:highlight w:val="none"/>
              </w:rPr>
              <w:t>式中：V</w:t>
            </w:r>
            <w:r>
              <w:rPr>
                <w:color w:val="auto"/>
                <w:sz w:val="24"/>
                <w:highlight w:val="none"/>
                <w:vertAlign w:val="subscript"/>
              </w:rPr>
              <w:t>1</w:t>
            </w:r>
            <w:r>
              <w:rPr>
                <w:color w:val="auto"/>
                <w:sz w:val="24"/>
                <w:highlight w:val="none"/>
              </w:rPr>
              <w:t>：收集系统范围内发生事故时的泄漏物料量（事故1个罐或1个装置物料），m</w:t>
            </w:r>
            <w:r>
              <w:rPr>
                <w:color w:val="auto"/>
                <w:sz w:val="24"/>
                <w:highlight w:val="none"/>
                <w:vertAlign w:val="superscript"/>
              </w:rPr>
              <w:t>3</w:t>
            </w:r>
            <w:r>
              <w:rPr>
                <w:color w:val="auto"/>
                <w:sz w:val="24"/>
                <w:highlight w:val="none"/>
              </w:rPr>
              <w:t>，</w:t>
            </w:r>
            <w:r>
              <w:rPr>
                <w:rFonts w:hint="eastAsia"/>
                <w:color w:val="auto"/>
                <w:sz w:val="24"/>
                <w:highlight w:val="none"/>
                <w:lang w:val="en-US" w:eastAsia="zh-CN"/>
              </w:rPr>
              <w:t>本项目润滑油泄漏量为0.002</w:t>
            </w:r>
            <w:r>
              <w:rPr>
                <w:color w:val="auto"/>
                <w:sz w:val="24"/>
                <w:highlight w:val="none"/>
              </w:rPr>
              <w:t>m</w:t>
            </w:r>
            <w:r>
              <w:rPr>
                <w:color w:val="auto"/>
                <w:sz w:val="24"/>
                <w:highlight w:val="none"/>
                <w:vertAlign w:val="superscript"/>
              </w:rPr>
              <w:t>3</w:t>
            </w:r>
            <w:r>
              <w:rPr>
                <w:rFonts w:hint="eastAsia"/>
                <w:color w:val="auto"/>
                <w:sz w:val="24"/>
                <w:highlight w:val="none"/>
                <w:vertAlign w:val="baseline"/>
                <w:lang w:eastAsia="zh-CN"/>
              </w:rPr>
              <w:t>，</w:t>
            </w:r>
            <w:r>
              <w:rPr>
                <w:rFonts w:hint="eastAsia"/>
                <w:color w:val="auto"/>
                <w:sz w:val="24"/>
                <w:highlight w:val="none"/>
                <w:vertAlign w:val="baseline"/>
                <w:lang w:val="en-US" w:eastAsia="zh-CN"/>
              </w:rPr>
              <w:t>则</w:t>
            </w:r>
            <w:r>
              <w:rPr>
                <w:color w:val="auto"/>
                <w:sz w:val="24"/>
                <w:highlight w:val="none"/>
              </w:rPr>
              <w:t>V</w:t>
            </w:r>
            <w:r>
              <w:rPr>
                <w:color w:val="auto"/>
                <w:sz w:val="24"/>
                <w:highlight w:val="none"/>
                <w:vertAlign w:val="subscript"/>
              </w:rPr>
              <w:t>1</w:t>
            </w:r>
            <w:r>
              <w:rPr>
                <w:color w:val="auto"/>
                <w:sz w:val="24"/>
                <w:highlight w:val="none"/>
              </w:rPr>
              <w:t>=</w:t>
            </w:r>
            <w:r>
              <w:rPr>
                <w:rFonts w:hint="eastAsia"/>
                <w:color w:val="auto"/>
                <w:sz w:val="24"/>
                <w:highlight w:val="none"/>
                <w:lang w:val="en-US" w:eastAsia="zh-CN"/>
              </w:rPr>
              <w:t>0.002</w:t>
            </w:r>
            <w:r>
              <w:rPr>
                <w:color w:val="auto"/>
                <w:sz w:val="24"/>
                <w:highlight w:val="none"/>
              </w:rPr>
              <w:t>m</w:t>
            </w:r>
            <w:r>
              <w:rPr>
                <w:color w:val="auto"/>
                <w:sz w:val="24"/>
                <w:highlight w:val="none"/>
                <w:vertAlign w:val="superscript"/>
              </w:rPr>
              <w:t>3</w:t>
            </w:r>
            <w:r>
              <w:rPr>
                <w:color w:val="auto"/>
                <w:sz w:val="24"/>
                <w:highlight w:val="none"/>
              </w:rPr>
              <w:t>；</w:t>
            </w:r>
          </w:p>
          <w:p>
            <w:pPr>
              <w:keepNext w:val="0"/>
              <w:keepLines w:val="0"/>
              <w:pageBreakBefore w:val="0"/>
              <w:widowControl w:val="0"/>
              <w:tabs>
                <w:tab w:val="left" w:pos="600"/>
              </w:tabs>
              <w:kinsoku/>
              <w:wordWrap/>
              <w:overflowPunct/>
              <w:topLinePunct w:val="0"/>
              <w:autoSpaceDE/>
              <w:autoSpaceDN/>
              <w:bidi w:val="0"/>
              <w:adjustRightInd w:val="0"/>
              <w:snapToGrid w:val="0"/>
              <w:spacing w:line="500" w:lineRule="exact"/>
              <w:ind w:firstLine="480" w:firstLineChars="200"/>
              <w:jc w:val="both"/>
              <w:textAlignment w:val="auto"/>
              <w:rPr>
                <w:color w:val="auto"/>
                <w:sz w:val="24"/>
                <w:highlight w:val="none"/>
              </w:rPr>
            </w:pPr>
            <w:r>
              <w:rPr>
                <w:color w:val="auto"/>
                <w:sz w:val="24"/>
                <w:highlight w:val="none"/>
              </w:rPr>
              <w:t>V</w:t>
            </w:r>
            <w:r>
              <w:rPr>
                <w:color w:val="auto"/>
                <w:sz w:val="24"/>
                <w:highlight w:val="none"/>
                <w:vertAlign w:val="subscript"/>
              </w:rPr>
              <w:t>2</w:t>
            </w:r>
            <w:r>
              <w:rPr>
                <w:color w:val="auto"/>
                <w:sz w:val="24"/>
                <w:highlight w:val="none"/>
              </w:rPr>
              <w:t>：发生事故时的消防水量；V</w:t>
            </w:r>
            <w:r>
              <w:rPr>
                <w:color w:val="auto"/>
                <w:sz w:val="24"/>
                <w:highlight w:val="none"/>
                <w:vertAlign w:val="subscript"/>
              </w:rPr>
              <w:t>2</w:t>
            </w:r>
            <w:r>
              <w:rPr>
                <w:color w:val="auto"/>
                <w:sz w:val="24"/>
                <w:highlight w:val="none"/>
              </w:rPr>
              <w:t>=∑Q</w:t>
            </w:r>
            <w:r>
              <w:rPr>
                <w:color w:val="auto"/>
                <w:sz w:val="24"/>
                <w:highlight w:val="none"/>
                <w:vertAlign w:val="subscript"/>
              </w:rPr>
              <w:t>消</w:t>
            </w:r>
            <w:r>
              <w:rPr>
                <w:color w:val="auto"/>
                <w:sz w:val="24"/>
                <w:highlight w:val="none"/>
              </w:rPr>
              <w:t>×t</w:t>
            </w:r>
            <w:r>
              <w:rPr>
                <w:color w:val="auto"/>
                <w:sz w:val="24"/>
                <w:highlight w:val="none"/>
                <w:vertAlign w:val="subscript"/>
              </w:rPr>
              <w:t>消</w:t>
            </w:r>
          </w:p>
          <w:p>
            <w:pPr>
              <w:keepNext w:val="0"/>
              <w:keepLines w:val="0"/>
              <w:pageBreakBefore w:val="0"/>
              <w:widowControl w:val="0"/>
              <w:tabs>
                <w:tab w:val="left" w:pos="600"/>
              </w:tabs>
              <w:kinsoku/>
              <w:wordWrap/>
              <w:overflowPunct/>
              <w:topLinePunct w:val="0"/>
              <w:autoSpaceDE/>
              <w:autoSpaceDN/>
              <w:bidi w:val="0"/>
              <w:adjustRightInd w:val="0"/>
              <w:snapToGrid w:val="0"/>
              <w:spacing w:line="500" w:lineRule="exact"/>
              <w:ind w:firstLine="480" w:firstLineChars="200"/>
              <w:jc w:val="both"/>
              <w:textAlignment w:val="auto"/>
              <w:rPr>
                <w:color w:val="auto"/>
                <w:sz w:val="24"/>
                <w:highlight w:val="none"/>
              </w:rPr>
            </w:pPr>
            <w:r>
              <w:rPr>
                <w:color w:val="auto"/>
                <w:sz w:val="24"/>
                <w:highlight w:val="none"/>
              </w:rPr>
              <w:t>Q</w:t>
            </w:r>
            <w:r>
              <w:rPr>
                <w:color w:val="auto"/>
                <w:sz w:val="24"/>
                <w:highlight w:val="none"/>
                <w:vertAlign w:val="subscript"/>
              </w:rPr>
              <w:t>消</w:t>
            </w:r>
            <w:r>
              <w:rPr>
                <w:color w:val="auto"/>
                <w:sz w:val="24"/>
                <w:highlight w:val="none"/>
              </w:rPr>
              <w:t>：发生事故的储气瓶或工艺装置同时使用的消防设施给水流量，包括室内外消火栓、消防炮、喷淋系统、泡沫系统等等，各种设施的配置和流量根据保护对象的火灾危险程度，按相关消防规范确定。</w:t>
            </w:r>
          </w:p>
          <w:p>
            <w:pPr>
              <w:keepNext w:val="0"/>
              <w:keepLines w:val="0"/>
              <w:pageBreakBefore w:val="0"/>
              <w:widowControl w:val="0"/>
              <w:tabs>
                <w:tab w:val="left" w:pos="600"/>
              </w:tabs>
              <w:kinsoku/>
              <w:wordWrap/>
              <w:overflowPunct/>
              <w:topLinePunct w:val="0"/>
              <w:autoSpaceDE/>
              <w:autoSpaceDN/>
              <w:bidi w:val="0"/>
              <w:adjustRightInd w:val="0"/>
              <w:snapToGrid w:val="0"/>
              <w:spacing w:line="500" w:lineRule="exact"/>
              <w:ind w:firstLine="480" w:firstLineChars="200"/>
              <w:jc w:val="both"/>
              <w:textAlignment w:val="auto"/>
              <w:rPr>
                <w:color w:val="auto"/>
                <w:sz w:val="24"/>
                <w:highlight w:val="none"/>
              </w:rPr>
            </w:pPr>
            <w:r>
              <w:rPr>
                <w:color w:val="auto"/>
                <w:sz w:val="24"/>
                <w:highlight w:val="none"/>
              </w:rPr>
              <w:t>t</w:t>
            </w:r>
            <w:r>
              <w:rPr>
                <w:color w:val="auto"/>
                <w:sz w:val="24"/>
                <w:highlight w:val="none"/>
                <w:vertAlign w:val="subscript"/>
              </w:rPr>
              <w:t>消</w:t>
            </w:r>
            <w:r>
              <w:rPr>
                <w:color w:val="auto"/>
                <w:sz w:val="24"/>
                <w:highlight w:val="none"/>
              </w:rPr>
              <w:t>：各种消防设施对应的设计消防历时。对于不同的消防设施，对于同一次火灾和同一个保护对象，历时不尽相同，可根据消防规范确定。</w:t>
            </w:r>
          </w:p>
          <w:p>
            <w:pPr>
              <w:keepNext w:val="0"/>
              <w:keepLines w:val="0"/>
              <w:pageBreakBefore w:val="0"/>
              <w:widowControl w:val="0"/>
              <w:tabs>
                <w:tab w:val="left" w:pos="600"/>
              </w:tabs>
              <w:kinsoku/>
              <w:wordWrap/>
              <w:overflowPunct/>
              <w:topLinePunct w:val="0"/>
              <w:autoSpaceDE/>
              <w:autoSpaceDN/>
              <w:bidi w:val="0"/>
              <w:adjustRightInd w:val="0"/>
              <w:snapToGrid w:val="0"/>
              <w:spacing w:line="500" w:lineRule="exact"/>
              <w:ind w:firstLine="480" w:firstLineChars="200"/>
              <w:jc w:val="both"/>
              <w:textAlignment w:val="auto"/>
              <w:rPr>
                <w:color w:val="auto"/>
                <w:sz w:val="24"/>
                <w:highlight w:val="none"/>
              </w:rPr>
            </w:pPr>
            <w:r>
              <w:rPr>
                <w:color w:val="auto"/>
                <w:sz w:val="24"/>
              </w:rPr>
              <w:t>V</w:t>
            </w:r>
            <w:r>
              <w:rPr>
                <w:color w:val="auto"/>
                <w:sz w:val="24"/>
                <w:vertAlign w:val="subscript"/>
              </w:rPr>
              <w:t>2</w:t>
            </w:r>
            <w:r>
              <w:rPr>
                <w:color w:val="auto"/>
                <w:sz w:val="24"/>
              </w:rPr>
              <w:t>：</w:t>
            </w:r>
            <w:r>
              <w:rPr>
                <w:color w:val="auto"/>
                <w:sz w:val="24"/>
                <w:highlight w:val="none"/>
              </w:rPr>
              <w:t>消防用水量按同一时间内火灾次数为一次计。</w:t>
            </w:r>
            <w:r>
              <w:rPr>
                <w:rFonts w:hint="eastAsia"/>
                <w:color w:val="auto"/>
                <w:sz w:val="24"/>
                <w:lang w:val="en-US" w:eastAsia="zh-CN"/>
              </w:rPr>
              <w:t>本项目属于二级耐火等级，丙类厂房，建筑体积为16754m</w:t>
            </w:r>
            <w:r>
              <w:rPr>
                <w:rFonts w:hint="eastAsia"/>
                <w:color w:val="auto"/>
                <w:sz w:val="24"/>
                <w:vertAlign w:val="superscript"/>
                <w:lang w:val="en-US" w:eastAsia="zh-CN"/>
              </w:rPr>
              <w:t>3</w:t>
            </w:r>
            <w:r>
              <w:rPr>
                <w:rFonts w:hint="eastAsia"/>
                <w:color w:val="auto"/>
                <w:sz w:val="24"/>
                <w:vertAlign w:val="baseline"/>
                <w:lang w:val="en-US" w:eastAsia="zh-CN"/>
              </w:rPr>
              <w:t>，</w:t>
            </w:r>
            <w:r>
              <w:rPr>
                <w:rFonts w:hint="eastAsia"/>
                <w:color w:val="auto"/>
                <w:sz w:val="24"/>
                <w:lang w:val="en-US" w:eastAsia="zh-CN"/>
              </w:rPr>
              <w:t>小于20000m</w:t>
            </w:r>
            <w:r>
              <w:rPr>
                <w:rFonts w:hint="eastAsia"/>
                <w:color w:val="auto"/>
                <w:sz w:val="24"/>
                <w:vertAlign w:val="superscript"/>
                <w:lang w:val="en-US" w:eastAsia="zh-CN"/>
              </w:rPr>
              <w:t>3</w:t>
            </w:r>
            <w:r>
              <w:rPr>
                <w:rFonts w:hint="eastAsia"/>
                <w:color w:val="auto"/>
                <w:sz w:val="24"/>
                <w:lang w:val="en-US" w:eastAsia="zh-CN"/>
              </w:rPr>
              <w:t>，</w:t>
            </w:r>
            <w:r>
              <w:rPr>
                <w:rFonts w:hint="eastAsia"/>
                <w:color w:val="auto"/>
                <w:sz w:val="24"/>
                <w:vertAlign w:val="baseline"/>
                <w:lang w:val="en-US" w:eastAsia="zh-CN"/>
              </w:rPr>
              <w:t>小于24m，</w:t>
            </w:r>
            <w:r>
              <w:rPr>
                <w:color w:val="auto"/>
                <w:sz w:val="24"/>
              </w:rPr>
              <w:t>根据《</w:t>
            </w:r>
            <w:r>
              <w:rPr>
                <w:rFonts w:hint="eastAsia"/>
                <w:color w:val="auto"/>
                <w:sz w:val="24"/>
                <w:lang w:val="en-US" w:eastAsia="zh-CN"/>
              </w:rPr>
              <w:t>消防给水及消防火栓系统技术规范</w:t>
            </w:r>
            <w:r>
              <w:rPr>
                <w:color w:val="auto"/>
                <w:sz w:val="24"/>
              </w:rPr>
              <w:t>》</w:t>
            </w:r>
            <w:r>
              <w:rPr>
                <w:rFonts w:hint="eastAsia"/>
                <w:color w:val="auto"/>
                <w:sz w:val="24"/>
                <w:lang w:eastAsia="zh-CN"/>
              </w:rPr>
              <w:t>（</w:t>
            </w:r>
            <w:r>
              <w:rPr>
                <w:rFonts w:hint="eastAsia"/>
                <w:color w:val="auto"/>
                <w:sz w:val="24"/>
                <w:lang w:val="en-US" w:eastAsia="zh-CN"/>
              </w:rPr>
              <w:t>GB50974-2014</w:t>
            </w:r>
            <w:r>
              <w:rPr>
                <w:rFonts w:hint="eastAsia"/>
                <w:color w:val="auto"/>
                <w:sz w:val="24"/>
                <w:lang w:eastAsia="zh-CN"/>
              </w:rPr>
              <w:t>）</w:t>
            </w:r>
            <w:r>
              <w:rPr>
                <w:rFonts w:hint="eastAsia"/>
                <w:color w:val="auto"/>
                <w:sz w:val="24"/>
                <w:lang w:val="en-US" w:eastAsia="zh-CN"/>
              </w:rPr>
              <w:t>表3.3.2，本项目室外消火栓设计流量25</w:t>
            </w:r>
            <w:r>
              <w:rPr>
                <w:color w:val="auto"/>
                <w:sz w:val="24"/>
              </w:rPr>
              <w:t>L/s，</w:t>
            </w:r>
            <w:r>
              <w:rPr>
                <w:rFonts w:hint="eastAsia"/>
                <w:color w:val="auto"/>
                <w:sz w:val="24"/>
                <w:lang w:val="en-US" w:eastAsia="zh-CN"/>
              </w:rPr>
              <w:t>根据表3.5.2，室内消火栓设计流量20</w:t>
            </w:r>
            <w:r>
              <w:rPr>
                <w:color w:val="auto"/>
                <w:sz w:val="24"/>
              </w:rPr>
              <w:t>L/s</w:t>
            </w:r>
            <w:r>
              <w:rPr>
                <w:rFonts w:hint="eastAsia"/>
                <w:color w:val="auto"/>
                <w:sz w:val="24"/>
                <w:lang w:eastAsia="zh-CN"/>
              </w:rPr>
              <w:t>，</w:t>
            </w:r>
            <w:r>
              <w:rPr>
                <w:color w:val="auto"/>
                <w:sz w:val="24"/>
              </w:rPr>
              <w:t>火灾延续</w:t>
            </w:r>
            <w:r>
              <w:rPr>
                <w:rFonts w:hint="eastAsia"/>
                <w:color w:val="auto"/>
                <w:sz w:val="24"/>
                <w:lang w:val="en-US" w:eastAsia="zh-CN"/>
              </w:rPr>
              <w:t>3</w:t>
            </w:r>
            <w:r>
              <w:rPr>
                <w:color w:val="auto"/>
                <w:sz w:val="24"/>
              </w:rPr>
              <w:t>小时，</w:t>
            </w:r>
            <w:r>
              <w:rPr>
                <w:rFonts w:hint="eastAsia"/>
                <w:color w:val="auto"/>
                <w:sz w:val="24"/>
                <w:lang w:val="en-US" w:eastAsia="zh-CN"/>
              </w:rPr>
              <w:t>一次消防水量为486m</w:t>
            </w:r>
            <w:r>
              <w:rPr>
                <w:rFonts w:hint="eastAsia"/>
                <w:color w:val="auto"/>
                <w:sz w:val="24"/>
                <w:vertAlign w:val="superscript"/>
                <w:lang w:val="en-US" w:eastAsia="zh-CN"/>
              </w:rPr>
              <w:t>3</w:t>
            </w:r>
            <w:r>
              <w:rPr>
                <w:rFonts w:hint="eastAsia"/>
                <w:color w:val="auto"/>
                <w:sz w:val="24"/>
                <w:vertAlign w:val="baseline"/>
                <w:lang w:val="en-US" w:eastAsia="zh-CN"/>
              </w:rPr>
              <w:t>，</w:t>
            </w:r>
            <w:r>
              <w:rPr>
                <w:color w:val="auto"/>
                <w:sz w:val="24"/>
              </w:rPr>
              <w:t>则：V</w:t>
            </w:r>
            <w:r>
              <w:rPr>
                <w:color w:val="auto"/>
                <w:sz w:val="24"/>
                <w:vertAlign w:val="subscript"/>
              </w:rPr>
              <w:t>2</w:t>
            </w:r>
            <w:r>
              <w:rPr>
                <w:color w:val="auto"/>
                <w:sz w:val="24"/>
              </w:rPr>
              <w:t>=</w:t>
            </w:r>
            <w:r>
              <w:rPr>
                <w:rFonts w:hint="eastAsia"/>
                <w:color w:val="auto"/>
                <w:sz w:val="24"/>
                <w:lang w:val="en-US" w:eastAsia="zh-CN"/>
              </w:rPr>
              <w:t>486</w:t>
            </w:r>
            <w:r>
              <w:rPr>
                <w:color w:val="auto"/>
                <w:sz w:val="24"/>
              </w:rPr>
              <w:t>m</w:t>
            </w:r>
            <w:r>
              <w:rPr>
                <w:color w:val="auto"/>
                <w:sz w:val="24"/>
                <w:vertAlign w:val="superscript"/>
              </w:rPr>
              <w:t>3</w:t>
            </w:r>
            <w:r>
              <w:rPr>
                <w:color w:val="auto"/>
                <w:sz w:val="24"/>
              </w:rPr>
              <w:t>。</w:t>
            </w:r>
          </w:p>
          <w:p>
            <w:pPr>
              <w:keepNext w:val="0"/>
              <w:keepLines w:val="0"/>
              <w:pageBreakBefore w:val="0"/>
              <w:widowControl w:val="0"/>
              <w:tabs>
                <w:tab w:val="left" w:pos="600"/>
              </w:tabs>
              <w:kinsoku/>
              <w:wordWrap/>
              <w:overflowPunct/>
              <w:topLinePunct w:val="0"/>
              <w:autoSpaceDE/>
              <w:autoSpaceDN/>
              <w:bidi w:val="0"/>
              <w:adjustRightInd w:val="0"/>
              <w:snapToGrid w:val="0"/>
              <w:spacing w:line="500" w:lineRule="exact"/>
              <w:ind w:firstLine="480" w:firstLineChars="200"/>
              <w:jc w:val="both"/>
              <w:textAlignment w:val="auto"/>
              <w:rPr>
                <w:rFonts w:ascii="Times New Roman" w:hAnsi="Times New Roman" w:eastAsia="宋体" w:cs="Times New Roman"/>
                <w:color w:val="auto"/>
                <w:sz w:val="24"/>
                <w:highlight w:val="none"/>
              </w:rPr>
            </w:pPr>
            <w:r>
              <w:rPr>
                <w:color w:val="auto"/>
                <w:sz w:val="24"/>
                <w:highlight w:val="none"/>
              </w:rPr>
              <w:t>V</w:t>
            </w:r>
            <w:r>
              <w:rPr>
                <w:color w:val="auto"/>
                <w:sz w:val="24"/>
                <w:highlight w:val="none"/>
                <w:vertAlign w:val="subscript"/>
              </w:rPr>
              <w:t>3</w:t>
            </w:r>
            <w:r>
              <w:rPr>
                <w:color w:val="auto"/>
                <w:sz w:val="24"/>
                <w:highlight w:val="none"/>
              </w:rPr>
              <w:t>：事故时可以转输到其它储存或处理设施的物料量，m</w:t>
            </w:r>
            <w:r>
              <w:rPr>
                <w:color w:val="auto"/>
                <w:sz w:val="24"/>
                <w:highlight w:val="none"/>
                <w:vertAlign w:val="superscript"/>
              </w:rPr>
              <w:t>3</w:t>
            </w:r>
            <w:r>
              <w:rPr>
                <w:color w:val="auto"/>
                <w:sz w:val="24"/>
                <w:highlight w:val="none"/>
              </w:rPr>
              <w:t>；</w:t>
            </w:r>
            <w:r>
              <w:rPr>
                <w:rFonts w:hint="eastAsia"/>
                <w:color w:val="auto"/>
                <w:sz w:val="24"/>
                <w:highlight w:val="none"/>
                <w:lang w:val="en-US" w:eastAsia="zh-CN"/>
              </w:rPr>
              <w:t>本项目位于园区，根据园区提供资料，</w:t>
            </w:r>
            <w:r>
              <w:rPr>
                <w:rFonts w:hint="eastAsia" w:ascii="Times New Roman" w:hAnsi="Times New Roman" w:eastAsia="宋体" w:cs="Times New Roman"/>
                <w:color w:val="auto"/>
                <w:sz w:val="24"/>
                <w:highlight w:val="none"/>
              </w:rPr>
              <w:t>雨水管道直径为0.</w:t>
            </w: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m，</w:t>
            </w:r>
            <w:r>
              <w:rPr>
                <w:rFonts w:hint="eastAsia" w:ascii="Times New Roman" w:hAnsi="Times New Roman" w:eastAsia="宋体" w:cs="Times New Roman"/>
                <w:color w:val="auto"/>
                <w:sz w:val="24"/>
                <w:highlight w:val="none"/>
                <w:lang w:val="en-US" w:eastAsia="zh-CN"/>
              </w:rPr>
              <w:t>长度561.67</w:t>
            </w:r>
            <w:r>
              <w:rPr>
                <w:rFonts w:hint="eastAsia" w:ascii="Times New Roman" w:hAnsi="Times New Roman" w:eastAsia="宋体" w:cs="Times New Roman"/>
                <w:color w:val="auto"/>
                <w:sz w:val="24"/>
                <w:highlight w:val="none"/>
              </w:rPr>
              <w:t>m</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部分</w:t>
            </w:r>
            <w:r>
              <w:rPr>
                <w:rFonts w:hint="eastAsia" w:ascii="Times New Roman" w:hAnsi="Times New Roman" w:eastAsia="宋体" w:cs="Times New Roman"/>
                <w:color w:val="auto"/>
                <w:sz w:val="24"/>
                <w:highlight w:val="none"/>
              </w:rPr>
              <w:t>雨水管道直径为0.</w:t>
            </w:r>
            <w:r>
              <w:rPr>
                <w:rFonts w:hint="eastAsia" w:ascii="Times New Roman" w:hAnsi="Times New Roman" w:eastAsia="宋体" w:cs="Times New Roman"/>
                <w:color w:val="auto"/>
                <w:sz w:val="24"/>
                <w:highlight w:val="none"/>
                <w:lang w:val="en-US" w:eastAsia="zh-CN"/>
              </w:rPr>
              <w:t>15</w:t>
            </w:r>
            <w:r>
              <w:rPr>
                <w:rFonts w:hint="eastAsia" w:ascii="Times New Roman" w:hAnsi="Times New Roman" w:eastAsia="宋体" w:cs="Times New Roman"/>
                <w:color w:val="auto"/>
                <w:sz w:val="24"/>
                <w:highlight w:val="none"/>
              </w:rPr>
              <w:t>m，</w:t>
            </w:r>
            <w:r>
              <w:rPr>
                <w:rFonts w:hint="eastAsia" w:ascii="Times New Roman" w:hAnsi="Times New Roman" w:eastAsia="宋体" w:cs="Times New Roman"/>
                <w:color w:val="auto"/>
                <w:sz w:val="24"/>
                <w:highlight w:val="none"/>
                <w:lang w:val="en-US" w:eastAsia="zh-CN"/>
              </w:rPr>
              <w:t>长度26.6</w:t>
            </w:r>
            <w:r>
              <w:rPr>
                <w:rFonts w:hint="eastAsia" w:ascii="Times New Roman" w:hAnsi="Times New Roman" w:eastAsia="宋体" w:cs="Times New Roman"/>
                <w:color w:val="auto"/>
                <w:sz w:val="24"/>
                <w:highlight w:val="none"/>
              </w:rPr>
              <w:t>m</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部分</w:t>
            </w:r>
            <w:r>
              <w:rPr>
                <w:rFonts w:hint="eastAsia" w:ascii="Times New Roman" w:hAnsi="Times New Roman" w:eastAsia="宋体" w:cs="Times New Roman"/>
                <w:color w:val="auto"/>
                <w:sz w:val="24"/>
                <w:highlight w:val="none"/>
              </w:rPr>
              <w:t>雨水管道直径为0.</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m，</w:t>
            </w:r>
            <w:r>
              <w:rPr>
                <w:rFonts w:hint="eastAsia" w:ascii="Times New Roman" w:hAnsi="Times New Roman" w:eastAsia="宋体" w:cs="Times New Roman"/>
                <w:color w:val="auto"/>
                <w:sz w:val="24"/>
                <w:highlight w:val="none"/>
                <w:lang w:val="en-US" w:eastAsia="zh-CN"/>
              </w:rPr>
              <w:t>长度3679.09</w:t>
            </w:r>
            <w:r>
              <w:rPr>
                <w:rFonts w:hint="eastAsia" w:ascii="Times New Roman" w:hAnsi="Times New Roman" w:eastAsia="宋体" w:cs="Times New Roman"/>
                <w:color w:val="auto"/>
                <w:sz w:val="24"/>
                <w:highlight w:val="none"/>
              </w:rPr>
              <w:t>m</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部分</w:t>
            </w:r>
            <w:r>
              <w:rPr>
                <w:rFonts w:hint="eastAsia" w:ascii="Times New Roman" w:hAnsi="Times New Roman" w:eastAsia="宋体" w:cs="Times New Roman"/>
                <w:color w:val="auto"/>
                <w:sz w:val="24"/>
                <w:highlight w:val="none"/>
              </w:rPr>
              <w:t>雨水管道直径为0.</w:t>
            </w:r>
            <w:r>
              <w:rPr>
                <w:rFonts w:hint="eastAsia"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rPr>
              <w:t>m，</w:t>
            </w:r>
            <w:r>
              <w:rPr>
                <w:rFonts w:hint="eastAsia" w:ascii="Times New Roman" w:hAnsi="Times New Roman" w:eastAsia="宋体" w:cs="Times New Roman"/>
                <w:color w:val="auto"/>
                <w:sz w:val="24"/>
                <w:highlight w:val="none"/>
                <w:lang w:val="en-US" w:eastAsia="zh-CN"/>
              </w:rPr>
              <w:t>长度518.4</w:t>
            </w:r>
            <w:r>
              <w:rPr>
                <w:rFonts w:hint="eastAsia" w:ascii="Times New Roman" w:hAnsi="Times New Roman" w:eastAsia="宋体" w:cs="Times New Roman"/>
                <w:color w:val="auto"/>
                <w:sz w:val="24"/>
                <w:highlight w:val="none"/>
              </w:rPr>
              <w:t>m</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部分</w:t>
            </w:r>
            <w:r>
              <w:rPr>
                <w:rFonts w:hint="eastAsia" w:ascii="Times New Roman" w:hAnsi="Times New Roman" w:eastAsia="宋体" w:cs="Times New Roman"/>
                <w:color w:val="auto"/>
                <w:sz w:val="24"/>
                <w:highlight w:val="none"/>
              </w:rPr>
              <w:t>雨水管道直径为0.</w:t>
            </w:r>
            <w:r>
              <w:rPr>
                <w:rFonts w:hint="eastAsia" w:ascii="Times New Roman" w:hAnsi="Times New Roman" w:eastAsia="宋体" w:cs="Times New Roman"/>
                <w:color w:val="auto"/>
                <w:sz w:val="24"/>
                <w:highlight w:val="none"/>
                <w:lang w:val="en-US" w:eastAsia="zh-CN"/>
              </w:rPr>
              <w:t>5</w:t>
            </w:r>
            <w:r>
              <w:rPr>
                <w:rFonts w:hint="eastAsia" w:ascii="Times New Roman" w:hAnsi="Times New Roman" w:eastAsia="宋体" w:cs="Times New Roman"/>
                <w:color w:val="auto"/>
                <w:sz w:val="24"/>
                <w:highlight w:val="none"/>
              </w:rPr>
              <w:t>m，</w:t>
            </w:r>
            <w:r>
              <w:rPr>
                <w:rFonts w:hint="eastAsia" w:ascii="Times New Roman" w:hAnsi="Times New Roman" w:eastAsia="宋体" w:cs="Times New Roman"/>
                <w:color w:val="auto"/>
                <w:sz w:val="24"/>
                <w:highlight w:val="none"/>
                <w:lang w:val="en-US" w:eastAsia="zh-CN"/>
              </w:rPr>
              <w:t>长度45.48</w:t>
            </w:r>
            <w:r>
              <w:rPr>
                <w:rFonts w:hint="eastAsia" w:ascii="Times New Roman" w:hAnsi="Times New Roman" w:eastAsia="宋体" w:cs="Times New Roman"/>
                <w:color w:val="auto"/>
                <w:sz w:val="24"/>
                <w:highlight w:val="none"/>
              </w:rPr>
              <w:t>m</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则雨水管道容积约777.76</w:t>
            </w:r>
            <w:r>
              <w:rPr>
                <w:rFonts w:hint="eastAsia" w:ascii="Times New Roman" w:hAnsi="Times New Roman" w:eastAsia="宋体" w:cs="Times New Roman"/>
                <w:color w:val="auto"/>
                <w:sz w:val="24"/>
                <w:highlight w:val="none"/>
              </w:rPr>
              <w:t>m</w:t>
            </w:r>
            <w:r>
              <w:rPr>
                <w:rFonts w:hint="eastAsia" w:ascii="Times New Roman" w:hAnsi="Times New Roman" w:eastAsia="宋体" w:cs="Times New Roman"/>
                <w:color w:val="auto"/>
                <w:sz w:val="24"/>
                <w:highlight w:val="none"/>
                <w:vertAlign w:val="superscript"/>
              </w:rPr>
              <w:t>3</w:t>
            </w:r>
            <w:r>
              <w:rPr>
                <w:rFonts w:hint="eastAsia"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rPr>
              <w:t>则V</w:t>
            </w:r>
            <w:r>
              <w:rPr>
                <w:rFonts w:hint="eastAsia" w:ascii="Times New Roman" w:hAnsi="Times New Roman" w:eastAsia="宋体" w:cs="Times New Roman"/>
                <w:color w:val="auto"/>
                <w:sz w:val="24"/>
                <w:highlight w:val="none"/>
                <w:vertAlign w:val="subscript"/>
              </w:rPr>
              <w:t>3</w:t>
            </w:r>
            <w:r>
              <w:rPr>
                <w:rFonts w:hint="eastAsia" w:ascii="Times New Roman" w:hAnsi="Times New Roman" w:eastAsia="宋体" w:cs="Times New Roman"/>
                <w:color w:val="auto"/>
                <w:sz w:val="24"/>
                <w:highlight w:val="none"/>
              </w:rPr>
              <w:t>取值为</w:t>
            </w:r>
            <w:r>
              <w:rPr>
                <w:rFonts w:hint="eastAsia" w:ascii="Times New Roman" w:hAnsi="Times New Roman" w:eastAsia="宋体" w:cs="Times New Roman"/>
                <w:color w:val="auto"/>
                <w:sz w:val="24"/>
                <w:highlight w:val="none"/>
                <w:lang w:val="en-US" w:eastAsia="zh-CN"/>
              </w:rPr>
              <w:t>777.76</w:t>
            </w:r>
            <w:r>
              <w:rPr>
                <w:rFonts w:hint="eastAsia" w:ascii="Times New Roman" w:hAnsi="Times New Roman" w:eastAsia="宋体" w:cs="Times New Roman"/>
                <w:color w:val="auto"/>
                <w:sz w:val="24"/>
                <w:highlight w:val="none"/>
              </w:rPr>
              <w:t>m</w:t>
            </w:r>
            <w:r>
              <w:rPr>
                <w:rFonts w:hint="eastAsia" w:ascii="Times New Roman" w:hAnsi="Times New Roman" w:eastAsia="宋体" w:cs="Times New Roman"/>
                <w:color w:val="auto"/>
                <w:sz w:val="24"/>
                <w:highlight w:val="none"/>
                <w:vertAlign w:val="superscript"/>
              </w:rPr>
              <w:t>3</w:t>
            </w:r>
            <w:r>
              <w:rPr>
                <w:rFonts w:ascii="Times New Roman" w:hAnsi="Times New Roman" w:eastAsia="宋体" w:cs="Times New Roman"/>
                <w:color w:val="auto"/>
                <w:sz w:val="24"/>
                <w:highlight w:val="none"/>
              </w:rPr>
              <w:t>；</w:t>
            </w:r>
          </w:p>
          <w:p>
            <w:pPr>
              <w:keepNext w:val="0"/>
              <w:keepLines w:val="0"/>
              <w:pageBreakBefore w:val="0"/>
              <w:widowControl w:val="0"/>
              <w:tabs>
                <w:tab w:val="left" w:pos="600"/>
              </w:tabs>
              <w:kinsoku/>
              <w:wordWrap/>
              <w:overflowPunct/>
              <w:topLinePunct w:val="0"/>
              <w:autoSpaceDE/>
              <w:autoSpaceDN/>
              <w:bidi w:val="0"/>
              <w:adjustRightInd w:val="0"/>
              <w:snapToGrid w:val="0"/>
              <w:spacing w:line="500" w:lineRule="exact"/>
              <w:ind w:firstLine="480" w:firstLineChars="200"/>
              <w:jc w:val="both"/>
              <w:textAlignment w:val="auto"/>
              <w:rPr>
                <w:color w:val="auto"/>
                <w:sz w:val="24"/>
                <w:highlight w:val="none"/>
              </w:rPr>
            </w:pPr>
            <w:r>
              <w:rPr>
                <w:color w:val="auto"/>
                <w:sz w:val="24"/>
                <w:highlight w:val="none"/>
              </w:rPr>
              <w:t>V</w:t>
            </w:r>
            <w:r>
              <w:rPr>
                <w:color w:val="auto"/>
                <w:sz w:val="24"/>
                <w:highlight w:val="none"/>
                <w:vertAlign w:val="subscript"/>
              </w:rPr>
              <w:t>4</w:t>
            </w:r>
            <w:r>
              <w:rPr>
                <w:color w:val="auto"/>
                <w:sz w:val="24"/>
                <w:highlight w:val="none"/>
              </w:rPr>
              <w:t>：发生事故时必须进入该收集系统的生产废水量，m</w:t>
            </w:r>
            <w:r>
              <w:rPr>
                <w:color w:val="auto"/>
                <w:sz w:val="24"/>
                <w:highlight w:val="none"/>
                <w:vertAlign w:val="superscript"/>
              </w:rPr>
              <w:t>3</w:t>
            </w:r>
            <w:r>
              <w:rPr>
                <w:color w:val="auto"/>
                <w:sz w:val="24"/>
                <w:highlight w:val="none"/>
              </w:rPr>
              <w:t>，V</w:t>
            </w:r>
            <w:r>
              <w:rPr>
                <w:color w:val="auto"/>
                <w:sz w:val="24"/>
                <w:highlight w:val="none"/>
                <w:vertAlign w:val="subscript"/>
              </w:rPr>
              <w:t>4</w:t>
            </w:r>
            <w:r>
              <w:rPr>
                <w:color w:val="auto"/>
                <w:sz w:val="24"/>
                <w:highlight w:val="none"/>
              </w:rPr>
              <w:t>=0m</w:t>
            </w:r>
            <w:r>
              <w:rPr>
                <w:color w:val="auto"/>
                <w:sz w:val="24"/>
                <w:highlight w:val="none"/>
                <w:vertAlign w:val="superscript"/>
              </w:rPr>
              <w:t>3</w:t>
            </w:r>
            <w:r>
              <w:rPr>
                <w:color w:val="auto"/>
                <w:sz w:val="24"/>
                <w:highlight w:val="none"/>
              </w:rPr>
              <w:t>；</w:t>
            </w:r>
          </w:p>
          <w:p>
            <w:pPr>
              <w:keepNext w:val="0"/>
              <w:keepLines w:val="0"/>
              <w:pageBreakBefore w:val="0"/>
              <w:widowControl w:val="0"/>
              <w:tabs>
                <w:tab w:val="left" w:pos="600"/>
              </w:tabs>
              <w:kinsoku/>
              <w:wordWrap/>
              <w:overflowPunct/>
              <w:topLinePunct w:val="0"/>
              <w:autoSpaceDE/>
              <w:autoSpaceDN/>
              <w:bidi w:val="0"/>
              <w:adjustRightInd w:val="0"/>
              <w:snapToGrid w:val="0"/>
              <w:spacing w:line="500" w:lineRule="exact"/>
              <w:ind w:firstLine="480" w:firstLineChars="200"/>
              <w:jc w:val="both"/>
              <w:textAlignment w:val="auto"/>
              <w:rPr>
                <w:color w:val="auto"/>
                <w:sz w:val="24"/>
                <w:highlight w:val="none"/>
              </w:rPr>
            </w:pPr>
            <w:r>
              <w:rPr>
                <w:color w:val="auto"/>
                <w:sz w:val="24"/>
                <w:highlight w:val="none"/>
              </w:rPr>
              <w:t>V</w:t>
            </w:r>
            <w:r>
              <w:rPr>
                <w:color w:val="auto"/>
                <w:sz w:val="24"/>
                <w:highlight w:val="none"/>
                <w:vertAlign w:val="subscript"/>
              </w:rPr>
              <w:t>5</w:t>
            </w:r>
            <w:r>
              <w:rPr>
                <w:color w:val="auto"/>
                <w:sz w:val="24"/>
                <w:highlight w:val="none"/>
              </w:rPr>
              <w:t>：发生事故时可能进入该收集系统的降雨量，m</w:t>
            </w:r>
            <w:r>
              <w:rPr>
                <w:color w:val="auto"/>
                <w:sz w:val="24"/>
                <w:highlight w:val="none"/>
                <w:vertAlign w:val="superscript"/>
              </w:rPr>
              <w:t>3</w:t>
            </w:r>
            <w:r>
              <w:rPr>
                <w:color w:val="auto"/>
                <w:sz w:val="24"/>
                <w:highlight w:val="none"/>
              </w:rPr>
              <w:t>。</w:t>
            </w:r>
          </w:p>
          <w:p>
            <w:pPr>
              <w:keepNext w:val="0"/>
              <w:keepLines w:val="0"/>
              <w:pageBreakBefore w:val="0"/>
              <w:widowControl w:val="0"/>
              <w:tabs>
                <w:tab w:val="left" w:pos="600"/>
              </w:tabs>
              <w:kinsoku/>
              <w:wordWrap/>
              <w:overflowPunct/>
              <w:topLinePunct w:val="0"/>
              <w:autoSpaceDE/>
              <w:autoSpaceDN/>
              <w:bidi w:val="0"/>
              <w:adjustRightInd w:val="0"/>
              <w:snapToGrid w:val="0"/>
              <w:spacing w:line="500" w:lineRule="exact"/>
              <w:ind w:firstLine="480" w:firstLineChars="200"/>
              <w:jc w:val="both"/>
              <w:textAlignment w:val="auto"/>
              <w:rPr>
                <w:color w:val="auto"/>
                <w:sz w:val="24"/>
                <w:highlight w:val="none"/>
              </w:rPr>
            </w:pPr>
            <w:r>
              <w:rPr>
                <w:color w:val="auto"/>
                <w:sz w:val="24"/>
                <w:highlight w:val="none"/>
              </w:rPr>
              <w:t>V</w:t>
            </w:r>
            <w:r>
              <w:rPr>
                <w:color w:val="auto"/>
                <w:sz w:val="24"/>
                <w:highlight w:val="none"/>
                <w:vertAlign w:val="subscript"/>
              </w:rPr>
              <w:t>5</w:t>
            </w:r>
            <w:r>
              <w:rPr>
                <w:color w:val="auto"/>
                <w:sz w:val="24"/>
                <w:highlight w:val="none"/>
              </w:rPr>
              <w:t>=10qF</w:t>
            </w:r>
          </w:p>
          <w:p>
            <w:pPr>
              <w:keepNext w:val="0"/>
              <w:keepLines w:val="0"/>
              <w:pageBreakBefore w:val="0"/>
              <w:widowControl w:val="0"/>
              <w:tabs>
                <w:tab w:val="left" w:pos="600"/>
              </w:tabs>
              <w:kinsoku/>
              <w:wordWrap/>
              <w:overflowPunct/>
              <w:topLinePunct w:val="0"/>
              <w:autoSpaceDE/>
              <w:autoSpaceDN/>
              <w:bidi w:val="0"/>
              <w:adjustRightInd w:val="0"/>
              <w:snapToGrid w:val="0"/>
              <w:spacing w:line="500" w:lineRule="exact"/>
              <w:ind w:firstLine="480" w:firstLineChars="200"/>
              <w:jc w:val="both"/>
              <w:textAlignment w:val="auto"/>
              <w:rPr>
                <w:color w:val="auto"/>
                <w:sz w:val="24"/>
                <w:highlight w:val="none"/>
              </w:rPr>
            </w:pPr>
            <w:r>
              <w:rPr>
                <w:color w:val="auto"/>
                <w:sz w:val="24"/>
                <w:highlight w:val="none"/>
              </w:rPr>
              <w:t>式中：</w:t>
            </w:r>
          </w:p>
          <w:p>
            <w:pPr>
              <w:keepNext w:val="0"/>
              <w:keepLines w:val="0"/>
              <w:pageBreakBefore w:val="0"/>
              <w:widowControl w:val="0"/>
              <w:tabs>
                <w:tab w:val="left" w:pos="600"/>
              </w:tabs>
              <w:kinsoku/>
              <w:wordWrap/>
              <w:overflowPunct/>
              <w:topLinePunct w:val="0"/>
              <w:autoSpaceDE/>
              <w:autoSpaceDN/>
              <w:bidi w:val="0"/>
              <w:adjustRightInd w:val="0"/>
              <w:snapToGrid w:val="0"/>
              <w:spacing w:line="500" w:lineRule="exact"/>
              <w:ind w:firstLine="480" w:firstLineChars="200"/>
              <w:jc w:val="both"/>
              <w:textAlignment w:val="auto"/>
              <w:rPr>
                <w:color w:val="auto"/>
                <w:sz w:val="24"/>
                <w:highlight w:val="none"/>
              </w:rPr>
            </w:pPr>
            <w:r>
              <w:rPr>
                <w:color w:val="auto"/>
                <w:sz w:val="24"/>
                <w:highlight w:val="none"/>
              </w:rPr>
              <w:t>q——平均日降雨量；q=年平均降雨量/年平均降雨日数。本设计中年平均降雨量为</w:t>
            </w:r>
            <w:r>
              <w:rPr>
                <w:rFonts w:hint="eastAsia"/>
                <w:color w:val="auto"/>
                <w:sz w:val="24"/>
                <w:highlight w:val="none"/>
                <w:lang w:val="en-US" w:eastAsia="zh-CN"/>
              </w:rPr>
              <w:t>1040</w:t>
            </w:r>
            <w:r>
              <w:rPr>
                <w:color w:val="auto"/>
                <w:sz w:val="24"/>
                <w:highlight w:val="none"/>
              </w:rPr>
              <w:t>mm，年平均降雨日数为122天，则q=</w:t>
            </w:r>
            <w:r>
              <w:rPr>
                <w:rFonts w:hint="eastAsia"/>
                <w:color w:val="auto"/>
                <w:sz w:val="24"/>
                <w:highlight w:val="none"/>
                <w:lang w:val="en-US" w:eastAsia="zh-CN"/>
              </w:rPr>
              <w:t>8.5</w:t>
            </w:r>
            <w:r>
              <w:rPr>
                <w:color w:val="auto"/>
                <w:sz w:val="24"/>
                <w:highlight w:val="none"/>
              </w:rPr>
              <w:t>mm。</w:t>
            </w:r>
          </w:p>
          <w:p>
            <w:pPr>
              <w:keepNext w:val="0"/>
              <w:keepLines w:val="0"/>
              <w:pageBreakBefore w:val="0"/>
              <w:widowControl w:val="0"/>
              <w:tabs>
                <w:tab w:val="left" w:pos="600"/>
              </w:tabs>
              <w:kinsoku/>
              <w:wordWrap/>
              <w:overflowPunct/>
              <w:topLinePunct w:val="0"/>
              <w:autoSpaceDE/>
              <w:autoSpaceDN/>
              <w:bidi w:val="0"/>
              <w:adjustRightInd w:val="0"/>
              <w:snapToGrid w:val="0"/>
              <w:spacing w:line="500" w:lineRule="exact"/>
              <w:ind w:firstLine="480" w:firstLineChars="200"/>
              <w:jc w:val="both"/>
              <w:textAlignment w:val="auto"/>
              <w:rPr>
                <w:color w:val="auto"/>
                <w:sz w:val="24"/>
                <w:highlight w:val="none"/>
              </w:rPr>
            </w:pPr>
            <w:r>
              <w:rPr>
                <w:color w:val="auto"/>
                <w:sz w:val="24"/>
                <w:highlight w:val="none"/>
              </w:rPr>
              <w:t>F——必须进入事故废水收集系统的雨水汇水面积</w:t>
            </w:r>
            <w:r>
              <w:rPr>
                <w:rFonts w:hint="eastAsia"/>
                <w:color w:val="auto"/>
                <w:sz w:val="24"/>
                <w:highlight w:val="none"/>
                <w:lang w:eastAsia="zh-CN"/>
              </w:rPr>
              <w:t>；</w:t>
            </w:r>
            <w:r>
              <w:rPr>
                <w:rFonts w:ascii="Times New Roman" w:hAnsi="Times New Roman" w:eastAsia="宋体" w:cs="Times New Roman"/>
              </w:rPr>
              <w:commentReference w:id="0"/>
            </w:r>
            <w:r>
              <w:rPr>
                <w:rFonts w:hint="eastAsia" w:ascii="Times New Roman" w:hAnsi="Times New Roman" w:eastAsia="宋体" w:cs="Times New Roman"/>
                <w:color w:val="auto"/>
                <w:sz w:val="24"/>
                <w:highlight w:val="none"/>
                <w:lang w:val="en-US" w:eastAsia="zh-CN"/>
              </w:rPr>
              <w:t>根据园区提供资料，园区总</w:t>
            </w:r>
            <w:r>
              <w:rPr>
                <w:rFonts w:ascii="Times New Roman" w:hAnsi="Times New Roman" w:eastAsia="宋体" w:cs="Times New Roman"/>
                <w:color w:val="auto"/>
                <w:sz w:val="24"/>
                <w:highlight w:val="none"/>
              </w:rPr>
              <w:t>汇水面积共计约</w:t>
            </w:r>
            <w:r>
              <w:rPr>
                <w:rFonts w:hint="eastAsia" w:ascii="Times New Roman" w:hAnsi="Times New Roman" w:eastAsia="宋体" w:cs="Times New Roman"/>
                <w:color w:val="auto"/>
                <w:sz w:val="24"/>
                <w:highlight w:val="none"/>
                <w:lang w:val="en-US" w:eastAsia="zh-CN"/>
              </w:rPr>
              <w:t>8.598</w:t>
            </w:r>
            <w:r>
              <w:rPr>
                <w:rFonts w:ascii="Times New Roman" w:hAnsi="Times New Roman" w:eastAsia="宋体" w:cs="Times New Roman"/>
                <w:color w:val="auto"/>
                <w:sz w:val="24"/>
                <w:highlight w:val="none"/>
              </w:rPr>
              <w:t>ha。则V</w:t>
            </w:r>
            <w:r>
              <w:rPr>
                <w:rFonts w:ascii="Times New Roman" w:hAnsi="Times New Roman" w:eastAsia="宋体" w:cs="Times New Roman"/>
                <w:color w:val="auto"/>
                <w:sz w:val="24"/>
                <w:highlight w:val="none"/>
                <w:vertAlign w:val="subscript"/>
              </w:rPr>
              <w:t>5</w:t>
            </w:r>
            <w:r>
              <w:rPr>
                <w:rFonts w:ascii="Times New Roman" w:hAnsi="Times New Roman" w:eastAsia="宋体" w:cs="Times New Roman"/>
                <w:color w:val="auto"/>
                <w:sz w:val="24"/>
                <w:highlight w:val="none"/>
              </w:rPr>
              <w:t>=10*</w:t>
            </w:r>
            <w:r>
              <w:rPr>
                <w:rFonts w:hint="eastAsia" w:ascii="Times New Roman" w:hAnsi="Times New Roman" w:eastAsia="宋体" w:cs="Times New Roman"/>
                <w:color w:val="auto"/>
                <w:sz w:val="24"/>
                <w:highlight w:val="none"/>
                <w:lang w:val="en-US" w:eastAsia="zh-CN"/>
              </w:rPr>
              <w:t>8.5</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8.598</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730.83</w:t>
            </w:r>
            <w:r>
              <w:rPr>
                <w:rFonts w:ascii="Times New Roman" w:hAnsi="Times New Roman" w:eastAsia="宋体" w:cs="Times New Roman"/>
                <w:color w:val="auto"/>
                <w:sz w:val="24"/>
                <w:highlight w:val="none"/>
              </w:rPr>
              <w:t>m</w:t>
            </w:r>
            <w:r>
              <w:rPr>
                <w:rFonts w:ascii="Times New Roman" w:hAnsi="Times New Roman" w:eastAsia="宋体" w:cs="Times New Roman"/>
                <w:color w:val="auto"/>
                <w:sz w:val="24"/>
                <w:highlight w:val="none"/>
                <w:vertAlign w:val="superscript"/>
              </w:rPr>
              <w:t>3</w:t>
            </w:r>
            <w:r>
              <w:rPr>
                <w:rFonts w:ascii="Times New Roman" w:hAnsi="Times New Roman" w:eastAsia="宋体" w:cs="Times New Roman"/>
                <w:color w:val="auto"/>
                <w:sz w:val="24"/>
                <w:highlight w:val="none"/>
              </w:rPr>
              <w:t>。</w:t>
            </w:r>
            <w:r>
              <w:rPr>
                <w:color w:val="auto"/>
                <w:sz w:val="24"/>
                <w:highlight w:val="none"/>
              </w:rPr>
              <w:t>。</w:t>
            </w:r>
          </w:p>
          <w:p>
            <w:pPr>
              <w:keepNext w:val="0"/>
              <w:keepLines w:val="0"/>
              <w:pageBreakBefore w:val="0"/>
              <w:widowControl w:val="0"/>
              <w:tabs>
                <w:tab w:val="left" w:pos="600"/>
              </w:tabs>
              <w:kinsoku/>
              <w:wordWrap/>
              <w:overflowPunct/>
              <w:topLinePunct w:val="0"/>
              <w:autoSpaceDE/>
              <w:autoSpaceDN/>
              <w:bidi w:val="0"/>
              <w:adjustRightInd w:val="0"/>
              <w:snapToGrid w:val="0"/>
              <w:spacing w:line="500" w:lineRule="exact"/>
              <w:ind w:firstLine="480" w:firstLineChars="200"/>
              <w:jc w:val="both"/>
              <w:textAlignment w:val="auto"/>
              <w:rPr>
                <w:color w:val="auto"/>
                <w:sz w:val="24"/>
                <w:highlight w:val="none"/>
              </w:rPr>
            </w:pPr>
            <w:r>
              <w:rPr>
                <w:color w:val="auto"/>
                <w:sz w:val="24"/>
                <w:highlight w:val="none"/>
              </w:rPr>
              <w:t>V</w:t>
            </w:r>
            <w:r>
              <w:rPr>
                <w:color w:val="auto"/>
                <w:sz w:val="24"/>
                <w:highlight w:val="none"/>
                <w:vertAlign w:val="subscript"/>
              </w:rPr>
              <w:t>总</w:t>
            </w:r>
            <w:r>
              <w:rPr>
                <w:color w:val="auto"/>
                <w:sz w:val="24"/>
                <w:highlight w:val="none"/>
              </w:rPr>
              <w:t>＝（V</w:t>
            </w:r>
            <w:r>
              <w:rPr>
                <w:color w:val="auto"/>
                <w:sz w:val="24"/>
                <w:highlight w:val="none"/>
                <w:vertAlign w:val="subscript"/>
              </w:rPr>
              <w:t>1</w:t>
            </w:r>
            <w:r>
              <w:rPr>
                <w:color w:val="auto"/>
                <w:sz w:val="24"/>
                <w:highlight w:val="none"/>
              </w:rPr>
              <w:t>+V</w:t>
            </w:r>
            <w:r>
              <w:rPr>
                <w:color w:val="auto"/>
                <w:sz w:val="24"/>
                <w:highlight w:val="none"/>
                <w:vertAlign w:val="subscript"/>
              </w:rPr>
              <w:t>2</w:t>
            </w:r>
            <w:r>
              <w:rPr>
                <w:color w:val="auto"/>
                <w:sz w:val="24"/>
                <w:highlight w:val="none"/>
              </w:rPr>
              <w:t>-V</w:t>
            </w:r>
            <w:r>
              <w:rPr>
                <w:color w:val="auto"/>
                <w:sz w:val="24"/>
                <w:highlight w:val="none"/>
                <w:vertAlign w:val="subscript"/>
              </w:rPr>
              <w:t>3</w:t>
            </w:r>
            <w:r>
              <w:rPr>
                <w:color w:val="auto"/>
                <w:sz w:val="24"/>
                <w:highlight w:val="none"/>
              </w:rPr>
              <w:t>）max+V</w:t>
            </w:r>
            <w:r>
              <w:rPr>
                <w:color w:val="auto"/>
                <w:sz w:val="24"/>
                <w:highlight w:val="none"/>
                <w:vertAlign w:val="subscript"/>
              </w:rPr>
              <w:t>4</w:t>
            </w:r>
            <w:r>
              <w:rPr>
                <w:color w:val="auto"/>
                <w:sz w:val="24"/>
                <w:highlight w:val="none"/>
              </w:rPr>
              <w:t>+V</w:t>
            </w:r>
            <w:r>
              <w:rPr>
                <w:color w:val="auto"/>
                <w:sz w:val="24"/>
                <w:highlight w:val="none"/>
                <w:vertAlign w:val="subscript"/>
              </w:rPr>
              <w:t>5</w:t>
            </w:r>
            <w:r>
              <w:rPr>
                <w:color w:val="auto"/>
                <w:sz w:val="24"/>
                <w:highlight w:val="none"/>
              </w:rPr>
              <w:t>=</w:t>
            </w:r>
            <w:r>
              <w:rPr>
                <w:rFonts w:hint="eastAsia"/>
                <w:color w:val="auto"/>
                <w:sz w:val="24"/>
                <w:highlight w:val="none"/>
                <w:lang w:val="en-US" w:eastAsia="zh-CN"/>
              </w:rPr>
              <w:t>0.002</w:t>
            </w:r>
            <w:r>
              <w:rPr>
                <w:color w:val="auto"/>
                <w:sz w:val="24"/>
                <w:highlight w:val="none"/>
              </w:rPr>
              <w:t>+</w:t>
            </w:r>
            <w:r>
              <w:rPr>
                <w:rFonts w:hint="eastAsia"/>
                <w:color w:val="auto"/>
                <w:sz w:val="24"/>
                <w:highlight w:val="none"/>
                <w:lang w:val="en-US" w:eastAsia="zh-CN"/>
              </w:rPr>
              <w:t>486</w:t>
            </w:r>
            <w:r>
              <w:rPr>
                <w:color w:val="auto"/>
                <w:sz w:val="24"/>
                <w:highlight w:val="none"/>
              </w:rPr>
              <w:t>-</w:t>
            </w:r>
            <w:r>
              <w:rPr>
                <w:rFonts w:hint="eastAsia"/>
                <w:color w:val="auto"/>
                <w:sz w:val="24"/>
                <w:highlight w:val="none"/>
                <w:lang w:val="en-US" w:eastAsia="zh-CN"/>
              </w:rPr>
              <w:t>777.76</w:t>
            </w:r>
            <w:r>
              <w:rPr>
                <w:color w:val="auto"/>
                <w:sz w:val="24"/>
                <w:highlight w:val="none"/>
              </w:rPr>
              <w:t>+0+</w:t>
            </w:r>
            <w:r>
              <w:rPr>
                <w:rFonts w:hint="eastAsia"/>
                <w:color w:val="auto"/>
                <w:sz w:val="24"/>
                <w:highlight w:val="none"/>
                <w:lang w:val="en-US" w:eastAsia="zh-CN"/>
              </w:rPr>
              <w:t>730.83</w:t>
            </w:r>
            <w:r>
              <w:rPr>
                <w:color w:val="auto"/>
                <w:sz w:val="24"/>
                <w:highlight w:val="none"/>
              </w:rPr>
              <w:t>=</w:t>
            </w:r>
            <w:r>
              <w:rPr>
                <w:rFonts w:hint="eastAsia"/>
                <w:color w:val="auto"/>
                <w:sz w:val="24"/>
                <w:highlight w:val="none"/>
                <w:lang w:val="en-US" w:eastAsia="zh-CN"/>
              </w:rPr>
              <w:t>439.072</w:t>
            </w:r>
            <w:r>
              <w:rPr>
                <w:color w:val="auto"/>
                <w:sz w:val="24"/>
                <w:highlight w:val="none"/>
              </w:rPr>
              <w:t>m</w:t>
            </w:r>
            <w:r>
              <w:rPr>
                <w:color w:val="auto"/>
                <w:sz w:val="24"/>
                <w:highlight w:val="none"/>
                <w:vertAlign w:val="superscript"/>
              </w:rPr>
              <w:t>3</w:t>
            </w:r>
          </w:p>
          <w:p>
            <w:pPr>
              <w:pStyle w:val="4"/>
              <w:pageBreakBefore w:val="0"/>
              <w:widowControl w:val="0"/>
              <w:kinsoku/>
              <w:wordWrap/>
              <w:overflowPunct/>
              <w:topLinePunct w:val="0"/>
              <w:autoSpaceDE/>
              <w:autoSpaceDN/>
              <w:bidi w:val="0"/>
              <w:spacing w:before="0" w:after="0" w:line="500" w:lineRule="exact"/>
              <w:ind w:firstLine="480" w:firstLineChars="200"/>
              <w:textAlignment w:val="auto"/>
              <w:rPr>
                <w:rFonts w:hint="eastAsia" w:eastAsiaTheme="majorEastAsia"/>
                <w:b w:val="0"/>
                <w:bCs w:val="0"/>
                <w:color w:val="auto"/>
                <w:sz w:val="24"/>
                <w:highlight w:val="none"/>
                <w:lang w:val="en-US" w:eastAsia="zh-CN"/>
              </w:rPr>
            </w:pPr>
            <w:r>
              <w:rPr>
                <w:rFonts w:hint="eastAsia"/>
                <w:b w:val="0"/>
                <w:bCs w:val="0"/>
                <w:color w:val="auto"/>
                <w:sz w:val="24"/>
                <w:highlight w:val="none"/>
                <w:lang w:val="en-US" w:eastAsia="zh-CN"/>
              </w:rPr>
              <w:t>因此，本项目需用一座容积不小于440m</w:t>
            </w:r>
            <w:r>
              <w:rPr>
                <w:rFonts w:hint="eastAsia"/>
                <w:b w:val="0"/>
                <w:bCs w:val="0"/>
                <w:color w:val="auto"/>
                <w:sz w:val="24"/>
                <w:highlight w:val="none"/>
                <w:vertAlign w:val="superscript"/>
                <w:lang w:val="en-US" w:eastAsia="zh-CN"/>
              </w:rPr>
              <w:t>3</w:t>
            </w:r>
            <w:r>
              <w:rPr>
                <w:rFonts w:hint="eastAsia"/>
                <w:b w:val="0"/>
                <w:bCs w:val="0"/>
                <w:color w:val="auto"/>
                <w:sz w:val="24"/>
                <w:highlight w:val="none"/>
                <w:lang w:val="en-US" w:eastAsia="zh-CN"/>
              </w:rPr>
              <w:t>的</w:t>
            </w:r>
            <w:r>
              <w:rPr>
                <w:b w:val="0"/>
                <w:bCs w:val="0"/>
                <w:color w:val="auto"/>
                <w:sz w:val="24"/>
                <w:highlight w:val="none"/>
              </w:rPr>
              <w:t>事故应急池</w:t>
            </w:r>
            <w:r>
              <w:rPr>
                <w:rFonts w:hint="eastAsia"/>
                <w:b w:val="0"/>
                <w:bCs w:val="0"/>
                <w:color w:val="auto"/>
                <w:sz w:val="24"/>
                <w:highlight w:val="none"/>
                <w:lang w:eastAsia="zh-CN"/>
              </w:rPr>
              <w:t>，</w:t>
            </w:r>
            <w:r>
              <w:rPr>
                <w:rFonts w:hint="eastAsia"/>
                <w:b w:val="0"/>
                <w:bCs w:val="0"/>
                <w:color w:val="auto"/>
                <w:sz w:val="24"/>
                <w:highlight w:val="none"/>
                <w:lang w:val="en-US" w:eastAsia="zh-CN"/>
              </w:rPr>
              <w:t>拟依托园区已建的500m</w:t>
            </w:r>
            <w:r>
              <w:rPr>
                <w:rFonts w:hint="eastAsia"/>
                <w:b w:val="0"/>
                <w:bCs w:val="0"/>
                <w:color w:val="auto"/>
                <w:sz w:val="24"/>
                <w:highlight w:val="none"/>
                <w:vertAlign w:val="superscript"/>
                <w:lang w:val="en-US" w:eastAsia="zh-CN"/>
              </w:rPr>
              <w:t>3</w:t>
            </w:r>
            <w:r>
              <w:rPr>
                <w:rFonts w:hint="eastAsia"/>
                <w:b w:val="0"/>
                <w:bCs w:val="0"/>
                <w:color w:val="auto"/>
                <w:sz w:val="24"/>
                <w:highlight w:val="none"/>
                <w:lang w:val="en-US" w:eastAsia="zh-CN"/>
              </w:rPr>
              <w:t>的</w:t>
            </w:r>
            <w:r>
              <w:rPr>
                <w:b w:val="0"/>
                <w:bCs w:val="0"/>
                <w:color w:val="auto"/>
                <w:sz w:val="24"/>
                <w:highlight w:val="none"/>
              </w:rPr>
              <w:t>事故应急池</w:t>
            </w:r>
            <w:r>
              <w:rPr>
                <w:rFonts w:hint="eastAsia"/>
                <w:b w:val="0"/>
                <w:bCs w:val="0"/>
                <w:color w:val="auto"/>
                <w:sz w:val="24"/>
                <w:highlight w:val="none"/>
                <w:lang w:eastAsia="zh-CN"/>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490" w:lineRule="exact"/>
              <w:ind w:left="0" w:right="0"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为确保事故期间可能</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产生</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的事故废水做到有效收集，不排入外环境，对</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益迅公司</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作出以下要求：</w:t>
            </w:r>
          </w:p>
          <w:p>
            <w:pPr>
              <w:keepNext w:val="0"/>
              <w:keepLines w:val="0"/>
              <w:pageBreakBefore w:val="0"/>
              <w:suppressLineNumbers w:val="0"/>
              <w:kinsoku/>
              <w:wordWrap/>
              <w:overflowPunct/>
              <w:topLinePunct w:val="0"/>
              <w:bidi w:val="0"/>
              <w:adjustRightInd w:val="0"/>
              <w:snapToGrid w:val="0"/>
              <w:spacing w:before="0" w:beforeAutospacing="0" w:after="0" w:afterAutospacing="0" w:line="490" w:lineRule="exact"/>
              <w:ind w:left="0" w:right="0"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①</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公司</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非事故状态下不得将任何废污水排入事故应急池。</w:t>
            </w:r>
          </w:p>
          <w:p>
            <w:pPr>
              <w:keepNext w:val="0"/>
              <w:keepLines w:val="0"/>
              <w:pageBreakBefore w:val="0"/>
              <w:suppressLineNumbers w:val="0"/>
              <w:kinsoku/>
              <w:wordWrap/>
              <w:overflowPunct/>
              <w:topLinePunct w:val="0"/>
              <w:bidi w:val="0"/>
              <w:adjustRightInd w:val="0"/>
              <w:snapToGrid w:val="0"/>
              <w:spacing w:before="0" w:beforeAutospacing="0" w:after="0" w:afterAutospacing="0" w:line="490" w:lineRule="exact"/>
              <w:ind w:left="0" w:right="0"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②</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公司</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发生火灾</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或泄漏</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事故时应在第一时间通知</w:t>
            </w:r>
            <w:r>
              <w:rPr>
                <w:rFonts w:hint="eastAsia"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园区</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，由</w:t>
            </w:r>
            <w:r>
              <w:rPr>
                <w:rFonts w:hint="eastAsia"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园区</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确认与外环境之间的闸阀是否处于关闭状态，确保事故产生的事故废水能进入</w:t>
            </w:r>
            <w:r>
              <w:rPr>
                <w:rFonts w:hint="default" w:ascii="Times New Roman" w:hAnsi="Times New Roman" w:eastAsia="宋体" w:cs="Times New Roman"/>
                <w:color w:val="000000" w:themeColor="text1"/>
                <w:sz w:val="24"/>
                <w:szCs w:val="22"/>
                <w:highlight w:val="none"/>
                <w:lang w:val="zh-CN"/>
                <w14:textFill>
                  <w14:solidFill>
                    <w14:schemeClr w14:val="tx1"/>
                  </w14:solidFill>
                </w14:textFill>
              </w:rPr>
              <w:t>事故</w:t>
            </w:r>
            <w:r>
              <w:rPr>
                <w:rFonts w:hint="default" w:ascii="Times New Roman" w:hAnsi="Times New Roman" w:eastAsia="宋体" w:cs="Times New Roman"/>
                <w:color w:val="000000" w:themeColor="text1"/>
                <w:sz w:val="24"/>
                <w:szCs w:val="22"/>
                <w:highlight w:val="none"/>
                <w14:textFill>
                  <w14:solidFill>
                    <w14:schemeClr w14:val="tx1"/>
                  </w14:solidFill>
                </w14:textFill>
              </w:rPr>
              <w:t>应急</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池。在事故后</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公司</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应及时对事故废水进行监测并处理处置，直至清空事故应急池，检测及处理处置产生的费用由</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公司</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自行承担。</w:t>
            </w:r>
          </w:p>
          <w:p>
            <w:pPr>
              <w:keepNext w:val="0"/>
              <w:keepLines w:val="0"/>
              <w:suppressLineNumbers w:val="0"/>
              <w:tabs>
                <w:tab w:val="left" w:pos="600"/>
              </w:tabs>
              <w:adjustRightInd w:val="0"/>
              <w:snapToGrid w:val="0"/>
              <w:spacing w:before="0" w:beforeAutospacing="0" w:after="0" w:afterAutospacing="0" w:line="500" w:lineRule="exact"/>
              <w:ind w:left="0" w:right="0" w:firstLine="480" w:firstLineChars="200"/>
              <w:jc w:val="left"/>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当发生火灾/爆炸、物料泄漏事故后园区应在第一时间切断雨水排放口，同时打开应急阀门，废水全部收集至事故应急池中，待事故得到控制后对事故废水进行检测、委托处理。</w:t>
            </w:r>
            <w:r>
              <w:rPr>
                <w:rFonts w:ascii="Times New Roman" w:hAnsi="Times New Roman" w:eastAsia="宋体" w:cs="Times New Roman"/>
                <w:color w:val="000000" w:themeColor="text1"/>
                <w:sz w:val="24"/>
                <w:highlight w:val="none"/>
                <w14:textFill>
                  <w14:solidFill>
                    <w14:schemeClr w14:val="tx1"/>
                  </w14:solidFill>
                </w14:textFill>
              </w:rPr>
              <w:t>因此</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本项目依托园区一座</w:t>
            </w:r>
            <w:r>
              <w:rPr>
                <w:rFonts w:hint="eastAsia" w:cs="Times New Roman"/>
                <w:color w:val="000000" w:themeColor="text1"/>
                <w:sz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00m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ascii="Times New Roman" w:hAnsi="Times New Roman" w:eastAsia="宋体" w:cs="Times New Roman"/>
                <w:color w:val="000000" w:themeColor="text1"/>
                <w:sz w:val="24"/>
                <w:highlight w:val="none"/>
                <w14:textFill>
                  <w14:solidFill>
                    <w14:schemeClr w14:val="tx1"/>
                  </w14:solidFill>
                </w14:textFill>
              </w:rPr>
              <w:t>事故应急池</w:t>
            </w:r>
            <w:r>
              <w:rPr>
                <w:rFonts w:hint="eastAsia" w:ascii="Times New Roman" w:hAnsi="Times New Roman" w:eastAsia="宋体" w:cs="Times New Roman"/>
                <w:color w:val="000000" w:themeColor="text1"/>
                <w:sz w:val="24"/>
                <w:highlight w:val="none"/>
                <w14:textFill>
                  <w14:solidFill>
                    <w14:schemeClr w14:val="tx1"/>
                  </w14:solidFill>
                </w14:textFill>
              </w:rPr>
              <w:t>方案</w:t>
            </w:r>
            <w:r>
              <w:rPr>
                <w:rFonts w:ascii="Times New Roman" w:hAnsi="Times New Roman" w:eastAsia="宋体" w:cs="Times New Roman"/>
                <w:color w:val="000000" w:themeColor="text1"/>
                <w:sz w:val="24"/>
                <w:highlight w:val="none"/>
                <w14:textFill>
                  <w14:solidFill>
                    <w14:schemeClr w14:val="tx1"/>
                  </w14:solidFill>
                </w14:textFill>
              </w:rPr>
              <w:t>可行</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w:t>
            </w:r>
          </w:p>
          <w:p>
            <w:pPr>
              <w:keepNext w:val="0"/>
              <w:keepLines w:val="0"/>
              <w:suppressLineNumbers w:val="0"/>
              <w:tabs>
                <w:tab w:val="left" w:pos="600"/>
              </w:tabs>
              <w:adjustRightInd w:val="0"/>
              <w:snapToGrid w:val="0"/>
              <w:spacing w:before="0" w:beforeAutospacing="0" w:after="0" w:afterAutospacing="0" w:line="500" w:lineRule="exact"/>
              <w:ind w:left="0" w:right="0" w:firstLine="480" w:firstLineChars="200"/>
              <w:jc w:val="left"/>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同时，根据《关于印发&lt;省生态环境厅关于做好安全生产专项整治工作实施方案&gt;的通知》（苏环办</w:t>
            </w:r>
            <w:r>
              <w:rPr>
                <w:rFonts w:ascii="Times New Roman" w:hAnsi="Times New Roman" w:eastAsia="宋体" w:cs="Times New Roman"/>
                <w:color w:val="000000" w:themeColor="text1"/>
                <w:sz w:val="24"/>
                <w:highlight w:val="none"/>
                <w14:textFill>
                  <w14:solidFill>
                    <w14:schemeClr w14:val="tx1"/>
                  </w14:solidFill>
                </w14:textFill>
              </w:rPr>
              <w:t>〔2020〕</w:t>
            </w:r>
            <w:r>
              <w:rPr>
                <w:rFonts w:hint="eastAsia" w:ascii="Times New Roman" w:hAnsi="Times New Roman" w:eastAsia="宋体" w:cs="Times New Roman"/>
                <w:color w:val="000000" w:themeColor="text1"/>
                <w:sz w:val="24"/>
                <w:highlight w:val="none"/>
                <w14:textFill>
                  <w14:solidFill>
                    <w14:schemeClr w14:val="tx1"/>
                  </w14:solidFill>
                </w14:textFill>
              </w:rPr>
              <w:t>16号）、《关于做好生态环境和应急管理部门联动工作的意见》（苏环办</w:t>
            </w:r>
            <w:r>
              <w:rPr>
                <w:rFonts w:ascii="Times New Roman" w:hAnsi="Times New Roman" w:eastAsia="宋体" w:cs="Times New Roman"/>
                <w:color w:val="000000" w:themeColor="text1"/>
                <w:sz w:val="24"/>
                <w:highlight w:val="none"/>
                <w14:textFill>
                  <w14:solidFill>
                    <w14:schemeClr w14:val="tx1"/>
                  </w14:solidFill>
                </w14:textFill>
              </w:rPr>
              <w:t>〔2020〕</w:t>
            </w:r>
            <w:r>
              <w:rPr>
                <w:rFonts w:hint="eastAsia" w:ascii="Times New Roman" w:hAnsi="Times New Roman" w:eastAsia="宋体" w:cs="Times New Roman"/>
                <w:color w:val="000000" w:themeColor="text1"/>
                <w:sz w:val="24"/>
                <w:highlight w:val="none"/>
                <w14:textFill>
                  <w14:solidFill>
                    <w14:schemeClr w14:val="tx1"/>
                  </w14:solidFill>
                </w14:textFill>
              </w:rPr>
              <w:t>101号），</w:t>
            </w:r>
            <w:r>
              <w:rPr>
                <w:rFonts w:ascii="Times New Roman" w:hAnsi="Times New Roman" w:eastAsia="宋体" w:cs="Times New Roman"/>
                <w:color w:val="000000" w:themeColor="text1"/>
                <w:sz w:val="24"/>
                <w:highlight w:val="none"/>
                <w14:textFill>
                  <w14:solidFill>
                    <w14:schemeClr w14:val="tx1"/>
                  </w14:solidFill>
                </w14:textFill>
              </w:rPr>
              <w:t>建设单位拟采取以下风险防范及应急措施：</w:t>
            </w:r>
          </w:p>
          <w:p>
            <w:pPr>
              <w:keepNext w:val="0"/>
              <w:keepLines w:val="0"/>
              <w:suppressLineNumbers w:val="0"/>
              <w:tabs>
                <w:tab w:val="left" w:pos="600"/>
              </w:tabs>
              <w:adjustRightInd w:val="0"/>
              <w:snapToGrid w:val="0"/>
              <w:spacing w:before="0" w:beforeAutospacing="0" w:after="0" w:afterAutospacing="0" w:line="500" w:lineRule="exact"/>
              <w:ind w:left="0" w:right="0" w:firstLine="480" w:firstLineChars="20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①</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建设单位</w:t>
            </w:r>
            <w:r>
              <w:rPr>
                <w:rFonts w:ascii="Times New Roman" w:hAnsi="Times New Roman" w:eastAsia="宋体" w:cs="Times New Roman"/>
                <w:color w:val="000000" w:themeColor="text1"/>
                <w:sz w:val="24"/>
                <w:highlight w:val="none"/>
                <w14:textFill>
                  <w14:solidFill>
                    <w14:schemeClr w14:val="tx1"/>
                  </w14:solidFill>
                </w14:textFill>
              </w:rPr>
              <w:t>法定代表人和实际控制人是</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建设单位</w:t>
            </w:r>
            <w:r>
              <w:rPr>
                <w:rFonts w:ascii="Times New Roman" w:hAnsi="Times New Roman" w:eastAsia="宋体" w:cs="Times New Roman"/>
                <w:color w:val="000000" w:themeColor="text1"/>
                <w:sz w:val="24"/>
                <w:highlight w:val="none"/>
                <w14:textFill>
                  <w14:solidFill>
                    <w14:schemeClr w14:val="tx1"/>
                  </w14:solidFill>
                </w14:textFill>
              </w:rPr>
              <w:t>废弃危险化学品等危险废物安全环保全过程管理的第一责任人。</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建设单位</w:t>
            </w:r>
            <w:r>
              <w:rPr>
                <w:rFonts w:ascii="Times New Roman" w:hAnsi="Times New Roman" w:eastAsia="宋体" w:cs="Times New Roman"/>
                <w:color w:val="000000" w:themeColor="text1"/>
                <w:sz w:val="24"/>
                <w:highlight w:val="none"/>
                <w14:textFill>
                  <w14:solidFill>
                    <w14:schemeClr w14:val="tx1"/>
                  </w14:solidFill>
                </w14:textFill>
              </w:rPr>
              <w:t>要切实履行好从危险废物产生、收集、贮存、运输、利用、处置等环节各项环保和安全职责；要制定危险废物管理计划并报属地生态环境部门备案。申请备案时，对废弃危险化学品、物理危险性尚不确定、根据相关文件无法认定达到稳定化要求的，要提供有资质单位出具的化学品物理危险性报告及其他证明材料，认定达到稳定化要求。</w:t>
            </w:r>
          </w:p>
          <w:p>
            <w:pPr>
              <w:pStyle w:val="4"/>
              <w:pageBreakBefore w:val="0"/>
              <w:widowControl w:val="0"/>
              <w:kinsoku/>
              <w:wordWrap/>
              <w:overflowPunct/>
              <w:topLinePunct w:val="0"/>
              <w:autoSpaceDE/>
              <w:autoSpaceDN/>
              <w:bidi w:val="0"/>
              <w:spacing w:before="0" w:after="0" w:line="500" w:lineRule="exact"/>
              <w:ind w:firstLine="480" w:firstLineChars="200"/>
              <w:textAlignment w:val="auto"/>
              <w:rPr>
                <w:rFonts w:hint="default"/>
                <w:b w:val="0"/>
                <w:bCs w:val="0"/>
                <w:color w:val="auto"/>
                <w:sz w:val="24"/>
                <w:highlight w:val="none"/>
                <w:lang w:val="en-US" w:eastAsia="zh-CN"/>
              </w:rPr>
            </w:pPr>
            <w:r>
              <w:rPr>
                <w:rFonts w:ascii="Times New Roman" w:hAnsi="Times New Roman" w:eastAsia="宋体" w:cs="Times New Roman"/>
                <w:b w:val="0"/>
                <w:bCs w:val="0"/>
                <w:color w:val="000000" w:themeColor="text1"/>
                <w:sz w:val="24"/>
                <w:highlight w:val="none"/>
                <w14:textFill>
                  <w14:solidFill>
                    <w14:schemeClr w14:val="tx1"/>
                  </w14:solidFill>
                </w14:textFill>
              </w:rPr>
              <w:t>②</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建设单位</w:t>
            </w:r>
            <w:r>
              <w:rPr>
                <w:rFonts w:ascii="Times New Roman" w:hAnsi="Times New Roman" w:eastAsia="宋体" w:cs="Times New Roman"/>
                <w:b w:val="0"/>
                <w:bCs w:val="0"/>
                <w:color w:val="000000" w:themeColor="text1"/>
                <w:sz w:val="24"/>
                <w:highlight w:val="none"/>
                <w14:textFill>
                  <w14:solidFill>
                    <w14:schemeClr w14:val="tx1"/>
                  </w14:solidFill>
                </w14:textFill>
              </w:rPr>
              <w:t>是各类环境治理设施建设、运行、维护、拆除的责任主体。</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建设单位</w:t>
            </w:r>
            <w:r>
              <w:rPr>
                <w:rFonts w:ascii="Times New Roman" w:hAnsi="Times New Roman" w:eastAsia="宋体" w:cs="Times New Roman"/>
                <w:b w:val="0"/>
                <w:bCs w:val="0"/>
                <w:color w:val="000000" w:themeColor="text1"/>
                <w:sz w:val="24"/>
                <w:highlight w:val="none"/>
                <w14:textFill>
                  <w14:solidFill>
                    <w14:schemeClr w14:val="tx1"/>
                  </w14:solidFill>
                </w14:textFill>
              </w:rPr>
              <w:t>要对挥发性有机物</w:t>
            </w:r>
            <w:r>
              <w:rPr>
                <w:rFonts w:hint="eastAsia" w:ascii="Times New Roman" w:hAnsi="Times New Roman" w:eastAsia="宋体" w:cs="Times New Roman"/>
                <w:b w:val="0"/>
                <w:bCs w:val="0"/>
                <w:color w:val="000000" w:themeColor="text1"/>
                <w:sz w:val="24"/>
                <w:highlight w:val="none"/>
                <w14:textFill>
                  <w14:solidFill>
                    <w14:schemeClr w14:val="tx1"/>
                  </w14:solidFill>
                </w14:textFill>
              </w:rPr>
              <w:t>治理、污水处理等环境治理设施开展安全风险辨识管控，健全内部污染防治设施稳定运行和管理责任制度，严格依据标准规范建设环境治理设施，环境治理设施要经安全论证（评价、评估）、正规设计和施工，并作为环境治理设施投入运行的必备条件，确保环境治理设施安全、稳定、有效运行</w:t>
            </w:r>
            <w:r>
              <w:rPr>
                <w:rFonts w:hint="eastAsia"/>
                <w:b w:val="0"/>
                <w:bCs w:val="0"/>
                <w:color w:val="auto"/>
                <w:sz w:val="24"/>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rPr>
                <w:rFonts w:hint="default" w:cs="Times New Roman"/>
                <w:b/>
                <w:bCs/>
                <w:sz w:val="24"/>
                <w:szCs w:val="24"/>
                <w:lang w:val="en-US" w:eastAsia="zh-CN"/>
              </w:rPr>
            </w:pPr>
            <w:r>
              <w:rPr>
                <w:rFonts w:hint="eastAsia" w:cs="Times New Roman"/>
                <w:b/>
                <w:bCs/>
                <w:sz w:val="24"/>
                <w:szCs w:val="24"/>
                <w:lang w:val="en-US" w:eastAsia="zh-CN"/>
              </w:rPr>
              <w:t>（5）风险结论</w:t>
            </w:r>
          </w:p>
          <w:p>
            <w:pPr>
              <w:pStyle w:val="24"/>
              <w:spacing w:line="500" w:lineRule="exact"/>
              <w:ind w:firstLine="482"/>
              <w:rPr>
                <w:rFonts w:hint="eastAsia" w:ascii="Times New Roman" w:hAnsi="Times New Roman" w:cs="Times New Roman" w:eastAsiaTheme="majorEastAsia"/>
                <w:b w:val="0"/>
                <w:bCs w:val="0"/>
                <w:color w:val="auto"/>
                <w:kern w:val="2"/>
                <w:sz w:val="24"/>
                <w:szCs w:val="32"/>
                <w:highlight w:val="none"/>
                <w:lang w:val="en-US" w:eastAsia="zh-CN" w:bidi="ar-SA"/>
              </w:rPr>
            </w:pPr>
            <w:r>
              <w:rPr>
                <w:rFonts w:hint="eastAsia" w:ascii="Times New Roman" w:hAnsi="Times New Roman" w:cs="Times New Roman" w:eastAsiaTheme="majorEastAsia"/>
                <w:b w:val="0"/>
                <w:bCs w:val="0"/>
                <w:color w:val="auto"/>
                <w:kern w:val="2"/>
                <w:sz w:val="24"/>
                <w:szCs w:val="32"/>
                <w:highlight w:val="none"/>
                <w:lang w:val="en-US" w:eastAsia="zh-CN" w:bidi="ar-SA"/>
              </w:rPr>
              <w:t>在各环境风险防范措施落实到位的情况下，可降低建设项目的环境风险，最大程度减少对环境可能造成的危害，本项目对环境的风险影响可接受。</w:t>
            </w:r>
          </w:p>
          <w:p>
            <w:pPr>
              <w:pStyle w:val="24"/>
              <w:spacing w:line="500" w:lineRule="exact"/>
              <w:ind w:firstLine="482"/>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7、“三同时”验收监测方案和环境应急监测方案</w:t>
            </w:r>
          </w:p>
          <w:p>
            <w:pPr>
              <w:pStyle w:val="24"/>
              <w:spacing w:line="500" w:lineRule="exact"/>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（1）“三同时”验收监测一览表</w:t>
            </w:r>
          </w:p>
          <w:p>
            <w:pPr>
              <w:pStyle w:val="24"/>
              <w:spacing w:line="500" w:lineRule="exact"/>
              <w:ind w:firstLine="480"/>
              <w:rPr>
                <w:rFonts w:ascii="Times New Roman" w:hAnsi="Times New Roman" w:eastAsia="宋体" w:cs="Times New Roman"/>
                <w:b/>
                <w:bCs/>
                <w:color w:val="000000"/>
                <w:sz w:val="24"/>
                <w:szCs w:val="24"/>
              </w:rPr>
            </w:pPr>
            <w:r>
              <w:rPr>
                <w:rFonts w:ascii="Times New Roman" w:hAnsi="Times New Roman" w:eastAsia="宋体" w:cs="Times New Roman"/>
                <w:color w:val="000000"/>
                <w:sz w:val="24"/>
                <w:szCs w:val="24"/>
              </w:rPr>
              <w:t>本项目“三同时”验收监测一览表，具体见下表。</w:t>
            </w:r>
          </w:p>
          <w:p>
            <w:pPr>
              <w:pStyle w:val="24"/>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表4-</w:t>
            </w:r>
            <w:r>
              <w:rPr>
                <w:rFonts w:hint="eastAsia" w:ascii="Times New Roman" w:hAnsi="Times New Roman" w:eastAsia="宋体" w:cs="Times New Roman"/>
                <w:b/>
                <w:bCs/>
                <w:color w:val="000000"/>
                <w:sz w:val="24"/>
                <w:szCs w:val="24"/>
                <w:lang w:val="en-US" w:eastAsia="zh-CN"/>
              </w:rPr>
              <w:t>3</w:t>
            </w:r>
            <w:r>
              <w:rPr>
                <w:rFonts w:hint="eastAsia" w:eastAsia="宋体" w:cs="Times New Roman"/>
                <w:b/>
                <w:bCs/>
                <w:color w:val="000000"/>
                <w:sz w:val="24"/>
                <w:szCs w:val="24"/>
                <w:lang w:val="en-US" w:eastAsia="zh-CN"/>
              </w:rPr>
              <w:t>4</w:t>
            </w:r>
            <w:r>
              <w:rPr>
                <w:rFonts w:ascii="Times New Roman" w:hAnsi="Times New Roman" w:eastAsia="宋体" w:cs="Times New Roman"/>
                <w:b/>
                <w:bCs/>
                <w:color w:val="000000"/>
                <w:sz w:val="24"/>
                <w:szCs w:val="24"/>
              </w:rPr>
              <w:t xml:space="preserve">  “三同时”验收监测一览表</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1678"/>
              <w:gridCol w:w="3504"/>
              <w:gridCol w:w="23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vAlign w:val="center"/>
                </w:tcPr>
                <w:p>
                  <w:pPr>
                    <w:ind w:firstLine="0" w:firstLineChars="0"/>
                    <w:jc w:val="center"/>
                    <w:rPr>
                      <w:rFonts w:hint="default" w:eastAsia="宋体"/>
                      <w:b/>
                      <w:bCs/>
                      <w:vertAlign w:val="baseline"/>
                      <w:lang w:val="en-US" w:eastAsia="zh-CN"/>
                    </w:rPr>
                  </w:pPr>
                  <w:r>
                    <w:rPr>
                      <w:rFonts w:hint="eastAsia"/>
                      <w:b/>
                      <w:bCs/>
                      <w:vertAlign w:val="baseline"/>
                      <w:lang w:val="en-US" w:eastAsia="zh-CN"/>
                    </w:rPr>
                    <w:t>污染源</w:t>
                  </w:r>
                </w:p>
              </w:tc>
              <w:tc>
                <w:tcPr>
                  <w:tcW w:w="1678" w:type="dxa"/>
                  <w:vAlign w:val="center"/>
                </w:tcPr>
                <w:p>
                  <w:pPr>
                    <w:ind w:left="0" w:leftChars="0" w:right="0" w:rightChars="0" w:firstLine="0" w:firstLineChars="0"/>
                    <w:jc w:val="center"/>
                    <w:rPr>
                      <w:rFonts w:hint="default" w:eastAsia="宋体"/>
                      <w:b/>
                      <w:bCs/>
                      <w:vertAlign w:val="baseline"/>
                      <w:lang w:val="en-US" w:eastAsia="zh-CN"/>
                    </w:rPr>
                  </w:pPr>
                  <w:r>
                    <w:rPr>
                      <w:rFonts w:hint="eastAsia"/>
                      <w:b/>
                      <w:bCs/>
                      <w:vertAlign w:val="baseline"/>
                      <w:lang w:val="en-US" w:eastAsia="zh-CN"/>
                    </w:rPr>
                    <w:t>环保设施名称</w:t>
                  </w:r>
                </w:p>
              </w:tc>
              <w:tc>
                <w:tcPr>
                  <w:tcW w:w="3504" w:type="dxa"/>
                  <w:vAlign w:val="center"/>
                </w:tcPr>
                <w:p>
                  <w:pPr>
                    <w:jc w:val="center"/>
                    <w:rPr>
                      <w:rFonts w:hint="default" w:eastAsia="宋体"/>
                      <w:b/>
                      <w:bCs/>
                      <w:vertAlign w:val="baseline"/>
                      <w:lang w:val="en-US" w:eastAsia="zh-CN"/>
                    </w:rPr>
                  </w:pPr>
                  <w:r>
                    <w:rPr>
                      <w:rFonts w:hint="eastAsia"/>
                      <w:b/>
                      <w:bCs/>
                      <w:vertAlign w:val="baseline"/>
                      <w:lang w:val="en-US" w:eastAsia="zh-CN"/>
                    </w:rPr>
                    <w:t>监测因子</w:t>
                  </w:r>
                </w:p>
              </w:tc>
              <w:tc>
                <w:tcPr>
                  <w:tcW w:w="2305" w:type="dxa"/>
                  <w:vAlign w:val="center"/>
                </w:tcPr>
                <w:p>
                  <w:pPr>
                    <w:ind w:firstLine="0" w:firstLineChars="0"/>
                    <w:jc w:val="center"/>
                    <w:rPr>
                      <w:rFonts w:hint="default" w:eastAsia="宋体"/>
                      <w:b/>
                      <w:bCs/>
                      <w:vertAlign w:val="baseline"/>
                      <w:lang w:val="en-US" w:eastAsia="zh-CN"/>
                    </w:rPr>
                  </w:pPr>
                  <w:r>
                    <w:rPr>
                      <w:rFonts w:hint="eastAsia"/>
                      <w:b/>
                      <w:bCs/>
                      <w:vertAlign w:val="baseline"/>
                      <w:lang w:val="en-US" w:eastAsia="zh-CN"/>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vMerge w:val="restart"/>
                  <w:vAlign w:val="center"/>
                </w:tcPr>
                <w:p>
                  <w:pPr>
                    <w:ind w:left="0" w:leftChars="0" w:right="0" w:rightChars="0" w:firstLine="0" w:firstLineChars="0"/>
                    <w:jc w:val="center"/>
                    <w:rPr>
                      <w:rFonts w:hint="eastAsia" w:eastAsia="宋体"/>
                      <w:vertAlign w:val="baseline"/>
                      <w:lang w:val="en-US" w:eastAsia="zh-CN"/>
                    </w:rPr>
                  </w:pPr>
                  <w:r>
                    <w:rPr>
                      <w:rFonts w:hint="eastAsia"/>
                      <w:vertAlign w:val="baseline"/>
                      <w:lang w:val="en-US" w:eastAsia="zh-CN"/>
                    </w:rPr>
                    <w:t>废气</w:t>
                  </w:r>
                </w:p>
              </w:tc>
              <w:tc>
                <w:tcPr>
                  <w:tcW w:w="1678" w:type="dxa"/>
                  <w:vAlign w:val="center"/>
                </w:tcPr>
                <w:p>
                  <w:pPr>
                    <w:ind w:left="0" w:leftChars="0" w:right="0" w:rightChars="0" w:firstLine="0" w:firstLineChars="0"/>
                    <w:jc w:val="center"/>
                    <w:rPr>
                      <w:rFonts w:hint="default" w:eastAsia="宋体"/>
                      <w:vertAlign w:val="baseline"/>
                      <w:lang w:val="en-US" w:eastAsia="zh-CN"/>
                    </w:rPr>
                  </w:pPr>
                  <w:r>
                    <w:rPr>
                      <w:rFonts w:hint="eastAsia"/>
                      <w:vertAlign w:val="baseline"/>
                      <w:lang w:val="en-US" w:eastAsia="zh-CN"/>
                    </w:rPr>
                    <w:t>1#排气筒</w:t>
                  </w:r>
                </w:p>
              </w:tc>
              <w:tc>
                <w:tcPr>
                  <w:tcW w:w="3504" w:type="dxa"/>
                  <w:vAlign w:val="center"/>
                </w:tcPr>
                <w:p>
                  <w:pPr>
                    <w:ind w:left="0" w:leftChars="0" w:right="0" w:rightChars="0" w:firstLine="0" w:firstLineChars="0"/>
                    <w:jc w:val="center"/>
                    <w:rPr>
                      <w:rFonts w:hint="default" w:eastAsia="宋体"/>
                      <w:vertAlign w:val="baseline"/>
                      <w:lang w:val="en-US" w:eastAsia="zh-CN"/>
                    </w:rPr>
                  </w:pPr>
                  <w:r>
                    <w:rPr>
                      <w:rFonts w:hint="eastAsia" w:eastAsia="宋体"/>
                      <w:vertAlign w:val="baseline"/>
                      <w:lang w:val="en-US" w:eastAsia="zh-CN"/>
                    </w:rPr>
                    <w:t>非甲烷总烃</w:t>
                  </w:r>
                </w:p>
              </w:tc>
              <w:tc>
                <w:tcPr>
                  <w:tcW w:w="2305" w:type="dxa"/>
                  <w:vMerge w:val="restart"/>
                  <w:vAlign w:val="center"/>
                </w:tcPr>
                <w:p>
                  <w:pPr>
                    <w:ind w:left="0" w:leftChars="0" w:right="0" w:rightChars="0" w:firstLine="0" w:firstLineChars="0"/>
                    <w:jc w:val="center"/>
                    <w:rPr>
                      <w:rFonts w:hint="default" w:eastAsia="宋体"/>
                      <w:vertAlign w:val="baseline"/>
                      <w:lang w:val="en-US" w:eastAsia="zh-CN"/>
                    </w:rPr>
                  </w:pPr>
                  <w:r>
                    <w:rPr>
                      <w:rFonts w:hint="eastAsia" w:eastAsia="宋体"/>
                      <w:vertAlign w:val="baseline"/>
                      <w:lang w:val="en-US" w:eastAsia="zh-CN"/>
                    </w:rPr>
                    <w:t>3次/天，2天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vMerge w:val="continue"/>
                  <w:vAlign w:val="center"/>
                </w:tcPr>
                <w:p>
                  <w:pPr>
                    <w:ind w:left="0" w:leftChars="0" w:right="0" w:rightChars="0" w:firstLine="0" w:firstLineChars="0"/>
                    <w:jc w:val="center"/>
                    <w:rPr>
                      <w:rFonts w:hint="eastAsia"/>
                      <w:vertAlign w:val="baseline"/>
                      <w:lang w:val="en-US" w:eastAsia="zh-CN"/>
                    </w:rPr>
                  </w:pPr>
                </w:p>
              </w:tc>
              <w:tc>
                <w:tcPr>
                  <w:tcW w:w="1678" w:type="dxa"/>
                  <w:vAlign w:val="center"/>
                </w:tcPr>
                <w:p>
                  <w:pPr>
                    <w:ind w:left="0" w:leftChars="0" w:right="0" w:rightChars="0" w:firstLine="0" w:firstLineChars="0"/>
                    <w:jc w:val="center"/>
                    <w:rPr>
                      <w:rFonts w:hint="default"/>
                      <w:vertAlign w:val="baseline"/>
                      <w:lang w:val="en-US" w:eastAsia="zh-CN"/>
                    </w:rPr>
                  </w:pPr>
                  <w:r>
                    <w:rPr>
                      <w:rFonts w:hint="eastAsia"/>
                      <w:vertAlign w:val="baseline"/>
                      <w:lang w:val="en-US" w:eastAsia="zh-CN"/>
                    </w:rPr>
                    <w:t>2#排气筒</w:t>
                  </w:r>
                </w:p>
              </w:tc>
              <w:tc>
                <w:tcPr>
                  <w:tcW w:w="3504" w:type="dxa"/>
                  <w:vAlign w:val="center"/>
                </w:tcPr>
                <w:p>
                  <w:pPr>
                    <w:ind w:left="0" w:leftChars="0" w:right="0" w:rightChars="0" w:firstLine="0" w:firstLineChars="0"/>
                    <w:jc w:val="center"/>
                    <w:rPr>
                      <w:rFonts w:hint="default"/>
                      <w:vertAlign w:val="baseline"/>
                      <w:lang w:val="en-US" w:eastAsia="zh-CN"/>
                    </w:rPr>
                  </w:pPr>
                  <w:r>
                    <w:rPr>
                      <w:rFonts w:hint="eastAsia"/>
                      <w:vertAlign w:val="baseline"/>
                      <w:lang w:val="en-US" w:eastAsia="zh-CN"/>
                    </w:rPr>
                    <w:t>颗粒物</w:t>
                  </w:r>
                </w:p>
              </w:tc>
              <w:tc>
                <w:tcPr>
                  <w:tcW w:w="2305" w:type="dxa"/>
                  <w:vMerge w:val="continue"/>
                  <w:vAlign w:val="center"/>
                </w:tcPr>
                <w:p>
                  <w:pPr>
                    <w:ind w:left="0" w:leftChars="0" w:right="0" w:rightChars="0" w:firstLine="0" w:firstLineChars="0"/>
                    <w:jc w:val="center"/>
                    <w:rPr>
                      <w:rFonts w:hint="eastAsia"/>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vMerge w:val="continue"/>
                  <w:vAlign w:val="center"/>
                </w:tcPr>
                <w:p>
                  <w:pPr>
                    <w:ind w:left="0" w:leftChars="0" w:right="0" w:rightChars="0" w:firstLine="0" w:firstLineChars="0"/>
                    <w:jc w:val="center"/>
                    <w:rPr>
                      <w:vertAlign w:val="baseline"/>
                    </w:rPr>
                  </w:pPr>
                </w:p>
              </w:tc>
              <w:tc>
                <w:tcPr>
                  <w:tcW w:w="1678" w:type="dxa"/>
                  <w:vAlign w:val="center"/>
                </w:tcPr>
                <w:p>
                  <w:pPr>
                    <w:ind w:left="0" w:leftChars="0" w:right="0" w:rightChars="0" w:firstLine="0" w:firstLineChars="0"/>
                    <w:jc w:val="center"/>
                    <w:rPr>
                      <w:rFonts w:hint="eastAsia" w:eastAsia="宋体"/>
                      <w:vertAlign w:val="baseline"/>
                      <w:lang w:val="en-US" w:eastAsia="zh-CN"/>
                    </w:rPr>
                  </w:pPr>
                  <w:r>
                    <w:rPr>
                      <w:rFonts w:hint="eastAsia"/>
                      <w:vertAlign w:val="baseline"/>
                      <w:lang w:val="en-US" w:eastAsia="zh-CN"/>
                    </w:rPr>
                    <w:t>厂界</w:t>
                  </w:r>
                </w:p>
              </w:tc>
              <w:tc>
                <w:tcPr>
                  <w:tcW w:w="3504" w:type="dxa"/>
                  <w:vAlign w:val="center"/>
                </w:tcPr>
                <w:p>
                  <w:pPr>
                    <w:ind w:left="0" w:leftChars="0" w:right="0" w:rightChars="0" w:firstLine="0" w:firstLineChars="0"/>
                    <w:jc w:val="center"/>
                    <w:rPr>
                      <w:rFonts w:hint="default" w:eastAsia="宋体"/>
                      <w:vertAlign w:val="baseline"/>
                      <w:lang w:val="en-US" w:eastAsia="zh-CN"/>
                    </w:rPr>
                  </w:pPr>
                  <w:r>
                    <w:rPr>
                      <w:rFonts w:hint="eastAsia"/>
                      <w:vertAlign w:val="baseline"/>
                      <w:lang w:val="en-US" w:eastAsia="zh-CN"/>
                    </w:rPr>
                    <w:t>非甲烷总烃、颗粒物</w:t>
                  </w:r>
                </w:p>
              </w:tc>
              <w:tc>
                <w:tcPr>
                  <w:tcW w:w="2305" w:type="dxa"/>
                  <w:vMerge w:val="continue"/>
                  <w:vAlign w:val="center"/>
                </w:tcPr>
                <w:p>
                  <w:pPr>
                    <w:ind w:left="0" w:leftChars="0" w:right="0" w:rightChars="0" w:firstLine="0" w:firstLineChars="0"/>
                    <w:jc w:val="center"/>
                    <w:rPr>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vMerge w:val="continue"/>
                  <w:vAlign w:val="center"/>
                </w:tcPr>
                <w:p>
                  <w:pPr>
                    <w:ind w:left="0" w:leftChars="0" w:right="0" w:rightChars="0" w:firstLine="0" w:firstLineChars="0"/>
                    <w:jc w:val="center"/>
                    <w:rPr>
                      <w:vertAlign w:val="baseline"/>
                    </w:rPr>
                  </w:pPr>
                </w:p>
              </w:tc>
              <w:tc>
                <w:tcPr>
                  <w:tcW w:w="1678" w:type="dxa"/>
                  <w:vAlign w:val="center"/>
                </w:tcPr>
                <w:p>
                  <w:pPr>
                    <w:ind w:left="0" w:leftChars="0" w:right="0" w:rightChars="0" w:firstLine="0" w:firstLineChars="0"/>
                    <w:jc w:val="center"/>
                    <w:rPr>
                      <w:rFonts w:hint="default" w:eastAsia="宋体"/>
                      <w:vertAlign w:val="baseline"/>
                      <w:lang w:val="en-US" w:eastAsia="zh-CN"/>
                    </w:rPr>
                  </w:pPr>
                  <w:r>
                    <w:rPr>
                      <w:rFonts w:hint="eastAsia"/>
                      <w:vertAlign w:val="baseline"/>
                      <w:lang w:val="en-US" w:eastAsia="zh-CN"/>
                    </w:rPr>
                    <w:t>厂区内</w:t>
                  </w:r>
                </w:p>
              </w:tc>
              <w:tc>
                <w:tcPr>
                  <w:tcW w:w="3504" w:type="dxa"/>
                  <w:vAlign w:val="center"/>
                </w:tcPr>
                <w:p>
                  <w:pPr>
                    <w:ind w:left="0" w:leftChars="0" w:right="0" w:rightChars="0" w:firstLine="0" w:firstLineChars="0"/>
                    <w:jc w:val="center"/>
                    <w:rPr>
                      <w:rFonts w:hint="default" w:eastAsia="宋体"/>
                      <w:vertAlign w:val="baseline"/>
                      <w:lang w:val="en-US" w:eastAsia="zh-CN"/>
                    </w:rPr>
                  </w:pPr>
                  <w:r>
                    <w:rPr>
                      <w:rFonts w:hint="eastAsia"/>
                      <w:vertAlign w:val="baseline"/>
                      <w:lang w:val="en-US" w:eastAsia="zh-CN"/>
                    </w:rPr>
                    <w:t>非甲烷总烃</w:t>
                  </w:r>
                </w:p>
              </w:tc>
              <w:tc>
                <w:tcPr>
                  <w:tcW w:w="2305" w:type="dxa"/>
                  <w:vMerge w:val="continue"/>
                  <w:vAlign w:val="center"/>
                </w:tcPr>
                <w:p>
                  <w:pPr>
                    <w:ind w:left="0" w:leftChars="0" w:right="0" w:rightChars="0" w:firstLine="0" w:firstLineChars="0"/>
                    <w:jc w:val="center"/>
                    <w:rPr>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vMerge w:val="restart"/>
                  <w:vAlign w:val="center"/>
                </w:tcPr>
                <w:p>
                  <w:pPr>
                    <w:ind w:left="0" w:leftChars="0" w:right="0" w:rightChars="0" w:firstLine="0" w:firstLineChars="0"/>
                    <w:jc w:val="center"/>
                    <w:rPr>
                      <w:rFonts w:hint="eastAsia" w:eastAsia="宋体"/>
                      <w:vertAlign w:val="baseline"/>
                      <w:lang w:val="en-US" w:eastAsia="zh-CN"/>
                    </w:rPr>
                  </w:pPr>
                  <w:r>
                    <w:rPr>
                      <w:rFonts w:hint="eastAsia"/>
                      <w:vertAlign w:val="baseline"/>
                      <w:lang w:val="en-US" w:eastAsia="zh-CN"/>
                    </w:rPr>
                    <w:t>废水</w:t>
                  </w:r>
                </w:p>
              </w:tc>
              <w:tc>
                <w:tcPr>
                  <w:tcW w:w="1678" w:type="dxa"/>
                  <w:vAlign w:val="center"/>
                </w:tcPr>
                <w:p>
                  <w:pPr>
                    <w:ind w:left="0" w:leftChars="0" w:right="0" w:rightChars="0" w:firstLine="0" w:firstLineChars="0"/>
                    <w:jc w:val="center"/>
                    <w:rPr>
                      <w:rFonts w:hint="default" w:eastAsia="宋体"/>
                      <w:vertAlign w:val="baseline"/>
                      <w:lang w:val="en-US" w:eastAsia="zh-CN"/>
                    </w:rPr>
                  </w:pPr>
                  <w:r>
                    <w:rPr>
                      <w:rFonts w:hint="eastAsia"/>
                      <w:vertAlign w:val="baseline"/>
                      <w:lang w:val="en-US" w:eastAsia="zh-CN"/>
                    </w:rPr>
                    <w:t>废水排污口</w:t>
                  </w:r>
                </w:p>
              </w:tc>
              <w:tc>
                <w:tcPr>
                  <w:tcW w:w="3504" w:type="dxa"/>
                  <w:vAlign w:val="center"/>
                </w:tcPr>
                <w:p>
                  <w:pPr>
                    <w:ind w:left="0" w:leftChars="0" w:right="0" w:rightChars="0" w:firstLine="0" w:firstLineChars="0"/>
                    <w:jc w:val="center"/>
                    <w:rPr>
                      <w:rFonts w:hint="default" w:eastAsia="宋体"/>
                      <w:vertAlign w:val="baseline"/>
                      <w:lang w:val="en-US" w:eastAsia="zh-CN"/>
                    </w:rPr>
                  </w:pPr>
                  <w:r>
                    <w:rPr>
                      <w:rFonts w:hint="eastAsia"/>
                      <w:vertAlign w:val="baseline"/>
                      <w:lang w:val="en-US" w:eastAsia="zh-CN"/>
                    </w:rPr>
                    <w:t>pH、COD、氨氮、总氮、总磷、SS</w:t>
                  </w:r>
                </w:p>
              </w:tc>
              <w:tc>
                <w:tcPr>
                  <w:tcW w:w="2305" w:type="dxa"/>
                  <w:vMerge w:val="restart"/>
                  <w:vAlign w:val="center"/>
                </w:tcPr>
                <w:p>
                  <w:pPr>
                    <w:ind w:left="0" w:leftChars="0" w:right="0" w:rightChars="0" w:firstLine="0" w:firstLineChars="0"/>
                    <w:jc w:val="center"/>
                    <w:rPr>
                      <w:rFonts w:hint="default" w:eastAsia="宋体"/>
                      <w:vertAlign w:val="baseline"/>
                      <w:lang w:val="en-US" w:eastAsia="zh-CN"/>
                    </w:rPr>
                  </w:pPr>
                  <w:r>
                    <w:rPr>
                      <w:rFonts w:hint="eastAsia"/>
                      <w:vertAlign w:val="baseline"/>
                      <w:lang w:val="en-US" w:eastAsia="zh-CN"/>
                    </w:rPr>
                    <w:t>4天/次，2天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vMerge w:val="continue"/>
                  <w:vAlign w:val="center"/>
                </w:tcPr>
                <w:p>
                  <w:pPr>
                    <w:ind w:left="0" w:leftChars="0" w:right="0" w:rightChars="0" w:firstLine="0" w:firstLineChars="0"/>
                    <w:jc w:val="center"/>
                    <w:rPr>
                      <w:vertAlign w:val="baseline"/>
                    </w:rPr>
                  </w:pPr>
                </w:p>
              </w:tc>
              <w:tc>
                <w:tcPr>
                  <w:tcW w:w="1678" w:type="dxa"/>
                  <w:vAlign w:val="center"/>
                </w:tcPr>
                <w:p>
                  <w:pPr>
                    <w:ind w:left="0" w:leftChars="0" w:right="0" w:rightChars="0" w:firstLine="0" w:firstLineChars="0"/>
                    <w:jc w:val="center"/>
                    <w:rPr>
                      <w:rFonts w:hint="default" w:eastAsia="宋体"/>
                      <w:vertAlign w:val="baseline"/>
                      <w:lang w:val="en-US" w:eastAsia="zh-CN"/>
                    </w:rPr>
                  </w:pPr>
                  <w:r>
                    <w:rPr>
                      <w:rFonts w:hint="eastAsia"/>
                      <w:vertAlign w:val="baseline"/>
                      <w:lang w:val="en-US" w:eastAsia="zh-CN"/>
                    </w:rPr>
                    <w:t>雨水排放口</w:t>
                  </w:r>
                </w:p>
              </w:tc>
              <w:tc>
                <w:tcPr>
                  <w:tcW w:w="3504" w:type="dxa"/>
                  <w:vAlign w:val="center"/>
                </w:tcPr>
                <w:p>
                  <w:pPr>
                    <w:ind w:left="0" w:leftChars="0" w:right="0" w:rightChars="0" w:firstLine="0" w:firstLineChars="0"/>
                    <w:jc w:val="center"/>
                    <w:rPr>
                      <w:rFonts w:hint="default" w:eastAsia="宋体"/>
                      <w:vertAlign w:val="baseline"/>
                      <w:lang w:val="en-US" w:eastAsia="zh-CN"/>
                    </w:rPr>
                  </w:pPr>
                  <w:r>
                    <w:rPr>
                      <w:rFonts w:hint="eastAsia"/>
                      <w:vertAlign w:val="baseline"/>
                      <w:lang w:val="en-US" w:eastAsia="zh-CN"/>
                    </w:rPr>
                    <w:t>COD、SS</w:t>
                  </w:r>
                </w:p>
              </w:tc>
              <w:tc>
                <w:tcPr>
                  <w:tcW w:w="2305" w:type="dxa"/>
                  <w:vMerge w:val="continue"/>
                  <w:vAlign w:val="center"/>
                </w:tcPr>
                <w:p>
                  <w:pPr>
                    <w:ind w:left="0" w:leftChars="0" w:right="0" w:rightChars="0" w:firstLine="0" w:firstLineChars="0"/>
                    <w:jc w:val="center"/>
                    <w:rPr>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vMerge w:val="restart"/>
                  <w:vAlign w:val="center"/>
                </w:tcPr>
                <w:p>
                  <w:pPr>
                    <w:jc w:val="center"/>
                    <w:rPr>
                      <w:rFonts w:hint="eastAsia"/>
                      <w:lang w:val="en-US" w:eastAsia="zh-CN"/>
                    </w:rPr>
                  </w:pPr>
                  <w:r>
                    <w:rPr>
                      <w:rFonts w:hint="eastAsia"/>
                      <w:lang w:val="en-US" w:eastAsia="zh-CN"/>
                    </w:rPr>
                    <w:t>固废</w:t>
                  </w:r>
                </w:p>
              </w:tc>
              <w:tc>
                <w:tcPr>
                  <w:tcW w:w="1678" w:type="dxa"/>
                  <w:vAlign w:val="center"/>
                </w:tcPr>
                <w:p>
                  <w:pPr>
                    <w:ind w:left="0" w:leftChars="0" w:right="0" w:rightChars="0" w:firstLine="0" w:firstLineChars="0"/>
                    <w:jc w:val="center"/>
                    <w:rPr>
                      <w:rFonts w:hint="default" w:eastAsia="宋体"/>
                      <w:vertAlign w:val="baseline"/>
                      <w:lang w:val="en-US" w:eastAsia="zh-CN"/>
                    </w:rPr>
                  </w:pPr>
                  <w:r>
                    <w:rPr>
                      <w:rFonts w:hint="eastAsia"/>
                      <w:vertAlign w:val="baseline"/>
                      <w:lang w:val="en-US" w:eastAsia="zh-CN"/>
                    </w:rPr>
                    <w:t>一般固废堆场</w:t>
                  </w:r>
                </w:p>
              </w:tc>
              <w:tc>
                <w:tcPr>
                  <w:tcW w:w="3504" w:type="dxa"/>
                  <w:vAlign w:val="center"/>
                </w:tcPr>
                <w:p>
                  <w:pPr>
                    <w:ind w:left="0" w:leftChars="0" w:right="0" w:rightChars="0" w:firstLine="0" w:firstLineChars="0"/>
                    <w:jc w:val="center"/>
                    <w:rPr>
                      <w:rFonts w:hint="default" w:eastAsia="宋体"/>
                      <w:vertAlign w:val="baseline"/>
                      <w:lang w:val="en-US" w:eastAsia="zh-CN"/>
                    </w:rPr>
                  </w:pPr>
                  <w:r>
                    <w:rPr>
                      <w:rFonts w:hint="eastAsia"/>
                      <w:vertAlign w:val="baseline"/>
                      <w:lang w:val="en-US" w:eastAsia="zh-CN"/>
                    </w:rPr>
                    <w:t>防风、防日晒、防雨淋、无渗漏</w:t>
                  </w:r>
                </w:p>
              </w:tc>
              <w:tc>
                <w:tcPr>
                  <w:tcW w:w="2305" w:type="dxa"/>
                  <w:vAlign w:val="center"/>
                </w:tcPr>
                <w:p>
                  <w:pPr>
                    <w:ind w:left="0" w:leftChars="0" w:right="0" w:rightChars="0" w:firstLine="0" w:firstLineChars="0"/>
                    <w:jc w:val="center"/>
                    <w:rPr>
                      <w:rFonts w:hint="eastAsia" w:eastAsia="宋体"/>
                      <w:vertAlign w:val="baseline"/>
                      <w:lang w:val="en-US" w:eastAsia="zh-CN"/>
                    </w:rPr>
                  </w:pPr>
                  <w:r>
                    <w:rPr>
                      <w:rFonts w:hint="eastAsia"/>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vMerge w:val="continue"/>
                  <w:vAlign w:val="center"/>
                </w:tcPr>
                <w:p>
                  <w:pPr>
                    <w:ind w:left="0" w:leftChars="0" w:right="0" w:rightChars="0" w:firstLine="0" w:firstLineChars="0"/>
                    <w:jc w:val="center"/>
                    <w:rPr>
                      <w:vertAlign w:val="baseline"/>
                    </w:rPr>
                  </w:pPr>
                </w:p>
              </w:tc>
              <w:tc>
                <w:tcPr>
                  <w:tcW w:w="1678" w:type="dxa"/>
                  <w:vAlign w:val="center"/>
                </w:tcPr>
                <w:p>
                  <w:pPr>
                    <w:ind w:firstLine="0" w:firstLineChars="0"/>
                    <w:jc w:val="center"/>
                    <w:rPr>
                      <w:rFonts w:hint="default" w:eastAsia="宋体"/>
                      <w:vertAlign w:val="baseline"/>
                      <w:lang w:val="en-US" w:eastAsia="zh-CN"/>
                    </w:rPr>
                  </w:pPr>
                  <w:r>
                    <w:rPr>
                      <w:rFonts w:hint="eastAsia"/>
                      <w:vertAlign w:val="baseline"/>
                      <w:lang w:val="en-US" w:eastAsia="zh-CN"/>
                    </w:rPr>
                    <w:t>危废贮存点</w:t>
                  </w:r>
                </w:p>
              </w:tc>
              <w:tc>
                <w:tcPr>
                  <w:tcW w:w="3504" w:type="dxa"/>
                  <w:vAlign w:val="center"/>
                </w:tcPr>
                <w:p>
                  <w:pPr>
                    <w:ind w:left="0" w:leftChars="0" w:right="0" w:rightChars="0" w:firstLine="0" w:firstLineChars="0"/>
                    <w:jc w:val="center"/>
                    <w:rPr>
                      <w:rFonts w:hint="default" w:eastAsia="宋体"/>
                      <w:vertAlign w:val="baseline"/>
                      <w:lang w:val="en-US" w:eastAsia="zh-CN"/>
                    </w:rPr>
                  </w:pPr>
                  <w:r>
                    <w:rPr>
                      <w:rFonts w:hint="eastAsia"/>
                      <w:vertAlign w:val="baseline"/>
                      <w:lang w:val="en-US" w:eastAsia="zh-CN"/>
                    </w:rPr>
                    <w:t>防风、防晒、防雨、防渗、防腐、有截流措施、有气体导出及处理设施等</w:t>
                  </w:r>
                </w:p>
              </w:tc>
              <w:tc>
                <w:tcPr>
                  <w:tcW w:w="2305" w:type="dxa"/>
                  <w:vAlign w:val="center"/>
                </w:tcPr>
                <w:p>
                  <w:pPr>
                    <w:ind w:firstLine="0" w:firstLineChars="0"/>
                    <w:jc w:val="center"/>
                    <w:rPr>
                      <w:rFonts w:hint="eastAsia" w:eastAsia="宋体"/>
                      <w:vertAlign w:val="baseline"/>
                      <w:lang w:val="en-US" w:eastAsia="zh-CN"/>
                    </w:rPr>
                  </w:pPr>
                  <w:r>
                    <w:rPr>
                      <w:rFonts w:hint="eastAsia"/>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vAlign w:val="center"/>
                </w:tcPr>
                <w:p>
                  <w:pPr>
                    <w:ind w:left="0" w:leftChars="0" w:right="0" w:rightChars="0" w:firstLine="0" w:firstLineChars="0"/>
                    <w:jc w:val="center"/>
                    <w:rPr>
                      <w:rFonts w:hint="eastAsia" w:eastAsia="宋体"/>
                      <w:vertAlign w:val="baseline"/>
                      <w:lang w:val="en-US" w:eastAsia="zh-CN"/>
                    </w:rPr>
                  </w:pPr>
                  <w:r>
                    <w:rPr>
                      <w:rFonts w:hint="eastAsia"/>
                      <w:vertAlign w:val="baseline"/>
                      <w:lang w:val="en-US" w:eastAsia="zh-CN"/>
                    </w:rPr>
                    <w:t>噪声</w:t>
                  </w:r>
                </w:p>
              </w:tc>
              <w:tc>
                <w:tcPr>
                  <w:tcW w:w="1678" w:type="dxa"/>
                  <w:vAlign w:val="center"/>
                </w:tcPr>
                <w:p>
                  <w:pPr>
                    <w:ind w:left="0" w:leftChars="0" w:right="0" w:rightChars="0" w:firstLine="0" w:firstLineChars="0"/>
                    <w:jc w:val="center"/>
                    <w:rPr>
                      <w:rFonts w:hint="default"/>
                      <w:vertAlign w:val="baseline"/>
                      <w:lang w:val="en-US" w:eastAsia="zh-CN"/>
                    </w:rPr>
                  </w:pPr>
                  <w:r>
                    <w:rPr>
                      <w:rFonts w:hint="eastAsia"/>
                      <w:vertAlign w:val="baseline"/>
                      <w:lang w:val="en-US" w:eastAsia="zh-CN"/>
                    </w:rPr>
                    <w:t>隔声、减振、消声等</w:t>
                  </w:r>
                </w:p>
              </w:tc>
              <w:tc>
                <w:tcPr>
                  <w:tcW w:w="3504" w:type="dxa"/>
                  <w:vAlign w:val="center"/>
                </w:tcPr>
                <w:p>
                  <w:pPr>
                    <w:ind w:left="0" w:leftChars="0" w:right="0" w:rightChars="0" w:firstLine="0" w:firstLineChars="0"/>
                    <w:jc w:val="center"/>
                    <w:rPr>
                      <w:rFonts w:hint="default" w:eastAsia="宋体"/>
                      <w:vertAlign w:val="baseline"/>
                      <w:lang w:val="en-US" w:eastAsia="zh-CN"/>
                    </w:rPr>
                  </w:pPr>
                  <w:r>
                    <w:rPr>
                      <w:rFonts w:hint="eastAsia"/>
                      <w:vertAlign w:val="baseline"/>
                      <w:lang w:val="en-US" w:eastAsia="zh-CN"/>
                    </w:rPr>
                    <w:t>厂界噪声</w:t>
                  </w:r>
                </w:p>
              </w:tc>
              <w:tc>
                <w:tcPr>
                  <w:tcW w:w="2305" w:type="dxa"/>
                  <w:vAlign w:val="center"/>
                </w:tcPr>
                <w:p>
                  <w:pPr>
                    <w:ind w:left="0" w:leftChars="0" w:right="0" w:rightChars="0" w:firstLine="0" w:firstLineChars="0"/>
                    <w:jc w:val="center"/>
                    <w:rPr>
                      <w:rFonts w:hint="default" w:eastAsia="宋体"/>
                      <w:vertAlign w:val="baseline"/>
                      <w:lang w:val="en-US" w:eastAsia="zh-CN"/>
                    </w:rPr>
                  </w:pPr>
                  <w:r>
                    <w:rPr>
                      <w:rFonts w:hint="eastAsia"/>
                      <w:vertAlign w:val="baseline"/>
                      <w:lang w:val="en-US" w:eastAsia="zh-CN"/>
                    </w:rPr>
                    <w:t>每个厂界1个测点，昼夜间各1次，测2天</w:t>
                  </w:r>
                </w:p>
              </w:tc>
            </w:tr>
          </w:tbl>
          <w:p>
            <w:pPr>
              <w:pStyle w:val="24"/>
              <w:keepNext w:val="0"/>
              <w:keepLines w:val="0"/>
              <w:pageBreakBefore w:val="0"/>
              <w:widowControl w:val="0"/>
              <w:kinsoku/>
              <w:wordWrap/>
              <w:overflowPunct/>
              <w:topLinePunct w:val="0"/>
              <w:autoSpaceDE/>
              <w:autoSpaceDN/>
              <w:bidi w:val="0"/>
              <w:spacing w:line="486" w:lineRule="exact"/>
              <w:ind w:firstLine="480"/>
              <w:textAlignment w:val="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（2）应急监测计划</w:t>
            </w:r>
          </w:p>
          <w:p>
            <w:pPr>
              <w:keepNext w:val="0"/>
              <w:keepLines w:val="0"/>
              <w:pageBreakBefore w:val="0"/>
              <w:widowControl w:val="0"/>
              <w:kinsoku/>
              <w:wordWrap/>
              <w:overflowPunct/>
              <w:topLinePunct w:val="0"/>
              <w:autoSpaceDE/>
              <w:autoSpaceDN/>
              <w:bidi w:val="0"/>
              <w:adjustRightInd w:val="0"/>
              <w:snapToGrid w:val="0"/>
              <w:spacing w:line="486" w:lineRule="exact"/>
              <w:ind w:firstLine="480" w:firstLineChars="200"/>
              <w:textAlignment w:val="auto"/>
              <w:rPr>
                <w:rFonts w:ascii="Times New Roman" w:hAnsi="Times New Roman"/>
                <w:color w:val="000000"/>
                <w:sz w:val="24"/>
                <w:szCs w:val="24"/>
              </w:rPr>
            </w:pPr>
            <w:r>
              <w:rPr>
                <w:rFonts w:ascii="Times New Roman" w:hAnsi="Times New Roman"/>
                <w:color w:val="000000"/>
                <w:sz w:val="24"/>
                <w:szCs w:val="24"/>
              </w:rPr>
              <w:t>根据事故类型等因素确定最终的监测因子，具体的风险应急监测方案如下：</w:t>
            </w:r>
          </w:p>
          <w:p>
            <w:pPr>
              <w:keepNext w:val="0"/>
              <w:keepLines w:val="0"/>
              <w:pageBreakBefore w:val="0"/>
              <w:widowControl w:val="0"/>
              <w:kinsoku/>
              <w:wordWrap/>
              <w:overflowPunct/>
              <w:topLinePunct w:val="0"/>
              <w:autoSpaceDE/>
              <w:autoSpaceDN/>
              <w:bidi w:val="0"/>
              <w:spacing w:line="486" w:lineRule="exact"/>
              <w:ind w:firstLine="480" w:firstLineChars="200"/>
              <w:textAlignment w:val="auto"/>
              <w:rPr>
                <w:rFonts w:ascii="Times New Roman" w:hAnsi="Times New Roman"/>
                <w:color w:val="000000"/>
                <w:sz w:val="24"/>
                <w:szCs w:val="24"/>
              </w:rPr>
            </w:pPr>
            <w:r>
              <w:rPr>
                <w:rFonts w:ascii="Times New Roman" w:hAnsi="Times New Roman"/>
                <w:color w:val="000000"/>
                <w:sz w:val="24"/>
                <w:szCs w:val="24"/>
              </w:rPr>
              <w:t>①大气环境监测</w:t>
            </w:r>
          </w:p>
          <w:p>
            <w:pPr>
              <w:keepNext w:val="0"/>
              <w:keepLines w:val="0"/>
              <w:pageBreakBefore w:val="0"/>
              <w:widowControl w:val="0"/>
              <w:kinsoku/>
              <w:wordWrap/>
              <w:overflowPunct/>
              <w:topLinePunct w:val="0"/>
              <w:autoSpaceDE/>
              <w:autoSpaceDN/>
              <w:bidi w:val="0"/>
              <w:spacing w:line="486" w:lineRule="exact"/>
              <w:ind w:firstLine="480" w:firstLineChars="200"/>
              <w:textAlignment w:val="auto"/>
              <w:rPr>
                <w:rFonts w:ascii="Times New Roman" w:hAnsi="Times New Roman"/>
                <w:color w:val="000000"/>
                <w:sz w:val="24"/>
                <w:szCs w:val="24"/>
              </w:rPr>
            </w:pPr>
            <w:r>
              <w:rPr>
                <w:rFonts w:ascii="Times New Roman" w:hAnsi="Times New Roman"/>
                <w:color w:val="000000"/>
                <w:sz w:val="24"/>
                <w:szCs w:val="24"/>
              </w:rPr>
              <w:t>监测因子：颗粒物、非甲烷总烃、CO</w:t>
            </w:r>
            <w:r>
              <w:rPr>
                <w:rFonts w:hint="eastAsia" w:ascii="Times New Roman" w:hAnsi="Times New Roman"/>
                <w:color w:val="000000"/>
                <w:sz w:val="24"/>
                <w:szCs w:val="24"/>
              </w:rPr>
              <w:t>、SO</w:t>
            </w:r>
            <w:r>
              <w:rPr>
                <w:rFonts w:hint="eastAsia" w:ascii="Times New Roman" w:hAnsi="Times New Roman"/>
                <w:color w:val="000000"/>
                <w:sz w:val="24"/>
                <w:szCs w:val="24"/>
                <w:vertAlign w:val="subscript"/>
              </w:rPr>
              <w:t>2</w:t>
            </w:r>
            <w:r>
              <w:rPr>
                <w:rFonts w:ascii="Times New Roman" w:hAnsi="Times New Roman"/>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486" w:lineRule="exact"/>
              <w:ind w:firstLine="480" w:firstLineChars="200"/>
              <w:textAlignment w:val="auto"/>
              <w:rPr>
                <w:rFonts w:ascii="Times New Roman" w:hAnsi="Times New Roman"/>
                <w:color w:val="000000"/>
                <w:sz w:val="24"/>
                <w:szCs w:val="24"/>
              </w:rPr>
            </w:pPr>
            <w:r>
              <w:rPr>
                <w:rFonts w:ascii="Times New Roman" w:hAnsi="Times New Roman"/>
                <w:color w:val="000000"/>
                <w:sz w:val="24"/>
                <w:szCs w:val="24"/>
              </w:rPr>
              <w:t>监测时间和频次：</w:t>
            </w:r>
            <w:r>
              <w:rPr>
                <w:rFonts w:hint="eastAsia" w:ascii="Times New Roman" w:hAnsi="Times New Roman"/>
                <w:color w:val="000000"/>
                <w:sz w:val="24"/>
                <w:szCs w:val="24"/>
              </w:rPr>
              <w:t>废气处理系统出现故障可能导致废气（</w:t>
            </w:r>
            <w:r>
              <w:rPr>
                <w:rFonts w:ascii="Times New Roman" w:hAnsi="Times New Roman"/>
                <w:color w:val="000000"/>
                <w:sz w:val="24"/>
                <w:szCs w:val="24"/>
              </w:rPr>
              <w:t>颗粒物</w:t>
            </w:r>
            <w:r>
              <w:rPr>
                <w:rFonts w:hint="eastAsia" w:ascii="Times New Roman" w:hAnsi="Times New Roman"/>
                <w:color w:val="000000"/>
                <w:sz w:val="24"/>
                <w:szCs w:val="24"/>
                <w:lang w:eastAsia="zh-CN"/>
              </w:rPr>
              <w:t>、</w:t>
            </w:r>
            <w:r>
              <w:rPr>
                <w:rFonts w:hint="eastAsia" w:ascii="Times New Roman" w:hAnsi="Times New Roman"/>
                <w:color w:val="000000"/>
                <w:sz w:val="24"/>
                <w:szCs w:val="24"/>
                <w:lang w:val="en-US" w:eastAsia="zh-CN"/>
              </w:rPr>
              <w:t>非甲烷总烃</w:t>
            </w:r>
            <w:r>
              <w:rPr>
                <w:rFonts w:hint="eastAsia" w:ascii="Times New Roman" w:hAnsi="Times New Roman"/>
                <w:color w:val="000000"/>
                <w:sz w:val="24"/>
                <w:szCs w:val="24"/>
              </w:rPr>
              <w:t>）的非正常排放，此时需要对大气中的</w:t>
            </w:r>
            <w:r>
              <w:rPr>
                <w:rFonts w:ascii="Times New Roman" w:hAnsi="Times New Roman"/>
                <w:color w:val="000000"/>
                <w:sz w:val="24"/>
                <w:szCs w:val="24"/>
              </w:rPr>
              <w:t>颗粒物、</w:t>
            </w:r>
            <w:r>
              <w:rPr>
                <w:rFonts w:hint="eastAsia" w:ascii="Times New Roman" w:hAnsi="Times New Roman"/>
                <w:color w:val="000000"/>
                <w:sz w:val="24"/>
                <w:szCs w:val="24"/>
                <w:lang w:val="en-US" w:eastAsia="zh-CN"/>
              </w:rPr>
              <w:t>非甲烷总烃</w:t>
            </w:r>
            <w:r>
              <w:rPr>
                <w:rFonts w:hint="eastAsia" w:ascii="Times New Roman" w:hAnsi="Times New Roman"/>
                <w:color w:val="000000"/>
                <w:sz w:val="24"/>
                <w:szCs w:val="24"/>
              </w:rPr>
              <w:t>进行应急监测；发生火灾时会产生CO、SO</w:t>
            </w:r>
            <w:r>
              <w:rPr>
                <w:rFonts w:hint="eastAsia" w:ascii="Times New Roman" w:hAnsi="Times New Roman"/>
                <w:color w:val="000000"/>
                <w:sz w:val="24"/>
                <w:szCs w:val="24"/>
                <w:vertAlign w:val="subscript"/>
              </w:rPr>
              <w:t>2</w:t>
            </w:r>
            <w:r>
              <w:rPr>
                <w:rFonts w:hint="eastAsia" w:ascii="Times New Roman" w:hAnsi="Times New Roman"/>
                <w:color w:val="000000"/>
                <w:sz w:val="24"/>
                <w:szCs w:val="24"/>
              </w:rPr>
              <w:t>，此时需要对大气中的CO、SO</w:t>
            </w:r>
            <w:r>
              <w:rPr>
                <w:rFonts w:hint="eastAsia" w:ascii="Times New Roman" w:hAnsi="Times New Roman"/>
                <w:color w:val="000000"/>
                <w:sz w:val="24"/>
                <w:szCs w:val="24"/>
                <w:vertAlign w:val="subscript"/>
              </w:rPr>
              <w:t>2</w:t>
            </w:r>
            <w:r>
              <w:rPr>
                <w:rFonts w:hint="eastAsia" w:ascii="Times New Roman" w:hAnsi="Times New Roman"/>
                <w:color w:val="000000"/>
                <w:sz w:val="24"/>
                <w:szCs w:val="24"/>
              </w:rPr>
              <w:t>进行应急监测。</w:t>
            </w:r>
            <w:r>
              <w:rPr>
                <w:rFonts w:ascii="Times New Roman" w:hAnsi="Times New Roman"/>
                <w:color w:val="000000"/>
                <w:sz w:val="24"/>
                <w:szCs w:val="24"/>
              </w:rPr>
              <w:t>按照事故持续时间决定监测时间，根据事故严重性决定监测频次。一般情况下每小时取样一次。随事故控制减弱，适当减少监测频次</w:t>
            </w:r>
            <w:r>
              <w:rPr>
                <w:rFonts w:hint="eastAsia" w:ascii="Times New Roman" w:hAnsi="Times New Roman"/>
                <w:color w:val="000000"/>
                <w:sz w:val="24"/>
                <w:szCs w:val="24"/>
              </w:rPr>
              <w:t>。</w:t>
            </w:r>
          </w:p>
          <w:p>
            <w:pPr>
              <w:keepNext w:val="0"/>
              <w:keepLines w:val="0"/>
              <w:pageBreakBefore w:val="0"/>
              <w:widowControl w:val="0"/>
              <w:kinsoku/>
              <w:wordWrap/>
              <w:overflowPunct/>
              <w:topLinePunct w:val="0"/>
              <w:autoSpaceDE/>
              <w:autoSpaceDN/>
              <w:bidi w:val="0"/>
              <w:spacing w:line="486" w:lineRule="exact"/>
              <w:ind w:firstLine="480" w:firstLineChars="200"/>
              <w:textAlignment w:val="auto"/>
              <w:rPr>
                <w:rFonts w:ascii="Times New Roman" w:hAnsi="Times New Roman"/>
                <w:color w:val="000000"/>
                <w:sz w:val="24"/>
                <w:szCs w:val="24"/>
              </w:rPr>
            </w:pPr>
            <w:r>
              <w:rPr>
                <w:rFonts w:ascii="Times New Roman" w:hAnsi="Times New Roman"/>
                <w:color w:val="000000"/>
                <w:sz w:val="24"/>
                <w:szCs w:val="24"/>
              </w:rPr>
              <w:t>监测布点：按事故发生时的主导风向的下风向，考虑区域功能设置1个测点，厂界设监控点。</w:t>
            </w:r>
          </w:p>
          <w:p>
            <w:pPr>
              <w:keepNext w:val="0"/>
              <w:keepLines w:val="0"/>
              <w:pageBreakBefore w:val="0"/>
              <w:widowControl w:val="0"/>
              <w:kinsoku/>
              <w:wordWrap/>
              <w:overflowPunct/>
              <w:topLinePunct w:val="0"/>
              <w:autoSpaceDE/>
              <w:autoSpaceDN/>
              <w:bidi w:val="0"/>
              <w:spacing w:line="486" w:lineRule="exact"/>
              <w:ind w:firstLine="480" w:firstLineChars="200"/>
              <w:textAlignment w:val="auto"/>
              <w:rPr>
                <w:rFonts w:ascii="Times New Roman" w:hAnsi="Times New Roman"/>
                <w:color w:val="000000"/>
                <w:sz w:val="24"/>
                <w:szCs w:val="24"/>
              </w:rPr>
            </w:pPr>
            <w:r>
              <w:rPr>
                <w:rFonts w:ascii="Times New Roman" w:hAnsi="Times New Roman"/>
                <w:color w:val="000000"/>
                <w:sz w:val="24"/>
                <w:szCs w:val="24"/>
              </w:rPr>
              <w:t>②水环境监测</w:t>
            </w:r>
          </w:p>
          <w:p>
            <w:pPr>
              <w:keepNext w:val="0"/>
              <w:keepLines w:val="0"/>
              <w:pageBreakBefore w:val="0"/>
              <w:widowControl w:val="0"/>
              <w:kinsoku/>
              <w:wordWrap/>
              <w:overflowPunct/>
              <w:topLinePunct w:val="0"/>
              <w:autoSpaceDE/>
              <w:autoSpaceDN/>
              <w:bidi w:val="0"/>
              <w:spacing w:line="486" w:lineRule="exact"/>
              <w:ind w:firstLine="480" w:firstLineChars="200"/>
              <w:textAlignment w:val="auto"/>
              <w:rPr>
                <w:rFonts w:ascii="Times New Roman" w:hAnsi="Times New Roman"/>
                <w:color w:val="000000"/>
                <w:sz w:val="24"/>
                <w:szCs w:val="24"/>
              </w:rPr>
            </w:pPr>
            <w:r>
              <w:rPr>
                <w:rFonts w:ascii="Times New Roman" w:hAnsi="Times New Roman"/>
                <w:color w:val="000000"/>
                <w:sz w:val="24"/>
                <w:szCs w:val="24"/>
              </w:rPr>
              <w:t>监测因子：pH、COD、SS、氨氮、总磷、总氮</w:t>
            </w:r>
          </w:p>
          <w:p>
            <w:pPr>
              <w:keepNext w:val="0"/>
              <w:keepLines w:val="0"/>
              <w:pageBreakBefore w:val="0"/>
              <w:widowControl w:val="0"/>
              <w:kinsoku/>
              <w:wordWrap/>
              <w:overflowPunct/>
              <w:topLinePunct w:val="0"/>
              <w:autoSpaceDE/>
              <w:autoSpaceDN/>
              <w:bidi w:val="0"/>
              <w:spacing w:line="486" w:lineRule="exact"/>
              <w:ind w:firstLine="480" w:firstLineChars="200"/>
              <w:textAlignment w:val="auto"/>
              <w:rPr>
                <w:rFonts w:ascii="Times New Roman" w:hAnsi="Times New Roman"/>
                <w:color w:val="000000"/>
                <w:sz w:val="24"/>
                <w:szCs w:val="24"/>
              </w:rPr>
            </w:pPr>
            <w:r>
              <w:rPr>
                <w:rFonts w:ascii="Times New Roman" w:hAnsi="Times New Roman"/>
                <w:color w:val="000000"/>
                <w:sz w:val="24"/>
                <w:szCs w:val="24"/>
              </w:rPr>
              <w:t>监测时间和频次：按照事故持续时间决定监测时间，根据事故严重性决定监测频次。一般情况下每小时取样一次。随事故控制减弱，适当减少监测频次。</w:t>
            </w:r>
          </w:p>
          <w:p>
            <w:pPr>
              <w:keepNext w:val="0"/>
              <w:keepLines w:val="0"/>
              <w:pageBreakBefore w:val="0"/>
              <w:widowControl w:val="0"/>
              <w:kinsoku/>
              <w:wordWrap/>
              <w:overflowPunct/>
              <w:topLinePunct w:val="0"/>
              <w:autoSpaceDE/>
              <w:autoSpaceDN/>
              <w:bidi w:val="0"/>
              <w:spacing w:line="500" w:lineRule="exact"/>
              <w:ind w:firstLine="240" w:firstLineChars="100"/>
              <w:jc w:val="both"/>
              <w:textAlignment w:val="auto"/>
              <w:rPr>
                <w:rFonts w:hint="eastAsia" w:eastAsia="宋体" w:cs="Times New Roman"/>
                <w:b/>
                <w:bCs/>
                <w:sz w:val="24"/>
                <w:szCs w:val="24"/>
                <w:lang w:val="en-US" w:eastAsia="zh-CN"/>
              </w:rPr>
            </w:pPr>
            <w:r>
              <w:rPr>
                <w:rFonts w:ascii="Times New Roman" w:hAnsi="Times New Roman"/>
                <w:color w:val="000000"/>
                <w:sz w:val="24"/>
                <w:szCs w:val="24"/>
              </w:rPr>
              <w:t>监测布点：</w:t>
            </w:r>
            <w:r>
              <w:rPr>
                <w:rFonts w:hint="eastAsia" w:ascii="Times New Roman" w:hAnsi="Times New Roman"/>
                <w:color w:val="000000"/>
                <w:sz w:val="24"/>
                <w:szCs w:val="24"/>
              </w:rPr>
              <w:t>根据事故类型和事故废水走向，确定监测范围</w:t>
            </w:r>
            <w:r>
              <w:rPr>
                <w:rFonts w:ascii="Times New Roman" w:hAnsi="Times New Roman"/>
                <w:color w:val="000000"/>
                <w:sz w:val="24"/>
                <w:szCs w:val="24"/>
              </w:rPr>
              <w:t>。</w:t>
            </w:r>
            <w:r>
              <w:rPr>
                <w:rFonts w:hint="eastAsia" w:ascii="Times New Roman" w:hAnsi="Times New Roman"/>
                <w:color w:val="000000"/>
                <w:sz w:val="24"/>
                <w:szCs w:val="24"/>
              </w:rPr>
              <w:t>主要监测点位为事故应急池、厂区雨水总排放口、厂区废水总排放口、受影响河流排入口的上游和下游处。</w:t>
            </w:r>
          </w:p>
        </w:tc>
      </w:tr>
    </w:tbl>
    <w:p>
      <w:pPr>
        <w:pStyle w:val="16"/>
        <w:snapToGrid w:val="0"/>
        <w:spacing w:before="0" w:beforeAutospacing="0" w:after="0" w:afterAutospacing="0" w:line="500" w:lineRule="exact"/>
        <w:jc w:val="center"/>
        <w:outlineLvl w:val="9"/>
        <w:rPr>
          <w:rFonts w:hint="eastAsia" w:ascii="黑体" w:hAnsi="黑体" w:eastAsia="黑体"/>
          <w:snapToGrid w:val="0"/>
          <w:sz w:val="30"/>
          <w:szCs w:val="30"/>
          <w:lang w:val="en-US" w:eastAsia="zh-CN"/>
        </w:rPr>
      </w:pPr>
    </w:p>
    <w:p>
      <w:pPr>
        <w:pStyle w:val="16"/>
        <w:snapToGrid w:val="0"/>
        <w:spacing w:before="0" w:beforeAutospacing="0" w:after="0" w:afterAutospacing="0" w:line="500" w:lineRule="exact"/>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58" w:name="_Hlk54167917"/>
      <w:r>
        <w:rPr>
          <w:rFonts w:hint="eastAsia" w:ascii="黑体" w:hAnsi="黑体" w:eastAsia="黑体"/>
          <w:snapToGrid w:val="0"/>
          <w:sz w:val="30"/>
          <w:szCs w:val="30"/>
        </w:rPr>
        <w:t>环境保护措施监督检查清单</w:t>
      </w:r>
      <w:bookmarkEnd w:id="58"/>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73"/>
        <w:gridCol w:w="1733"/>
        <w:gridCol w:w="1480"/>
        <w:gridCol w:w="2009"/>
        <w:gridCol w:w="28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tcBorders>
              <w:tl2br w:val="single" w:color="auto" w:sz="4" w:space="0"/>
            </w:tcBorders>
            <w:noWrap w:val="0"/>
            <w:vAlign w:val="center"/>
          </w:tcPr>
          <w:p>
            <w:pPr>
              <w:adjustRightInd w:val="0"/>
              <w:snapToGrid w:val="0"/>
              <w:ind w:firstLine="422" w:firstLineChars="200"/>
              <w:rPr>
                <w:rFonts w:ascii="Times New Roman" w:hAnsi="Times New Roman"/>
                <w:b/>
                <w:bCs/>
                <w:sz w:val="21"/>
                <w:szCs w:val="21"/>
              </w:rPr>
            </w:pPr>
            <w:r>
              <w:rPr>
                <w:rFonts w:hint="eastAsia"/>
                <w:b/>
                <w:bCs/>
                <w:sz w:val="21"/>
                <w:szCs w:val="21"/>
                <w:lang w:val="en-US" w:eastAsia="zh-CN"/>
              </w:rPr>
              <w:t>内容</w:t>
            </w:r>
          </w:p>
          <w:p>
            <w:pPr>
              <w:adjustRightInd w:val="0"/>
              <w:snapToGrid w:val="0"/>
              <w:rPr>
                <w:rFonts w:ascii="Times New Roman" w:hAnsi="Times New Roman"/>
                <w:b/>
                <w:bCs/>
                <w:sz w:val="21"/>
                <w:szCs w:val="21"/>
              </w:rPr>
            </w:pPr>
            <w:r>
              <w:rPr>
                <w:rFonts w:ascii="Times New Roman" w:hAnsi="Times New Roman"/>
                <w:b/>
                <w:bCs/>
                <w:sz w:val="21"/>
                <w:szCs w:val="21"/>
              </w:rPr>
              <w:t>要素</w:t>
            </w:r>
          </w:p>
        </w:tc>
        <w:tc>
          <w:tcPr>
            <w:tcW w:w="952" w:type="pct"/>
            <w:noWrap w:val="0"/>
            <w:vAlign w:val="center"/>
          </w:tcPr>
          <w:p>
            <w:pPr>
              <w:adjustRightInd w:val="0"/>
              <w:snapToGrid w:val="0"/>
              <w:jc w:val="center"/>
              <w:rPr>
                <w:rFonts w:ascii="Times New Roman" w:hAnsi="Times New Roman"/>
                <w:b/>
                <w:bCs/>
                <w:sz w:val="21"/>
                <w:szCs w:val="21"/>
              </w:rPr>
            </w:pPr>
            <w:r>
              <w:rPr>
                <w:rFonts w:ascii="Times New Roman" w:hAnsi="Times New Roman"/>
                <w:b/>
                <w:bCs/>
                <w:sz w:val="21"/>
                <w:szCs w:val="21"/>
              </w:rPr>
              <w:t>排放口(编号、名称)/污染源</w:t>
            </w:r>
          </w:p>
        </w:tc>
        <w:tc>
          <w:tcPr>
            <w:tcW w:w="813" w:type="pct"/>
            <w:noWrap w:val="0"/>
            <w:vAlign w:val="center"/>
          </w:tcPr>
          <w:p>
            <w:pPr>
              <w:adjustRightInd w:val="0"/>
              <w:snapToGrid w:val="0"/>
              <w:jc w:val="center"/>
              <w:rPr>
                <w:rFonts w:ascii="Times New Roman" w:hAnsi="Times New Roman"/>
                <w:b/>
                <w:bCs/>
                <w:sz w:val="21"/>
                <w:szCs w:val="21"/>
              </w:rPr>
            </w:pPr>
            <w:r>
              <w:rPr>
                <w:rFonts w:ascii="Times New Roman" w:hAnsi="Times New Roman"/>
                <w:b/>
                <w:bCs/>
                <w:sz w:val="21"/>
                <w:szCs w:val="21"/>
              </w:rPr>
              <w:t>污染物项目</w:t>
            </w:r>
          </w:p>
        </w:tc>
        <w:tc>
          <w:tcPr>
            <w:tcW w:w="1104" w:type="pct"/>
            <w:noWrap w:val="0"/>
            <w:vAlign w:val="center"/>
          </w:tcPr>
          <w:p>
            <w:pPr>
              <w:adjustRightInd w:val="0"/>
              <w:snapToGrid w:val="0"/>
              <w:jc w:val="center"/>
              <w:rPr>
                <w:rFonts w:ascii="Times New Roman" w:hAnsi="Times New Roman"/>
                <w:b/>
                <w:bCs/>
                <w:sz w:val="21"/>
                <w:szCs w:val="21"/>
              </w:rPr>
            </w:pPr>
            <w:r>
              <w:rPr>
                <w:rFonts w:ascii="Times New Roman" w:hAnsi="Times New Roman"/>
                <w:b/>
                <w:bCs/>
                <w:sz w:val="21"/>
                <w:szCs w:val="21"/>
              </w:rPr>
              <w:t>环境保护措施</w:t>
            </w:r>
          </w:p>
        </w:tc>
        <w:tc>
          <w:tcPr>
            <w:tcW w:w="1539" w:type="pct"/>
            <w:noWrap w:val="0"/>
            <w:vAlign w:val="center"/>
          </w:tcPr>
          <w:p>
            <w:pPr>
              <w:adjustRightInd w:val="0"/>
              <w:snapToGrid w:val="0"/>
              <w:jc w:val="center"/>
              <w:rPr>
                <w:rFonts w:ascii="Times New Roman" w:hAnsi="Times New Roman"/>
                <w:b/>
                <w:bCs/>
                <w:sz w:val="21"/>
                <w:szCs w:val="21"/>
              </w:rPr>
            </w:pPr>
            <w:r>
              <w:rPr>
                <w:rFonts w:ascii="Times New Roman" w:hAnsi="Times New Roman"/>
                <w:b/>
                <w:bCs/>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vMerge w:val="restart"/>
            <w:noWrap w:val="0"/>
            <w:vAlign w:val="center"/>
          </w:tcPr>
          <w:p>
            <w:pPr>
              <w:adjustRightInd w:val="0"/>
              <w:snapToGrid w:val="0"/>
              <w:jc w:val="center"/>
              <w:rPr>
                <w:rFonts w:ascii="Times New Roman" w:hAnsi="Times New Roman"/>
                <w:sz w:val="21"/>
                <w:szCs w:val="21"/>
              </w:rPr>
            </w:pPr>
            <w:r>
              <w:rPr>
                <w:rFonts w:ascii="Times New Roman" w:hAnsi="Times New Roman"/>
                <w:sz w:val="21"/>
                <w:szCs w:val="21"/>
              </w:rPr>
              <w:t>大气环境</w:t>
            </w:r>
          </w:p>
        </w:tc>
        <w:tc>
          <w:tcPr>
            <w:tcW w:w="952" w:type="pct"/>
            <w:noWrap w:val="0"/>
            <w:vAlign w:val="center"/>
          </w:tcPr>
          <w:p>
            <w:pPr>
              <w:adjustRightInd w:val="0"/>
              <w:snapToGrid w:val="0"/>
              <w:jc w:val="center"/>
              <w:rPr>
                <w:rFonts w:hint="default" w:ascii="Times New Roman" w:hAnsi="Times New Roman" w:eastAsia="宋体"/>
                <w:bCs/>
                <w:color w:val="000000"/>
                <w:sz w:val="21"/>
                <w:szCs w:val="21"/>
                <w:lang w:val="en-US" w:eastAsia="zh-CN"/>
              </w:rPr>
            </w:pPr>
            <w:r>
              <w:rPr>
                <w:rFonts w:hint="eastAsia"/>
                <w:bCs/>
                <w:color w:val="000000"/>
                <w:sz w:val="21"/>
                <w:szCs w:val="21"/>
                <w:lang w:val="en-US" w:eastAsia="zh-CN"/>
              </w:rPr>
              <w:t>1#排气筒</w:t>
            </w:r>
          </w:p>
        </w:tc>
        <w:tc>
          <w:tcPr>
            <w:tcW w:w="813" w:type="pct"/>
            <w:noWrap w:val="0"/>
            <w:vAlign w:val="center"/>
          </w:tcPr>
          <w:p>
            <w:pPr>
              <w:adjustRightInd w:val="0"/>
              <w:snapToGrid w:val="0"/>
              <w:jc w:val="center"/>
              <w:rPr>
                <w:rFonts w:hint="default" w:ascii="Times New Roman" w:hAnsi="Times New Roman" w:eastAsia="宋体"/>
                <w:sz w:val="21"/>
                <w:szCs w:val="21"/>
                <w:lang w:val="en-US" w:eastAsia="zh-CN"/>
              </w:rPr>
            </w:pPr>
            <w:r>
              <w:rPr>
                <w:rFonts w:hint="eastAsia"/>
                <w:sz w:val="21"/>
                <w:szCs w:val="21"/>
                <w:lang w:val="en-US" w:eastAsia="zh-CN"/>
              </w:rPr>
              <w:t>非甲烷总烃、臭气浓度</w:t>
            </w:r>
          </w:p>
        </w:tc>
        <w:tc>
          <w:tcPr>
            <w:tcW w:w="1104" w:type="pct"/>
            <w:noWrap w:val="0"/>
            <w:vAlign w:val="center"/>
          </w:tcPr>
          <w:p>
            <w:pPr>
              <w:adjustRightInd w:val="0"/>
              <w:snapToGrid w:val="0"/>
              <w:jc w:val="center"/>
              <w:rPr>
                <w:rFonts w:hint="default" w:ascii="Times New Roman" w:hAnsi="Times New Roman"/>
                <w:bCs/>
                <w:color w:val="000000"/>
                <w:sz w:val="21"/>
                <w:szCs w:val="21"/>
                <w:lang w:val="en-US"/>
              </w:rPr>
            </w:pPr>
            <w:r>
              <w:rPr>
                <w:rFonts w:hint="eastAsia"/>
                <w:color w:val="auto"/>
                <w:sz w:val="21"/>
                <w:lang w:val="en-US" w:eastAsia="zh-CN"/>
              </w:rPr>
              <w:t>二级活性炭吸附装置+25m排气筒（1）</w:t>
            </w:r>
          </w:p>
        </w:tc>
        <w:tc>
          <w:tcPr>
            <w:tcW w:w="1539" w:type="pct"/>
            <w:noWrap w:val="0"/>
            <w:vAlign w:val="center"/>
          </w:tcPr>
          <w:p>
            <w:pPr>
              <w:adjustRightInd w:val="0"/>
              <w:snapToGrid w:val="0"/>
              <w:jc w:val="center"/>
              <w:rPr>
                <w:rFonts w:hint="default" w:ascii="Times New Roman" w:hAnsi="Times New Roman"/>
                <w:bCs/>
                <w:color w:val="000000"/>
                <w:sz w:val="21"/>
                <w:szCs w:val="21"/>
                <w:lang w:val="en-US"/>
              </w:rPr>
            </w:pPr>
            <w:r>
              <w:rPr>
                <w:rFonts w:hint="eastAsia" w:ascii="Times New Roman" w:hAnsi="Times New Roman" w:cs="Times New Roman"/>
                <w:color w:val="auto"/>
                <w:sz w:val="21"/>
                <w:szCs w:val="21"/>
                <w:lang w:val="en-US" w:eastAsia="zh-CN"/>
              </w:rPr>
              <w:t>江苏省《</w:t>
            </w:r>
            <w:r>
              <w:rPr>
                <w:rFonts w:hint="eastAsia"/>
                <w:color w:val="auto"/>
                <w:sz w:val="21"/>
                <w:szCs w:val="21"/>
                <w:lang w:val="en-US" w:eastAsia="zh-CN"/>
              </w:rPr>
              <w:t>印刷工业大气污染物排放标准</w:t>
            </w:r>
            <w:r>
              <w:rPr>
                <w:rFonts w:hint="eastAsia" w:ascii="Times New Roman" w:hAnsi="Times New Roman" w:cs="Times New Roman"/>
                <w:color w:val="auto"/>
                <w:sz w:val="21"/>
                <w:szCs w:val="21"/>
                <w:lang w:val="en-US" w:eastAsia="zh-CN"/>
              </w:rPr>
              <w:t>》</w:t>
            </w:r>
            <w:r>
              <w:rPr>
                <w:rFonts w:hint="eastAsia"/>
                <w:color w:val="auto"/>
                <w:sz w:val="21"/>
                <w:szCs w:val="21"/>
                <w:lang w:val="en-US" w:eastAsia="zh-CN"/>
              </w:rPr>
              <w:t>（DB32/ 4438-2022）中表1、</w:t>
            </w:r>
            <w:r>
              <w:rPr>
                <w:rFonts w:hint="eastAsia" w:cs="Times New Roman"/>
                <w:sz w:val="21"/>
                <w:szCs w:val="21"/>
                <w:lang w:val="en-US" w:eastAsia="zh-CN"/>
              </w:rPr>
              <w:t>《恶臭污染物排放标准》（GB14554-93）表2相关标准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vMerge w:val="continue"/>
            <w:noWrap w:val="0"/>
            <w:vAlign w:val="center"/>
          </w:tcPr>
          <w:p>
            <w:pPr>
              <w:adjustRightInd w:val="0"/>
              <w:snapToGrid w:val="0"/>
              <w:jc w:val="center"/>
              <w:rPr>
                <w:rFonts w:ascii="Times New Roman" w:hAnsi="Times New Roman"/>
                <w:sz w:val="21"/>
                <w:szCs w:val="21"/>
              </w:rPr>
            </w:pPr>
          </w:p>
        </w:tc>
        <w:tc>
          <w:tcPr>
            <w:tcW w:w="952" w:type="pct"/>
            <w:noWrap w:val="0"/>
            <w:vAlign w:val="center"/>
          </w:tcPr>
          <w:p>
            <w:pPr>
              <w:adjustRightInd w:val="0"/>
              <w:snapToGrid w:val="0"/>
              <w:jc w:val="center"/>
              <w:rPr>
                <w:rFonts w:hint="default"/>
                <w:bCs/>
                <w:color w:val="000000"/>
                <w:sz w:val="21"/>
                <w:szCs w:val="21"/>
                <w:lang w:val="en-US" w:eastAsia="zh-CN"/>
              </w:rPr>
            </w:pPr>
            <w:r>
              <w:rPr>
                <w:rFonts w:hint="eastAsia"/>
                <w:bCs/>
                <w:color w:val="000000"/>
                <w:sz w:val="21"/>
                <w:szCs w:val="21"/>
                <w:lang w:val="en-US" w:eastAsia="zh-CN"/>
              </w:rPr>
              <w:t>2#排气筒</w:t>
            </w:r>
          </w:p>
        </w:tc>
        <w:tc>
          <w:tcPr>
            <w:tcW w:w="813" w:type="pct"/>
            <w:noWrap w:val="0"/>
            <w:vAlign w:val="center"/>
          </w:tcPr>
          <w:p>
            <w:pPr>
              <w:adjustRightInd w:val="0"/>
              <w:snapToGrid w:val="0"/>
              <w:jc w:val="center"/>
              <w:rPr>
                <w:rFonts w:hint="default"/>
                <w:sz w:val="21"/>
                <w:szCs w:val="21"/>
                <w:lang w:val="en-US" w:eastAsia="zh-CN"/>
              </w:rPr>
            </w:pPr>
            <w:r>
              <w:rPr>
                <w:rFonts w:hint="eastAsia"/>
                <w:sz w:val="21"/>
                <w:szCs w:val="21"/>
                <w:lang w:val="en-US" w:eastAsia="zh-CN"/>
              </w:rPr>
              <w:t>颗粒物</w:t>
            </w:r>
          </w:p>
        </w:tc>
        <w:tc>
          <w:tcPr>
            <w:tcW w:w="1104" w:type="pct"/>
            <w:noWrap w:val="0"/>
            <w:vAlign w:val="center"/>
          </w:tcPr>
          <w:p>
            <w:pPr>
              <w:adjustRightInd w:val="0"/>
              <w:snapToGrid w:val="0"/>
              <w:jc w:val="center"/>
              <w:rPr>
                <w:rFonts w:hint="default"/>
                <w:color w:val="auto"/>
                <w:sz w:val="21"/>
                <w:lang w:val="en-US" w:eastAsia="zh-CN"/>
              </w:rPr>
            </w:pPr>
            <w:r>
              <w:rPr>
                <w:rFonts w:hint="eastAsia"/>
                <w:color w:val="auto"/>
                <w:sz w:val="21"/>
                <w:lang w:val="en-US" w:eastAsia="zh-CN"/>
              </w:rPr>
              <w:t>布袋除尘器+25m排气筒（2）</w:t>
            </w:r>
          </w:p>
        </w:tc>
        <w:tc>
          <w:tcPr>
            <w:tcW w:w="1539" w:type="pct"/>
            <w:noWrap w:val="0"/>
            <w:vAlign w:val="center"/>
          </w:tcPr>
          <w:p>
            <w:pPr>
              <w:adjustRightInd w:val="0"/>
              <w:snapToGrid w:val="0"/>
              <w:jc w:val="center"/>
              <w:rPr>
                <w:rFonts w:hint="default" w:ascii="Times New Roman" w:hAnsi="Times New Roman" w:eastAsia="宋体"/>
                <w:bCs/>
                <w:color w:val="000000"/>
                <w:sz w:val="21"/>
                <w:szCs w:val="21"/>
                <w:lang w:val="en-US" w:eastAsia="zh-CN"/>
              </w:rPr>
            </w:pPr>
            <w:r>
              <w:rPr>
                <w:rFonts w:hint="default" w:ascii="Times New Roman" w:hAnsi="Times New Roman" w:cs="Times New Roman"/>
                <w:color w:val="auto"/>
                <w:sz w:val="21"/>
                <w:szCs w:val="21"/>
              </w:rPr>
              <w:t>江苏省《木材加工行业大气污染物排放标准》（DB32/4436-2022）</w:t>
            </w:r>
            <w:r>
              <w:rPr>
                <w:rFonts w:hint="eastAsia" w:cs="Times New Roman"/>
                <w:color w:val="auto"/>
                <w:sz w:val="21"/>
                <w:szCs w:val="21"/>
                <w:lang w:val="en-US" w:eastAsia="zh-CN"/>
              </w:rPr>
              <w:t>中表1相关标准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vMerge w:val="continue"/>
            <w:noWrap w:val="0"/>
            <w:vAlign w:val="center"/>
          </w:tcPr>
          <w:p>
            <w:pPr>
              <w:adjustRightInd w:val="0"/>
              <w:snapToGrid w:val="0"/>
              <w:jc w:val="center"/>
              <w:rPr>
                <w:rFonts w:ascii="Times New Roman" w:hAnsi="Times New Roman"/>
                <w:sz w:val="21"/>
                <w:szCs w:val="21"/>
              </w:rPr>
            </w:pPr>
          </w:p>
        </w:tc>
        <w:tc>
          <w:tcPr>
            <w:tcW w:w="952" w:type="pct"/>
            <w:noWrap w:val="0"/>
            <w:vAlign w:val="center"/>
          </w:tcPr>
          <w:p>
            <w:pPr>
              <w:adjustRightInd w:val="0"/>
              <w:snapToGrid w:val="0"/>
              <w:jc w:val="center"/>
              <w:rPr>
                <w:rFonts w:hint="eastAsia" w:ascii="Times New Roman" w:hAnsi="Times New Roman" w:eastAsia="宋体"/>
                <w:sz w:val="21"/>
                <w:szCs w:val="21"/>
                <w:lang w:eastAsia="zh-CN"/>
              </w:rPr>
            </w:pPr>
            <w:r>
              <w:rPr>
                <w:rFonts w:hint="eastAsia"/>
                <w:bCs/>
                <w:color w:val="000000"/>
                <w:sz w:val="21"/>
                <w:szCs w:val="21"/>
                <w:lang w:val="en-US" w:eastAsia="zh-CN"/>
              </w:rPr>
              <w:t>厂界</w:t>
            </w:r>
          </w:p>
        </w:tc>
        <w:tc>
          <w:tcPr>
            <w:tcW w:w="813" w:type="pct"/>
            <w:noWrap w:val="0"/>
            <w:vAlign w:val="center"/>
          </w:tcPr>
          <w:p>
            <w:pPr>
              <w:adjustRightInd w:val="0"/>
              <w:snapToGrid w:val="0"/>
              <w:jc w:val="center"/>
              <w:rPr>
                <w:rFonts w:hint="default" w:ascii="Times New Roman" w:hAnsi="Times New Roman" w:eastAsia="宋体"/>
                <w:sz w:val="21"/>
                <w:szCs w:val="21"/>
                <w:lang w:val="en-US" w:eastAsia="zh-CN"/>
              </w:rPr>
            </w:pPr>
            <w:r>
              <w:rPr>
                <w:rFonts w:hint="eastAsia"/>
                <w:sz w:val="21"/>
                <w:szCs w:val="21"/>
                <w:lang w:val="en-US" w:eastAsia="zh-CN"/>
              </w:rPr>
              <w:t>非甲烷总烃</w:t>
            </w:r>
            <w:r>
              <w:rPr>
                <w:rFonts w:hint="eastAsia"/>
                <w:sz w:val="21"/>
                <w:szCs w:val="21"/>
                <w:lang w:eastAsia="zh-CN"/>
              </w:rPr>
              <w:t>、</w:t>
            </w:r>
            <w:r>
              <w:rPr>
                <w:rFonts w:hint="eastAsia"/>
                <w:sz w:val="21"/>
                <w:szCs w:val="21"/>
                <w:lang w:val="en-US" w:eastAsia="zh-CN"/>
              </w:rPr>
              <w:t>颗粒物、臭气浓度</w:t>
            </w:r>
          </w:p>
        </w:tc>
        <w:tc>
          <w:tcPr>
            <w:tcW w:w="1104" w:type="pct"/>
            <w:vMerge w:val="restart"/>
            <w:noWrap w:val="0"/>
            <w:vAlign w:val="center"/>
          </w:tcPr>
          <w:p>
            <w:pPr>
              <w:adjustRightInd w:val="0"/>
              <w:snapToGrid w:val="0"/>
              <w:jc w:val="center"/>
              <w:rPr>
                <w:rFonts w:hint="eastAsia" w:ascii="Times New Roman" w:hAnsi="Times New Roman"/>
                <w:sz w:val="21"/>
                <w:szCs w:val="21"/>
              </w:rPr>
            </w:pPr>
            <w:r>
              <w:rPr>
                <w:rFonts w:ascii="Times New Roman" w:hAnsi="Times New Roman"/>
                <w:bCs/>
                <w:color w:val="000000"/>
                <w:sz w:val="21"/>
                <w:szCs w:val="21"/>
              </w:rPr>
              <w:t>无组织排放</w:t>
            </w:r>
            <w:r>
              <w:rPr>
                <w:rFonts w:hint="eastAsia" w:ascii="Times New Roman" w:hAnsi="Times New Roman"/>
                <w:bCs/>
                <w:color w:val="000000"/>
                <w:sz w:val="21"/>
                <w:szCs w:val="21"/>
              </w:rPr>
              <w:t>，加强车间通风</w:t>
            </w:r>
          </w:p>
        </w:tc>
        <w:tc>
          <w:tcPr>
            <w:tcW w:w="1539" w:type="pct"/>
            <w:noWrap w:val="0"/>
            <w:vAlign w:val="center"/>
          </w:tcPr>
          <w:p>
            <w:pPr>
              <w:adjustRightInd w:val="0"/>
              <w:snapToGrid w:val="0"/>
              <w:jc w:val="center"/>
              <w:rPr>
                <w:rFonts w:hint="default" w:ascii="Times New Roman" w:hAnsi="Times New Roman"/>
                <w:bCs/>
                <w:color w:val="000000"/>
                <w:sz w:val="21"/>
                <w:szCs w:val="21"/>
                <w:lang w:val="en-US"/>
              </w:rPr>
            </w:pPr>
            <w:r>
              <w:rPr>
                <w:rFonts w:hint="eastAsia"/>
                <w:color w:val="auto"/>
                <w:sz w:val="21"/>
                <w:szCs w:val="21"/>
              </w:rPr>
              <w:t>江苏省《大气污染物综合排放标准》（DB32/4041-2021）表</w:t>
            </w:r>
            <w:r>
              <w:rPr>
                <w:rFonts w:hint="eastAsia"/>
                <w:color w:val="auto"/>
                <w:sz w:val="21"/>
                <w:szCs w:val="21"/>
                <w:lang w:val="en-US" w:eastAsia="zh-CN"/>
              </w:rPr>
              <w:t>3、</w:t>
            </w:r>
            <w:r>
              <w:rPr>
                <w:rFonts w:hint="eastAsia" w:cs="Times New Roman"/>
                <w:sz w:val="21"/>
                <w:szCs w:val="21"/>
                <w:lang w:val="en-US" w:eastAsia="zh-CN"/>
              </w:rPr>
              <w:t>《恶臭污染物排放标准》（GB14554-93）表1相关标准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vMerge w:val="continue"/>
            <w:noWrap w:val="0"/>
            <w:vAlign w:val="center"/>
          </w:tcPr>
          <w:p>
            <w:pPr>
              <w:adjustRightInd w:val="0"/>
              <w:snapToGrid w:val="0"/>
              <w:jc w:val="center"/>
              <w:rPr>
                <w:rFonts w:ascii="Times New Roman" w:hAnsi="Times New Roman"/>
                <w:sz w:val="21"/>
                <w:szCs w:val="21"/>
              </w:rPr>
            </w:pPr>
          </w:p>
        </w:tc>
        <w:tc>
          <w:tcPr>
            <w:tcW w:w="952" w:type="pct"/>
            <w:noWrap w:val="0"/>
            <w:vAlign w:val="center"/>
          </w:tcPr>
          <w:p>
            <w:pPr>
              <w:adjustRightInd w:val="0"/>
              <w:snapToGrid w:val="0"/>
              <w:jc w:val="center"/>
              <w:rPr>
                <w:rFonts w:hint="default"/>
                <w:bCs/>
                <w:color w:val="000000"/>
                <w:sz w:val="21"/>
                <w:szCs w:val="21"/>
                <w:lang w:val="en-US" w:eastAsia="zh-CN"/>
              </w:rPr>
            </w:pPr>
            <w:r>
              <w:rPr>
                <w:rFonts w:hint="eastAsia"/>
                <w:bCs/>
                <w:color w:val="000000"/>
                <w:sz w:val="21"/>
                <w:szCs w:val="21"/>
                <w:lang w:val="en-US" w:eastAsia="zh-CN"/>
              </w:rPr>
              <w:t>厂区内</w:t>
            </w:r>
          </w:p>
        </w:tc>
        <w:tc>
          <w:tcPr>
            <w:tcW w:w="813" w:type="pct"/>
            <w:noWrap w:val="0"/>
            <w:vAlign w:val="center"/>
          </w:tcPr>
          <w:p>
            <w:pPr>
              <w:adjustRightInd w:val="0"/>
              <w:snapToGrid w:val="0"/>
              <w:jc w:val="center"/>
              <w:rPr>
                <w:rFonts w:hint="default" w:ascii="Times New Roman" w:hAnsi="Times New Roman" w:eastAsia="宋体"/>
                <w:sz w:val="21"/>
                <w:szCs w:val="21"/>
                <w:lang w:val="en-US" w:eastAsia="zh-CN"/>
              </w:rPr>
            </w:pPr>
            <w:r>
              <w:rPr>
                <w:rFonts w:hint="eastAsia"/>
                <w:sz w:val="21"/>
                <w:szCs w:val="21"/>
                <w:lang w:val="en-US" w:eastAsia="zh-CN"/>
              </w:rPr>
              <w:t>非甲烷总烃</w:t>
            </w:r>
          </w:p>
        </w:tc>
        <w:tc>
          <w:tcPr>
            <w:tcW w:w="1104" w:type="pct"/>
            <w:vMerge w:val="continue"/>
            <w:noWrap w:val="0"/>
            <w:vAlign w:val="center"/>
          </w:tcPr>
          <w:p>
            <w:pPr>
              <w:adjustRightInd w:val="0"/>
              <w:snapToGrid w:val="0"/>
              <w:jc w:val="center"/>
              <w:rPr>
                <w:rFonts w:ascii="Times New Roman" w:hAnsi="Times New Roman"/>
                <w:bCs/>
                <w:color w:val="000000"/>
                <w:sz w:val="21"/>
                <w:szCs w:val="21"/>
              </w:rPr>
            </w:pPr>
          </w:p>
        </w:tc>
        <w:tc>
          <w:tcPr>
            <w:tcW w:w="1539" w:type="pct"/>
            <w:noWrap w:val="0"/>
            <w:vAlign w:val="center"/>
          </w:tcPr>
          <w:p>
            <w:pPr>
              <w:adjustRightInd w:val="0"/>
              <w:snapToGrid w:val="0"/>
              <w:jc w:val="center"/>
              <w:rPr>
                <w:rFonts w:ascii="Times New Roman" w:hAnsi="Times New Roman"/>
                <w:bCs/>
                <w:color w:val="000000"/>
                <w:sz w:val="21"/>
                <w:szCs w:val="21"/>
              </w:rPr>
            </w:pPr>
            <w:r>
              <w:rPr>
                <w:rFonts w:hint="eastAsia"/>
                <w:b w:val="0"/>
                <w:bCs w:val="0"/>
                <w:sz w:val="21"/>
                <w:szCs w:val="21"/>
                <w:lang w:val="en-US" w:eastAsia="zh-CN"/>
              </w:rPr>
              <w:t>江苏省</w:t>
            </w:r>
            <w:r>
              <w:rPr>
                <w:rFonts w:hint="eastAsia" w:ascii="宋体" w:hAnsi="宋体" w:eastAsia="宋体" w:cs="宋体"/>
                <w:b w:val="0"/>
                <w:bCs w:val="0"/>
                <w:sz w:val="21"/>
                <w:szCs w:val="21"/>
                <w:lang w:val="en-US" w:eastAsia="zh-CN"/>
              </w:rPr>
              <w:t>《大气污染物综合排放标准》</w:t>
            </w:r>
            <w:r>
              <w:rPr>
                <w:rFonts w:hint="default" w:ascii="Times New Roman" w:hAnsi="Times New Roman" w:eastAsia="宋体" w:cs="Times New Roman"/>
                <w:b w:val="0"/>
                <w:bCs w:val="0"/>
                <w:sz w:val="21"/>
                <w:szCs w:val="21"/>
                <w:lang w:val="en-US" w:eastAsia="zh-CN"/>
              </w:rPr>
              <w:t>（DB32/4041-2021）</w:t>
            </w:r>
            <w:r>
              <w:rPr>
                <w:rFonts w:hint="eastAsia" w:ascii="宋体" w:hAnsi="宋体" w:eastAsia="宋体" w:cs="宋体"/>
                <w:b w:val="0"/>
                <w:bCs w:val="0"/>
                <w:sz w:val="21"/>
                <w:szCs w:val="21"/>
                <w:lang w:val="en-US" w:eastAsia="zh-CN"/>
              </w:rPr>
              <w:t>表</w:t>
            </w:r>
            <w:r>
              <w:rPr>
                <w:rFonts w:hint="eastAsia" w:ascii="Times New Roman" w:hAnsi="Times New Roman" w:eastAsia="宋体" w:cs="Times New Roman"/>
                <w:b w:val="0"/>
                <w:bCs w:val="0"/>
                <w:sz w:val="21"/>
                <w:szCs w:val="21"/>
                <w:lang w:val="en-US" w:eastAsia="zh-CN"/>
              </w:rPr>
              <w:t>2</w:t>
            </w:r>
            <w:r>
              <w:rPr>
                <w:rFonts w:hint="eastAsia" w:ascii="宋体" w:hAnsi="宋体" w:eastAsia="宋体" w:cs="宋体"/>
                <w:b w:val="0"/>
                <w:bCs w:val="0"/>
                <w:sz w:val="21"/>
                <w:szCs w:val="21"/>
                <w:lang w:val="en-US" w:eastAsia="zh-CN"/>
              </w:rPr>
              <w:t>相关标准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noWrap w:val="0"/>
            <w:vAlign w:val="center"/>
          </w:tcPr>
          <w:p>
            <w:pPr>
              <w:adjustRightInd w:val="0"/>
              <w:snapToGrid w:val="0"/>
              <w:jc w:val="center"/>
              <w:rPr>
                <w:rFonts w:ascii="Times New Roman" w:hAnsi="Times New Roman"/>
                <w:sz w:val="21"/>
                <w:szCs w:val="21"/>
              </w:rPr>
            </w:pPr>
            <w:r>
              <w:rPr>
                <w:rFonts w:ascii="Times New Roman" w:hAnsi="Times New Roman"/>
                <w:sz w:val="21"/>
                <w:szCs w:val="21"/>
              </w:rPr>
              <w:t>地表水环境</w:t>
            </w:r>
          </w:p>
        </w:tc>
        <w:tc>
          <w:tcPr>
            <w:tcW w:w="952" w:type="pct"/>
            <w:noWrap w:val="0"/>
            <w:vAlign w:val="center"/>
          </w:tcPr>
          <w:p>
            <w:pPr>
              <w:adjustRightInd w:val="0"/>
              <w:snapToGrid w:val="0"/>
              <w:jc w:val="center"/>
              <w:rPr>
                <w:rFonts w:hint="eastAsia" w:ascii="Times New Roman" w:hAnsi="Times New Roman" w:eastAsia="宋体"/>
                <w:sz w:val="21"/>
                <w:szCs w:val="21"/>
                <w:lang w:eastAsia="zh-CN"/>
              </w:rPr>
            </w:pPr>
            <w:r>
              <w:rPr>
                <w:rFonts w:hint="eastAsia"/>
                <w:snapToGrid w:val="0"/>
                <w:kern w:val="0"/>
                <w:sz w:val="21"/>
                <w:szCs w:val="21"/>
                <w:lang w:val="en-US" w:eastAsia="zh-CN"/>
              </w:rPr>
              <w:t>生活废水</w:t>
            </w:r>
          </w:p>
        </w:tc>
        <w:tc>
          <w:tcPr>
            <w:tcW w:w="813" w:type="pct"/>
            <w:noWrap w:val="0"/>
            <w:vAlign w:val="center"/>
          </w:tcPr>
          <w:p>
            <w:pPr>
              <w:adjustRightInd w:val="0"/>
              <w:snapToGrid w:val="0"/>
              <w:jc w:val="center"/>
              <w:rPr>
                <w:rFonts w:ascii="Times New Roman" w:hAnsi="Times New Roman"/>
                <w:sz w:val="21"/>
                <w:szCs w:val="21"/>
              </w:rPr>
            </w:pPr>
            <w:r>
              <w:rPr>
                <w:rFonts w:ascii="Times New Roman" w:hAnsi="Times New Roman"/>
                <w:bCs/>
                <w:color w:val="000000"/>
                <w:sz w:val="21"/>
                <w:szCs w:val="21"/>
              </w:rPr>
              <w:t>COD、SS、氨氮、TN、TP</w:t>
            </w:r>
          </w:p>
        </w:tc>
        <w:tc>
          <w:tcPr>
            <w:tcW w:w="1104" w:type="pct"/>
            <w:noWrap w:val="0"/>
            <w:vAlign w:val="center"/>
          </w:tcPr>
          <w:p>
            <w:pPr>
              <w:adjustRightInd w:val="0"/>
              <w:snapToGrid w:val="0"/>
              <w:jc w:val="center"/>
              <w:rPr>
                <w:rFonts w:ascii="Times New Roman" w:hAnsi="Times New Roman"/>
                <w:sz w:val="21"/>
                <w:szCs w:val="21"/>
              </w:rPr>
            </w:pPr>
            <w:r>
              <w:rPr>
                <w:rFonts w:ascii="Times New Roman" w:hAnsi="Times New Roman"/>
                <w:sz w:val="21"/>
                <w:szCs w:val="21"/>
              </w:rPr>
              <w:t>化粪池</w:t>
            </w:r>
          </w:p>
        </w:tc>
        <w:tc>
          <w:tcPr>
            <w:tcW w:w="1539" w:type="pct"/>
            <w:noWrap w:val="0"/>
            <w:vAlign w:val="center"/>
          </w:tcPr>
          <w:p>
            <w:pPr>
              <w:adjustRightInd w:val="0"/>
              <w:snapToGrid w:val="0"/>
              <w:jc w:val="center"/>
              <w:rPr>
                <w:rFonts w:ascii="Times New Roman" w:hAnsi="Times New Roman"/>
                <w:sz w:val="21"/>
                <w:szCs w:val="21"/>
              </w:rPr>
            </w:pPr>
            <w:r>
              <w:rPr>
                <w:rFonts w:hint="default" w:ascii="Times New Roman" w:hAnsi="Times New Roman" w:eastAsia="宋体" w:cs="Times New Roman"/>
                <w:snapToGrid w:val="0"/>
                <w:color w:val="auto"/>
                <w:kern w:val="0"/>
                <w:sz w:val="21"/>
                <w:szCs w:val="21"/>
                <w:highlight w:val="none"/>
              </w:rPr>
              <w:t>《污水综合排放标准》（GB8978-1996）表4三级标准、《污水排入城镇下水道水质标准》（GB/T 31962-2015）表1中</w:t>
            </w:r>
            <w:r>
              <w:rPr>
                <w:rFonts w:hint="eastAsia" w:cs="Times New Roman"/>
                <w:snapToGrid w:val="0"/>
                <w:color w:val="auto"/>
                <w:kern w:val="0"/>
                <w:sz w:val="21"/>
                <w:szCs w:val="21"/>
                <w:highlight w:val="none"/>
                <w:lang w:val="en-US" w:eastAsia="zh-CN"/>
              </w:rPr>
              <w:t>A</w:t>
            </w:r>
            <w:r>
              <w:rPr>
                <w:rFonts w:hint="default" w:ascii="Times New Roman" w:hAnsi="Times New Roman" w:eastAsia="宋体" w:cs="Times New Roman"/>
                <w:snapToGrid w:val="0"/>
                <w:color w:val="auto"/>
                <w:kern w:val="0"/>
                <w:sz w:val="21"/>
                <w:szCs w:val="21"/>
                <w:highlight w:val="none"/>
              </w:rPr>
              <w:t>等级标准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noWrap w:val="0"/>
            <w:vAlign w:val="center"/>
          </w:tcPr>
          <w:p>
            <w:pPr>
              <w:adjustRightInd w:val="0"/>
              <w:snapToGrid w:val="0"/>
              <w:jc w:val="center"/>
              <w:rPr>
                <w:rFonts w:ascii="Times New Roman" w:hAnsi="Times New Roman"/>
                <w:sz w:val="21"/>
                <w:szCs w:val="21"/>
              </w:rPr>
            </w:pPr>
            <w:r>
              <w:rPr>
                <w:rFonts w:ascii="Times New Roman" w:hAnsi="Times New Roman"/>
                <w:sz w:val="21"/>
                <w:szCs w:val="21"/>
              </w:rPr>
              <w:t>声环境</w:t>
            </w:r>
          </w:p>
        </w:tc>
        <w:tc>
          <w:tcPr>
            <w:tcW w:w="952" w:type="pct"/>
            <w:noWrap w:val="0"/>
            <w:vAlign w:val="center"/>
          </w:tcPr>
          <w:p>
            <w:pPr>
              <w:spacing w:line="240" w:lineRule="atLeast"/>
              <w:jc w:val="center"/>
              <w:rPr>
                <w:rFonts w:hint="eastAsia" w:ascii="Times New Roman" w:hAnsi="Times New Roman"/>
                <w:bCs/>
                <w:kern w:val="0"/>
                <w:sz w:val="21"/>
                <w:szCs w:val="21"/>
              </w:rPr>
            </w:pPr>
            <w:r>
              <w:rPr>
                <w:rFonts w:hint="eastAsia" w:ascii="Times New Roman" w:hAnsi="Times New Roman"/>
                <w:bCs/>
                <w:kern w:val="0"/>
                <w:sz w:val="21"/>
                <w:szCs w:val="21"/>
              </w:rPr>
              <w:t>各类生产设备、</w:t>
            </w:r>
            <w:r>
              <w:rPr>
                <w:rFonts w:hint="eastAsia"/>
                <w:bCs/>
                <w:kern w:val="0"/>
                <w:sz w:val="21"/>
                <w:szCs w:val="21"/>
                <w:lang w:val="en-US" w:eastAsia="zh-CN"/>
              </w:rPr>
              <w:t>风</w:t>
            </w:r>
            <w:r>
              <w:rPr>
                <w:rFonts w:hint="eastAsia" w:ascii="Times New Roman" w:hAnsi="Times New Roman"/>
                <w:bCs/>
                <w:kern w:val="0"/>
                <w:sz w:val="21"/>
                <w:szCs w:val="21"/>
              </w:rPr>
              <w:t>机等</w:t>
            </w:r>
          </w:p>
        </w:tc>
        <w:tc>
          <w:tcPr>
            <w:tcW w:w="813" w:type="pct"/>
            <w:noWrap w:val="0"/>
            <w:vAlign w:val="center"/>
          </w:tcPr>
          <w:p>
            <w:pPr>
              <w:adjustRightInd w:val="0"/>
              <w:snapToGrid w:val="0"/>
              <w:jc w:val="center"/>
              <w:rPr>
                <w:rFonts w:hint="eastAsia" w:ascii="Times New Roman" w:hAnsi="Times New Roman" w:eastAsia="宋体"/>
                <w:sz w:val="21"/>
                <w:szCs w:val="21"/>
                <w:lang w:eastAsia="zh-CN"/>
              </w:rPr>
            </w:pPr>
            <w:r>
              <w:rPr>
                <w:rFonts w:hint="eastAsia"/>
                <w:sz w:val="21"/>
                <w:szCs w:val="21"/>
                <w:lang w:val="en-US" w:eastAsia="zh-CN"/>
              </w:rPr>
              <w:t>噪声</w:t>
            </w:r>
          </w:p>
        </w:tc>
        <w:tc>
          <w:tcPr>
            <w:tcW w:w="1104" w:type="pct"/>
            <w:noWrap w:val="0"/>
            <w:vAlign w:val="center"/>
          </w:tcPr>
          <w:p>
            <w:pPr>
              <w:adjustRightInd w:val="0"/>
              <w:snapToGrid w:val="0"/>
              <w:jc w:val="center"/>
              <w:rPr>
                <w:rFonts w:ascii="Times New Roman" w:hAnsi="Times New Roman"/>
                <w:sz w:val="21"/>
                <w:szCs w:val="21"/>
              </w:rPr>
            </w:pPr>
            <w:r>
              <w:rPr>
                <w:rFonts w:ascii="Times New Roman" w:hAnsi="Times New Roman"/>
                <w:sz w:val="21"/>
                <w:szCs w:val="21"/>
              </w:rPr>
              <w:t>采取合理布局、选用低噪声设备、</w:t>
            </w:r>
            <w:r>
              <w:rPr>
                <w:rFonts w:hint="eastAsia" w:ascii="Times New Roman" w:hAnsi="Times New Roman"/>
                <w:sz w:val="21"/>
                <w:szCs w:val="21"/>
              </w:rPr>
              <w:t>隔声、</w:t>
            </w:r>
            <w:r>
              <w:rPr>
                <w:rFonts w:ascii="Times New Roman" w:hAnsi="Times New Roman"/>
                <w:sz w:val="21"/>
                <w:szCs w:val="21"/>
              </w:rPr>
              <w:t>减振等</w:t>
            </w:r>
          </w:p>
        </w:tc>
        <w:tc>
          <w:tcPr>
            <w:tcW w:w="1539" w:type="pct"/>
            <w:noWrap w:val="0"/>
            <w:vAlign w:val="center"/>
          </w:tcPr>
          <w:p>
            <w:pPr>
              <w:adjustRightInd w:val="0"/>
              <w:snapToGrid w:val="0"/>
              <w:jc w:val="center"/>
              <w:rPr>
                <w:rFonts w:ascii="Times New Roman" w:hAnsi="Times New Roman"/>
                <w:sz w:val="21"/>
                <w:szCs w:val="21"/>
              </w:rPr>
            </w:pPr>
            <w:r>
              <w:rPr>
                <w:rFonts w:ascii="Times New Roman" w:hAnsi="Times New Roman"/>
                <w:sz w:val="21"/>
                <w:szCs w:val="21"/>
              </w:rPr>
              <w:t>《工业企业厂界环境噪声排放标准》（GB12348-2008）中</w:t>
            </w:r>
            <w:r>
              <w:rPr>
                <w:rFonts w:hint="eastAsia"/>
                <w:sz w:val="21"/>
                <w:szCs w:val="21"/>
                <w:lang w:val="en-US" w:eastAsia="zh-CN"/>
              </w:rPr>
              <w:t>3类</w:t>
            </w:r>
            <w:r>
              <w:rPr>
                <w:rFonts w:ascii="Times New Roman" w:hAnsi="Times New Roman"/>
                <w:sz w:val="21"/>
                <w:szCs w:val="21"/>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noWrap w:val="0"/>
            <w:vAlign w:val="center"/>
          </w:tcPr>
          <w:p>
            <w:pPr>
              <w:adjustRightInd w:val="0"/>
              <w:snapToGrid w:val="0"/>
              <w:jc w:val="center"/>
              <w:rPr>
                <w:rFonts w:ascii="Times New Roman" w:hAnsi="Times New Roman"/>
                <w:sz w:val="21"/>
                <w:szCs w:val="21"/>
              </w:rPr>
            </w:pPr>
            <w:r>
              <w:rPr>
                <w:rFonts w:ascii="Times New Roman" w:hAnsi="Times New Roman"/>
                <w:sz w:val="21"/>
                <w:szCs w:val="21"/>
              </w:rPr>
              <w:t>电磁辐射</w:t>
            </w:r>
          </w:p>
        </w:tc>
        <w:tc>
          <w:tcPr>
            <w:tcW w:w="952" w:type="pct"/>
            <w:noWrap w:val="0"/>
            <w:vAlign w:val="center"/>
          </w:tcPr>
          <w:p>
            <w:pPr>
              <w:adjustRightInd w:val="0"/>
              <w:snapToGrid w:val="0"/>
              <w:jc w:val="center"/>
              <w:rPr>
                <w:rFonts w:ascii="Times New Roman" w:hAnsi="Times New Roman"/>
                <w:sz w:val="21"/>
                <w:szCs w:val="21"/>
              </w:rPr>
            </w:pPr>
            <w:r>
              <w:rPr>
                <w:rFonts w:ascii="Times New Roman" w:hAnsi="Times New Roman"/>
                <w:sz w:val="21"/>
                <w:szCs w:val="21"/>
              </w:rPr>
              <w:t>/</w:t>
            </w:r>
          </w:p>
        </w:tc>
        <w:tc>
          <w:tcPr>
            <w:tcW w:w="813" w:type="pct"/>
            <w:noWrap w:val="0"/>
            <w:vAlign w:val="center"/>
          </w:tcPr>
          <w:p>
            <w:pPr>
              <w:adjustRightInd w:val="0"/>
              <w:snapToGrid w:val="0"/>
              <w:jc w:val="center"/>
              <w:rPr>
                <w:rFonts w:ascii="Times New Roman" w:hAnsi="Times New Roman"/>
                <w:sz w:val="21"/>
                <w:szCs w:val="21"/>
              </w:rPr>
            </w:pPr>
            <w:r>
              <w:rPr>
                <w:rFonts w:ascii="Times New Roman" w:hAnsi="Times New Roman"/>
                <w:sz w:val="21"/>
                <w:szCs w:val="21"/>
              </w:rPr>
              <w:t>/</w:t>
            </w:r>
          </w:p>
        </w:tc>
        <w:tc>
          <w:tcPr>
            <w:tcW w:w="1104" w:type="pct"/>
            <w:noWrap w:val="0"/>
            <w:vAlign w:val="center"/>
          </w:tcPr>
          <w:p>
            <w:pPr>
              <w:adjustRightInd w:val="0"/>
              <w:snapToGrid w:val="0"/>
              <w:jc w:val="center"/>
              <w:rPr>
                <w:rFonts w:ascii="Times New Roman" w:hAnsi="Times New Roman"/>
                <w:sz w:val="21"/>
                <w:szCs w:val="21"/>
              </w:rPr>
            </w:pPr>
            <w:r>
              <w:rPr>
                <w:rFonts w:ascii="Times New Roman" w:hAnsi="Times New Roman"/>
                <w:sz w:val="21"/>
                <w:szCs w:val="21"/>
              </w:rPr>
              <w:t>/</w:t>
            </w:r>
          </w:p>
        </w:tc>
        <w:tc>
          <w:tcPr>
            <w:tcW w:w="1539" w:type="pct"/>
            <w:noWrap w:val="0"/>
            <w:vAlign w:val="center"/>
          </w:tcPr>
          <w:p>
            <w:pPr>
              <w:adjustRightInd w:val="0"/>
              <w:snapToGrid w:val="0"/>
              <w:jc w:val="center"/>
              <w:rPr>
                <w:rFonts w:ascii="Times New Roman" w:hAnsi="Times New Roman"/>
                <w:sz w:val="21"/>
                <w:szCs w:val="21"/>
              </w:rPr>
            </w:pPr>
            <w:r>
              <w:rPr>
                <w:rFonts w:ascii="Times New Roman" w:hAnsi="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vMerge w:val="restart"/>
            <w:noWrap w:val="0"/>
            <w:vAlign w:val="center"/>
          </w:tcPr>
          <w:p>
            <w:pPr>
              <w:adjustRightInd w:val="0"/>
              <w:snapToGrid w:val="0"/>
              <w:jc w:val="center"/>
              <w:rPr>
                <w:rFonts w:ascii="Times New Roman" w:hAnsi="Times New Roman"/>
                <w:sz w:val="21"/>
                <w:szCs w:val="21"/>
              </w:rPr>
            </w:pPr>
            <w:r>
              <w:rPr>
                <w:rFonts w:ascii="Times New Roman" w:hAnsi="Times New Roman"/>
                <w:sz w:val="21"/>
                <w:szCs w:val="21"/>
              </w:rPr>
              <w:t>固体废物</w:t>
            </w:r>
          </w:p>
        </w:tc>
        <w:tc>
          <w:tcPr>
            <w:tcW w:w="952" w:type="pct"/>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 w:val="21"/>
                <w:szCs w:val="21"/>
                <w:lang w:val="en-US" w:eastAsia="zh-CN"/>
              </w:rPr>
              <w:t>废气处理</w:t>
            </w:r>
          </w:p>
        </w:tc>
        <w:tc>
          <w:tcPr>
            <w:tcW w:w="813" w:type="pct"/>
            <w:noWrap w:val="0"/>
            <w:vAlign w:val="center"/>
          </w:tcPr>
          <w:p>
            <w:pPr>
              <w:jc w:val="center"/>
              <w:rPr>
                <w:rFonts w:hint="default"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废</w:t>
            </w:r>
            <w:r>
              <w:rPr>
                <w:rFonts w:hint="eastAsia"/>
                <w:kern w:val="2"/>
                <w:sz w:val="21"/>
                <w:szCs w:val="21"/>
                <w:lang w:val="en-US" w:eastAsia="zh-CN" w:bidi="ar-SA"/>
              </w:rPr>
              <w:t>活性炭</w:t>
            </w:r>
          </w:p>
        </w:tc>
        <w:tc>
          <w:tcPr>
            <w:tcW w:w="1104" w:type="pct"/>
            <w:vMerge w:val="restart"/>
            <w:noWrap w:val="0"/>
            <w:vAlign w:val="center"/>
          </w:tcPr>
          <w:p>
            <w:pPr>
              <w:adjustRightInd w:val="0"/>
              <w:snapToGrid w:val="0"/>
              <w:jc w:val="center"/>
              <w:rPr>
                <w:rFonts w:ascii="Times New Roman" w:hAnsi="Times New Roman"/>
                <w:sz w:val="21"/>
                <w:szCs w:val="21"/>
              </w:rPr>
            </w:pPr>
            <w:r>
              <w:rPr>
                <w:rFonts w:ascii="Times New Roman" w:hAnsi="Times New Roman"/>
                <w:color w:val="000000"/>
                <w:sz w:val="21"/>
                <w:szCs w:val="21"/>
              </w:rPr>
              <w:t>委托</w:t>
            </w:r>
            <w:r>
              <w:rPr>
                <w:rFonts w:hint="eastAsia" w:ascii="Times New Roman" w:hAnsi="Times New Roman"/>
                <w:color w:val="000000"/>
                <w:sz w:val="21"/>
                <w:szCs w:val="21"/>
              </w:rPr>
              <w:t>有</w:t>
            </w:r>
            <w:r>
              <w:rPr>
                <w:rFonts w:ascii="Times New Roman" w:hAnsi="Times New Roman"/>
                <w:color w:val="000000"/>
                <w:sz w:val="21"/>
                <w:szCs w:val="21"/>
              </w:rPr>
              <w:t>资质单位处置</w:t>
            </w:r>
          </w:p>
        </w:tc>
        <w:tc>
          <w:tcPr>
            <w:tcW w:w="1539" w:type="pct"/>
            <w:vMerge w:val="restart"/>
            <w:noWrap w:val="0"/>
            <w:vAlign w:val="center"/>
          </w:tcPr>
          <w:p>
            <w:pPr>
              <w:adjustRightInd w:val="0"/>
              <w:snapToGrid w:val="0"/>
              <w:jc w:val="center"/>
              <w:rPr>
                <w:rFonts w:hint="eastAsia" w:ascii="Times New Roman" w:hAnsi="Times New Roman" w:eastAsia="宋体"/>
                <w:sz w:val="21"/>
                <w:szCs w:val="21"/>
                <w:lang w:eastAsia="zh-CN"/>
              </w:rPr>
            </w:pPr>
            <w:r>
              <w:rPr>
                <w:rFonts w:hint="eastAsia"/>
                <w:color w:val="auto"/>
                <w:sz w:val="21"/>
                <w:szCs w:val="21"/>
                <w:lang w:val="en-US" w:eastAsia="zh-CN"/>
              </w:rPr>
              <w:t>零排放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vMerge w:val="continue"/>
            <w:noWrap w:val="0"/>
            <w:vAlign w:val="center"/>
          </w:tcPr>
          <w:p>
            <w:pPr>
              <w:adjustRightInd w:val="0"/>
              <w:snapToGrid w:val="0"/>
              <w:ind w:firstLine="420" w:firstLineChars="200"/>
              <w:rPr>
                <w:rFonts w:ascii="Times New Roman" w:hAnsi="Times New Roman"/>
                <w:sz w:val="21"/>
                <w:szCs w:val="21"/>
              </w:rPr>
            </w:pPr>
          </w:p>
        </w:tc>
        <w:tc>
          <w:tcPr>
            <w:tcW w:w="952" w:type="pct"/>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 w:val="21"/>
                <w:szCs w:val="21"/>
                <w:lang w:val="en-US" w:eastAsia="zh-CN"/>
              </w:rPr>
              <w:t>物料使用</w:t>
            </w:r>
          </w:p>
        </w:tc>
        <w:tc>
          <w:tcPr>
            <w:tcW w:w="813" w:type="pct"/>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 w:val="21"/>
                <w:szCs w:val="21"/>
                <w:lang w:val="en-US" w:eastAsia="zh-CN"/>
              </w:rPr>
              <w:t>废包装桶</w:t>
            </w:r>
          </w:p>
        </w:tc>
        <w:tc>
          <w:tcPr>
            <w:tcW w:w="1104" w:type="pct"/>
            <w:vMerge w:val="continue"/>
            <w:noWrap w:val="0"/>
            <w:vAlign w:val="center"/>
          </w:tcPr>
          <w:p>
            <w:pPr>
              <w:adjustRightInd w:val="0"/>
              <w:snapToGrid w:val="0"/>
              <w:jc w:val="center"/>
              <w:rPr>
                <w:rFonts w:ascii="Times New Roman" w:hAnsi="Times New Roman"/>
                <w:sz w:val="21"/>
                <w:szCs w:val="21"/>
              </w:rPr>
            </w:pPr>
          </w:p>
        </w:tc>
        <w:tc>
          <w:tcPr>
            <w:tcW w:w="1539" w:type="pct"/>
            <w:vMerge w:val="continue"/>
            <w:noWrap w:val="0"/>
            <w:vAlign w:val="center"/>
          </w:tcPr>
          <w:p>
            <w:pPr>
              <w:adjustRightInd w:val="0"/>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vMerge w:val="continue"/>
            <w:noWrap w:val="0"/>
            <w:vAlign w:val="center"/>
          </w:tcPr>
          <w:p>
            <w:pPr>
              <w:adjustRightInd w:val="0"/>
              <w:snapToGrid w:val="0"/>
              <w:ind w:firstLine="420" w:firstLineChars="200"/>
              <w:rPr>
                <w:rFonts w:ascii="Times New Roman" w:hAnsi="Times New Roman"/>
                <w:sz w:val="21"/>
                <w:szCs w:val="21"/>
              </w:rPr>
            </w:pPr>
          </w:p>
        </w:tc>
        <w:tc>
          <w:tcPr>
            <w:tcW w:w="952" w:type="pct"/>
            <w:noWrap w:val="0"/>
            <w:vAlign w:val="center"/>
          </w:tcPr>
          <w:p>
            <w:pPr>
              <w:widowControl/>
              <w:jc w:val="center"/>
              <w:rPr>
                <w:rFonts w:hint="eastAsia" w:ascii="Times New Roman" w:hAnsi="Times New Roman"/>
                <w:color w:val="000000"/>
                <w:kern w:val="2"/>
                <w:sz w:val="21"/>
                <w:szCs w:val="21"/>
                <w:lang w:val="en-US" w:eastAsia="zh-CN" w:bidi="ar-SA"/>
              </w:rPr>
            </w:pPr>
            <w:r>
              <w:rPr>
                <w:rFonts w:ascii="Times New Roman" w:hAnsi="Times New Roman"/>
                <w:sz w:val="21"/>
                <w:szCs w:val="21"/>
              </w:rPr>
              <w:t>空压机</w:t>
            </w:r>
          </w:p>
        </w:tc>
        <w:tc>
          <w:tcPr>
            <w:tcW w:w="813" w:type="pct"/>
            <w:noWrap w:val="0"/>
            <w:vAlign w:val="center"/>
          </w:tcPr>
          <w:p>
            <w:pPr>
              <w:jc w:val="center"/>
              <w:rPr>
                <w:rFonts w:hint="eastAsia" w:ascii="Times New Roman" w:hAnsi="Times New Roman" w:eastAsia="宋体"/>
                <w:color w:val="000000"/>
                <w:kern w:val="2"/>
                <w:sz w:val="21"/>
                <w:szCs w:val="21"/>
                <w:lang w:val="en-US" w:eastAsia="zh-CN" w:bidi="ar-SA"/>
              </w:rPr>
            </w:pPr>
            <w:r>
              <w:rPr>
                <w:rFonts w:ascii="Times New Roman" w:hAnsi="Times New Roman"/>
                <w:color w:val="000000"/>
                <w:sz w:val="21"/>
                <w:szCs w:val="21"/>
              </w:rPr>
              <w:t>含油废</w:t>
            </w:r>
            <w:r>
              <w:rPr>
                <w:rFonts w:hint="eastAsia"/>
                <w:color w:val="000000"/>
                <w:sz w:val="21"/>
                <w:szCs w:val="21"/>
                <w:lang w:val="en-US" w:eastAsia="zh-CN"/>
              </w:rPr>
              <w:t>液</w:t>
            </w:r>
          </w:p>
        </w:tc>
        <w:tc>
          <w:tcPr>
            <w:tcW w:w="1104" w:type="pct"/>
            <w:vMerge w:val="continue"/>
            <w:noWrap w:val="0"/>
            <w:vAlign w:val="center"/>
          </w:tcPr>
          <w:p>
            <w:pPr>
              <w:adjustRightInd w:val="0"/>
              <w:snapToGrid w:val="0"/>
              <w:jc w:val="center"/>
              <w:rPr>
                <w:rFonts w:ascii="Times New Roman" w:hAnsi="Times New Roman"/>
                <w:sz w:val="21"/>
                <w:szCs w:val="21"/>
              </w:rPr>
            </w:pPr>
          </w:p>
        </w:tc>
        <w:tc>
          <w:tcPr>
            <w:tcW w:w="1539" w:type="pct"/>
            <w:vMerge w:val="continue"/>
            <w:noWrap w:val="0"/>
            <w:vAlign w:val="center"/>
          </w:tcPr>
          <w:p>
            <w:pPr>
              <w:adjustRightInd w:val="0"/>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vMerge w:val="continue"/>
            <w:noWrap w:val="0"/>
            <w:vAlign w:val="center"/>
          </w:tcPr>
          <w:p>
            <w:pPr>
              <w:adjustRightInd w:val="0"/>
              <w:snapToGrid w:val="0"/>
              <w:ind w:firstLine="420" w:firstLineChars="200"/>
              <w:rPr>
                <w:rFonts w:ascii="Times New Roman" w:hAnsi="Times New Roman"/>
                <w:sz w:val="21"/>
                <w:szCs w:val="21"/>
              </w:rPr>
            </w:pPr>
          </w:p>
        </w:tc>
        <w:tc>
          <w:tcPr>
            <w:tcW w:w="952" w:type="pct"/>
            <w:noWrap w:val="0"/>
            <w:vAlign w:val="center"/>
          </w:tcPr>
          <w:p>
            <w:pPr>
              <w:jc w:val="center"/>
              <w:rPr>
                <w:rFonts w:hint="default" w:ascii="Times New Roman" w:hAnsi="Times New Roman" w:eastAsia="宋体"/>
                <w:color w:val="000000"/>
                <w:kern w:val="2"/>
                <w:sz w:val="21"/>
                <w:szCs w:val="21"/>
                <w:lang w:val="en-US" w:eastAsia="zh-CN" w:bidi="ar-SA"/>
              </w:rPr>
            </w:pPr>
            <w:r>
              <w:rPr>
                <w:rFonts w:hint="eastAsia"/>
                <w:color w:val="000000"/>
                <w:kern w:val="2"/>
                <w:sz w:val="21"/>
                <w:szCs w:val="21"/>
                <w:lang w:val="en-US" w:eastAsia="zh-CN" w:bidi="ar-SA"/>
              </w:rPr>
              <w:t>员工生产</w:t>
            </w:r>
          </w:p>
        </w:tc>
        <w:tc>
          <w:tcPr>
            <w:tcW w:w="813" w:type="pct"/>
            <w:noWrap w:val="0"/>
            <w:vAlign w:val="center"/>
          </w:tcPr>
          <w:p>
            <w:pPr>
              <w:jc w:val="center"/>
              <w:rPr>
                <w:rFonts w:ascii="Times New Roman" w:hAnsi="Times New Roman"/>
                <w:color w:val="000000"/>
                <w:kern w:val="2"/>
                <w:sz w:val="21"/>
                <w:szCs w:val="21"/>
                <w:lang w:val="en-US" w:eastAsia="zh-CN" w:bidi="ar-SA"/>
              </w:rPr>
            </w:pPr>
            <w:r>
              <w:rPr>
                <w:rFonts w:ascii="Times New Roman" w:hAnsi="Times New Roman"/>
                <w:color w:val="000000"/>
                <w:sz w:val="21"/>
                <w:szCs w:val="21"/>
              </w:rPr>
              <w:t>废劳保用品</w:t>
            </w:r>
          </w:p>
        </w:tc>
        <w:tc>
          <w:tcPr>
            <w:tcW w:w="1104" w:type="pct"/>
            <w:vMerge w:val="continue"/>
            <w:noWrap w:val="0"/>
            <w:vAlign w:val="center"/>
          </w:tcPr>
          <w:p>
            <w:pPr>
              <w:adjustRightInd w:val="0"/>
              <w:snapToGrid w:val="0"/>
              <w:jc w:val="center"/>
              <w:rPr>
                <w:rFonts w:ascii="Times New Roman" w:hAnsi="Times New Roman"/>
                <w:sz w:val="21"/>
                <w:szCs w:val="21"/>
              </w:rPr>
            </w:pPr>
          </w:p>
        </w:tc>
        <w:tc>
          <w:tcPr>
            <w:tcW w:w="1539" w:type="pct"/>
            <w:vMerge w:val="continue"/>
            <w:noWrap w:val="0"/>
            <w:vAlign w:val="center"/>
          </w:tcPr>
          <w:p>
            <w:pPr>
              <w:adjustRightInd w:val="0"/>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vMerge w:val="continue"/>
            <w:noWrap w:val="0"/>
            <w:vAlign w:val="center"/>
          </w:tcPr>
          <w:p>
            <w:pPr>
              <w:adjustRightInd w:val="0"/>
              <w:snapToGrid w:val="0"/>
              <w:ind w:firstLine="420" w:firstLineChars="200"/>
              <w:rPr>
                <w:rFonts w:ascii="Times New Roman" w:hAnsi="Times New Roman"/>
                <w:sz w:val="21"/>
                <w:szCs w:val="21"/>
              </w:rPr>
            </w:pPr>
          </w:p>
        </w:tc>
        <w:tc>
          <w:tcPr>
            <w:tcW w:w="952"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color w:val="000000"/>
                <w:kern w:val="2"/>
                <w:sz w:val="21"/>
                <w:szCs w:val="21"/>
                <w:lang w:val="en-US" w:eastAsia="zh-CN" w:bidi="ar-SA"/>
              </w:rPr>
            </w:pPr>
            <w:r>
              <w:rPr>
                <w:rFonts w:hint="eastAsia"/>
                <w:color w:val="000000"/>
                <w:sz w:val="21"/>
                <w:szCs w:val="21"/>
                <w:lang w:val="en-US" w:eastAsia="zh-CN"/>
              </w:rPr>
              <w:t>维护保养</w:t>
            </w:r>
          </w:p>
        </w:tc>
        <w:tc>
          <w:tcPr>
            <w:tcW w:w="813"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color w:val="000000"/>
                <w:sz w:val="21"/>
                <w:szCs w:val="21"/>
              </w:rPr>
            </w:pPr>
            <w:r>
              <w:rPr>
                <w:rFonts w:hint="eastAsia"/>
                <w:color w:val="000000"/>
                <w:sz w:val="21"/>
                <w:szCs w:val="21"/>
                <w:lang w:val="en-US" w:eastAsia="zh-CN"/>
              </w:rPr>
              <w:t>废润滑油</w:t>
            </w:r>
          </w:p>
        </w:tc>
        <w:tc>
          <w:tcPr>
            <w:tcW w:w="1104" w:type="pct"/>
            <w:vMerge w:val="continue"/>
            <w:noWrap w:val="0"/>
            <w:vAlign w:val="center"/>
          </w:tcPr>
          <w:p>
            <w:pPr>
              <w:adjustRightInd w:val="0"/>
              <w:snapToGrid w:val="0"/>
              <w:jc w:val="center"/>
              <w:rPr>
                <w:rFonts w:ascii="Times New Roman" w:hAnsi="Times New Roman"/>
                <w:sz w:val="21"/>
                <w:szCs w:val="21"/>
              </w:rPr>
            </w:pPr>
          </w:p>
        </w:tc>
        <w:tc>
          <w:tcPr>
            <w:tcW w:w="1539" w:type="pct"/>
            <w:vMerge w:val="continue"/>
            <w:noWrap w:val="0"/>
            <w:vAlign w:val="center"/>
          </w:tcPr>
          <w:p>
            <w:pPr>
              <w:adjustRightInd w:val="0"/>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vMerge w:val="continue"/>
            <w:noWrap w:val="0"/>
            <w:vAlign w:val="center"/>
          </w:tcPr>
          <w:p>
            <w:pPr>
              <w:adjustRightInd w:val="0"/>
              <w:snapToGrid w:val="0"/>
              <w:ind w:firstLine="420" w:firstLineChars="200"/>
              <w:rPr>
                <w:rFonts w:ascii="Times New Roman" w:hAnsi="Times New Roman"/>
                <w:sz w:val="21"/>
                <w:szCs w:val="21"/>
              </w:rPr>
            </w:pPr>
          </w:p>
        </w:tc>
        <w:tc>
          <w:tcPr>
            <w:tcW w:w="952"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color w:val="000000"/>
                <w:sz w:val="21"/>
                <w:szCs w:val="21"/>
                <w:lang w:val="en-US" w:eastAsia="zh-CN"/>
              </w:rPr>
            </w:pPr>
            <w:r>
              <w:rPr>
                <w:rFonts w:hint="eastAsia"/>
                <w:color w:val="000000"/>
                <w:sz w:val="21"/>
                <w:szCs w:val="21"/>
                <w:lang w:val="en-US" w:eastAsia="zh-CN"/>
              </w:rPr>
              <w:t>设备清洗</w:t>
            </w:r>
          </w:p>
        </w:tc>
        <w:tc>
          <w:tcPr>
            <w:tcW w:w="813"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color w:val="000000"/>
                <w:sz w:val="21"/>
                <w:szCs w:val="21"/>
                <w:lang w:val="en-US" w:eastAsia="zh-CN"/>
              </w:rPr>
            </w:pPr>
            <w:r>
              <w:rPr>
                <w:rFonts w:hint="eastAsia"/>
                <w:color w:val="000000"/>
                <w:sz w:val="21"/>
                <w:szCs w:val="21"/>
                <w:lang w:val="en-US" w:eastAsia="zh-CN"/>
              </w:rPr>
              <w:t>清洗废液</w:t>
            </w:r>
          </w:p>
        </w:tc>
        <w:tc>
          <w:tcPr>
            <w:tcW w:w="1104" w:type="pct"/>
            <w:vMerge w:val="continue"/>
            <w:noWrap w:val="0"/>
            <w:vAlign w:val="center"/>
          </w:tcPr>
          <w:p>
            <w:pPr>
              <w:adjustRightInd w:val="0"/>
              <w:snapToGrid w:val="0"/>
              <w:jc w:val="center"/>
              <w:rPr>
                <w:rFonts w:ascii="Times New Roman" w:hAnsi="Times New Roman"/>
                <w:sz w:val="21"/>
                <w:szCs w:val="21"/>
              </w:rPr>
            </w:pPr>
          </w:p>
        </w:tc>
        <w:tc>
          <w:tcPr>
            <w:tcW w:w="1539" w:type="pct"/>
            <w:vMerge w:val="continue"/>
            <w:noWrap w:val="0"/>
            <w:vAlign w:val="center"/>
          </w:tcPr>
          <w:p>
            <w:pPr>
              <w:adjustRightInd w:val="0"/>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vMerge w:val="continue"/>
            <w:noWrap w:val="0"/>
            <w:vAlign w:val="center"/>
          </w:tcPr>
          <w:p>
            <w:pPr>
              <w:adjustRightInd w:val="0"/>
              <w:snapToGrid w:val="0"/>
              <w:ind w:firstLine="420" w:firstLineChars="200"/>
              <w:rPr>
                <w:rFonts w:ascii="Times New Roman" w:hAnsi="Times New Roman"/>
                <w:sz w:val="21"/>
                <w:szCs w:val="21"/>
              </w:rPr>
            </w:pPr>
          </w:p>
        </w:tc>
        <w:tc>
          <w:tcPr>
            <w:tcW w:w="952"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color w:val="000000"/>
                <w:kern w:val="2"/>
                <w:sz w:val="21"/>
                <w:szCs w:val="21"/>
                <w:lang w:val="en-US" w:eastAsia="zh-CN" w:bidi="ar-SA"/>
              </w:rPr>
            </w:pPr>
            <w:r>
              <w:rPr>
                <w:rFonts w:hint="eastAsia"/>
                <w:color w:val="000000"/>
                <w:sz w:val="21"/>
                <w:szCs w:val="21"/>
                <w:lang w:val="en-US" w:eastAsia="zh-CN"/>
              </w:rPr>
              <w:t>维护保养</w:t>
            </w:r>
          </w:p>
        </w:tc>
        <w:tc>
          <w:tcPr>
            <w:tcW w:w="813"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color w:val="000000"/>
                <w:sz w:val="21"/>
                <w:szCs w:val="21"/>
              </w:rPr>
            </w:pPr>
            <w:r>
              <w:rPr>
                <w:rFonts w:hint="eastAsia"/>
                <w:color w:val="000000"/>
                <w:sz w:val="21"/>
                <w:szCs w:val="21"/>
                <w:lang w:val="en-US" w:eastAsia="zh-CN"/>
              </w:rPr>
              <w:t>废润滑油桶</w:t>
            </w:r>
          </w:p>
        </w:tc>
        <w:tc>
          <w:tcPr>
            <w:tcW w:w="1104" w:type="pct"/>
            <w:vMerge w:val="continue"/>
            <w:noWrap w:val="0"/>
            <w:vAlign w:val="center"/>
          </w:tcPr>
          <w:p>
            <w:pPr>
              <w:adjustRightInd w:val="0"/>
              <w:snapToGrid w:val="0"/>
              <w:jc w:val="center"/>
              <w:rPr>
                <w:rFonts w:ascii="Times New Roman" w:hAnsi="Times New Roman"/>
                <w:sz w:val="21"/>
                <w:szCs w:val="21"/>
              </w:rPr>
            </w:pPr>
          </w:p>
        </w:tc>
        <w:tc>
          <w:tcPr>
            <w:tcW w:w="1539" w:type="pct"/>
            <w:vMerge w:val="continue"/>
            <w:noWrap w:val="0"/>
            <w:vAlign w:val="center"/>
          </w:tcPr>
          <w:p>
            <w:pPr>
              <w:adjustRightInd w:val="0"/>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vMerge w:val="continue"/>
            <w:noWrap w:val="0"/>
            <w:vAlign w:val="center"/>
          </w:tcPr>
          <w:p>
            <w:pPr>
              <w:adjustRightInd w:val="0"/>
              <w:snapToGrid w:val="0"/>
              <w:ind w:firstLine="420" w:firstLineChars="200"/>
              <w:rPr>
                <w:rFonts w:ascii="Times New Roman" w:hAnsi="Times New Roman"/>
                <w:sz w:val="21"/>
                <w:szCs w:val="21"/>
              </w:rPr>
            </w:pPr>
          </w:p>
        </w:tc>
        <w:tc>
          <w:tcPr>
            <w:tcW w:w="952" w:type="pct"/>
            <w:noWrap w:val="0"/>
            <w:vAlign w:val="center"/>
          </w:tcPr>
          <w:p>
            <w:pPr>
              <w:jc w:val="center"/>
              <w:rPr>
                <w:rFonts w:hint="default" w:ascii="Times New Roman" w:hAnsi="Times New Roman" w:eastAsia="宋体"/>
                <w:kern w:val="2"/>
                <w:sz w:val="21"/>
                <w:szCs w:val="21"/>
                <w:lang w:val="en-US" w:eastAsia="zh-CN" w:bidi="ar-SA"/>
              </w:rPr>
            </w:pPr>
            <w:r>
              <w:rPr>
                <w:rFonts w:hint="eastAsia" w:eastAsia="宋体"/>
                <w:kern w:val="2"/>
                <w:sz w:val="21"/>
                <w:szCs w:val="21"/>
                <w:lang w:val="en-US" w:eastAsia="zh-CN" w:bidi="ar-SA"/>
              </w:rPr>
              <w:t>分切、</w:t>
            </w:r>
            <w:r>
              <w:rPr>
                <w:rFonts w:hint="eastAsia"/>
                <w:kern w:val="2"/>
                <w:sz w:val="21"/>
                <w:szCs w:val="21"/>
                <w:lang w:val="en-US" w:eastAsia="zh-CN" w:bidi="ar-SA"/>
              </w:rPr>
              <w:t>开槽、包装、板材加工、配件加工</w:t>
            </w:r>
          </w:p>
        </w:tc>
        <w:tc>
          <w:tcPr>
            <w:tcW w:w="813" w:type="pct"/>
            <w:noWrap w:val="0"/>
            <w:vAlign w:val="center"/>
          </w:tcPr>
          <w:p>
            <w:pPr>
              <w:jc w:val="center"/>
              <w:rPr>
                <w:rFonts w:hint="eastAsia" w:ascii="Times New Roman" w:hAnsi="Times New Roman" w:eastAsia="宋体"/>
                <w:kern w:val="2"/>
                <w:sz w:val="21"/>
                <w:szCs w:val="21"/>
                <w:lang w:val="en-US" w:eastAsia="zh-CN" w:bidi="ar-SA"/>
              </w:rPr>
            </w:pPr>
            <w:r>
              <w:rPr>
                <w:rFonts w:hint="eastAsia" w:ascii="Times New Roman" w:hAnsi="Times New Roman"/>
                <w:sz w:val="21"/>
                <w:szCs w:val="21"/>
                <w:lang w:val="en-US" w:eastAsia="zh-CN"/>
              </w:rPr>
              <w:t>废边角料</w:t>
            </w:r>
          </w:p>
        </w:tc>
        <w:tc>
          <w:tcPr>
            <w:tcW w:w="1104" w:type="pct"/>
            <w:vMerge w:val="restart"/>
            <w:noWrap w:val="0"/>
            <w:vAlign w:val="center"/>
          </w:tcPr>
          <w:p>
            <w:pPr>
              <w:adjustRightInd w:val="0"/>
              <w:snapToGrid w:val="0"/>
              <w:jc w:val="center"/>
              <w:rPr>
                <w:rFonts w:ascii="Times New Roman" w:hAnsi="Times New Roman"/>
                <w:sz w:val="21"/>
                <w:szCs w:val="21"/>
              </w:rPr>
            </w:pPr>
            <w:r>
              <w:rPr>
                <w:rFonts w:ascii="Times New Roman" w:hAnsi="Times New Roman"/>
                <w:color w:val="000000"/>
                <w:kern w:val="0"/>
                <w:sz w:val="21"/>
                <w:szCs w:val="21"/>
              </w:rPr>
              <w:t>外售</w:t>
            </w:r>
            <w:r>
              <w:rPr>
                <w:rFonts w:hint="eastAsia" w:ascii="Times New Roman" w:hAnsi="Times New Roman"/>
                <w:color w:val="000000"/>
                <w:kern w:val="0"/>
                <w:sz w:val="21"/>
                <w:szCs w:val="21"/>
              </w:rPr>
              <w:t>处理</w:t>
            </w:r>
          </w:p>
        </w:tc>
        <w:tc>
          <w:tcPr>
            <w:tcW w:w="1539" w:type="pct"/>
            <w:vMerge w:val="continue"/>
            <w:noWrap w:val="0"/>
            <w:vAlign w:val="center"/>
          </w:tcPr>
          <w:p>
            <w:pPr>
              <w:adjustRightInd w:val="0"/>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vMerge w:val="continue"/>
            <w:noWrap w:val="0"/>
            <w:vAlign w:val="center"/>
          </w:tcPr>
          <w:p>
            <w:pPr>
              <w:adjustRightInd w:val="0"/>
              <w:snapToGrid w:val="0"/>
              <w:ind w:firstLine="420" w:firstLineChars="200"/>
              <w:rPr>
                <w:rFonts w:ascii="Times New Roman" w:hAnsi="Times New Roman"/>
                <w:sz w:val="21"/>
                <w:szCs w:val="21"/>
              </w:rPr>
            </w:pPr>
          </w:p>
        </w:tc>
        <w:tc>
          <w:tcPr>
            <w:tcW w:w="952" w:type="pct"/>
            <w:noWrap w:val="0"/>
            <w:vAlign w:val="center"/>
          </w:tcPr>
          <w:p>
            <w:pPr>
              <w:jc w:val="center"/>
              <w:rPr>
                <w:rFonts w:hint="eastAsia"/>
                <w:kern w:val="2"/>
                <w:sz w:val="21"/>
                <w:szCs w:val="21"/>
                <w:lang w:val="en-US" w:eastAsia="zh-CN" w:bidi="ar-SA"/>
              </w:rPr>
            </w:pPr>
            <w:r>
              <w:rPr>
                <w:rFonts w:hint="eastAsia"/>
                <w:kern w:val="2"/>
                <w:sz w:val="21"/>
                <w:szCs w:val="21"/>
                <w:lang w:val="en-US" w:eastAsia="zh-CN" w:bidi="ar-SA"/>
              </w:rPr>
              <w:t>包装</w:t>
            </w:r>
          </w:p>
        </w:tc>
        <w:tc>
          <w:tcPr>
            <w:tcW w:w="813" w:type="pct"/>
            <w:noWrap w:val="0"/>
            <w:vAlign w:val="center"/>
          </w:tcPr>
          <w:p>
            <w:pPr>
              <w:jc w:val="center"/>
              <w:rPr>
                <w:rFonts w:hint="default" w:ascii="Times New Roman" w:hAnsi="Times New Roman"/>
                <w:sz w:val="21"/>
                <w:szCs w:val="21"/>
                <w:lang w:val="en-US" w:eastAsia="zh-CN"/>
              </w:rPr>
            </w:pPr>
            <w:r>
              <w:rPr>
                <w:rFonts w:hint="eastAsia"/>
                <w:sz w:val="21"/>
                <w:szCs w:val="21"/>
                <w:lang w:val="en-US" w:eastAsia="zh-CN"/>
              </w:rPr>
              <w:t>一般废包装材料</w:t>
            </w:r>
          </w:p>
        </w:tc>
        <w:tc>
          <w:tcPr>
            <w:tcW w:w="1104" w:type="pct"/>
            <w:vMerge w:val="continue"/>
            <w:noWrap w:val="0"/>
            <w:vAlign w:val="center"/>
          </w:tcPr>
          <w:p>
            <w:pPr>
              <w:adjustRightInd w:val="0"/>
              <w:snapToGrid w:val="0"/>
              <w:jc w:val="center"/>
              <w:rPr>
                <w:rFonts w:ascii="Times New Roman" w:hAnsi="Times New Roman"/>
                <w:color w:val="000000"/>
                <w:kern w:val="0"/>
                <w:sz w:val="21"/>
                <w:szCs w:val="21"/>
              </w:rPr>
            </w:pPr>
          </w:p>
        </w:tc>
        <w:tc>
          <w:tcPr>
            <w:tcW w:w="1539" w:type="pct"/>
            <w:vMerge w:val="continue"/>
            <w:noWrap w:val="0"/>
            <w:vAlign w:val="center"/>
          </w:tcPr>
          <w:p>
            <w:pPr>
              <w:adjustRightInd w:val="0"/>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vMerge w:val="continue"/>
            <w:noWrap w:val="0"/>
            <w:vAlign w:val="center"/>
          </w:tcPr>
          <w:p>
            <w:pPr>
              <w:adjustRightInd w:val="0"/>
              <w:snapToGrid w:val="0"/>
              <w:ind w:firstLine="420" w:firstLineChars="200"/>
              <w:rPr>
                <w:rFonts w:ascii="Times New Roman" w:hAnsi="Times New Roman"/>
                <w:sz w:val="21"/>
                <w:szCs w:val="21"/>
              </w:rPr>
            </w:pPr>
          </w:p>
        </w:tc>
        <w:tc>
          <w:tcPr>
            <w:tcW w:w="952" w:type="pct"/>
            <w:noWrap w:val="0"/>
            <w:vAlign w:val="center"/>
          </w:tcPr>
          <w:p>
            <w:pPr>
              <w:jc w:val="center"/>
              <w:rPr>
                <w:rFonts w:hint="eastAsia"/>
                <w:kern w:val="2"/>
                <w:sz w:val="21"/>
                <w:szCs w:val="21"/>
                <w:lang w:val="en-US" w:eastAsia="zh-CN" w:bidi="ar-SA"/>
              </w:rPr>
            </w:pPr>
            <w:r>
              <w:rPr>
                <w:rFonts w:hint="eastAsia" w:ascii="Times New Roman" w:hAnsi="Times New Roman"/>
                <w:sz w:val="21"/>
                <w:szCs w:val="21"/>
                <w:lang w:val="en-US" w:eastAsia="zh-CN"/>
              </w:rPr>
              <w:t>废气处理</w:t>
            </w:r>
          </w:p>
        </w:tc>
        <w:tc>
          <w:tcPr>
            <w:tcW w:w="813" w:type="pct"/>
            <w:noWrap w:val="0"/>
            <w:vAlign w:val="center"/>
          </w:tcPr>
          <w:p>
            <w:pPr>
              <w:jc w:val="center"/>
              <w:rPr>
                <w:rFonts w:hint="default"/>
                <w:sz w:val="21"/>
                <w:szCs w:val="21"/>
                <w:lang w:val="en-US" w:eastAsia="zh-CN"/>
              </w:rPr>
            </w:pPr>
            <w:r>
              <w:rPr>
                <w:rFonts w:hint="eastAsia"/>
                <w:sz w:val="21"/>
                <w:szCs w:val="21"/>
                <w:lang w:val="en-US" w:eastAsia="zh-CN"/>
              </w:rPr>
              <w:t>除尘灰</w:t>
            </w:r>
          </w:p>
        </w:tc>
        <w:tc>
          <w:tcPr>
            <w:tcW w:w="1104" w:type="pct"/>
            <w:vMerge w:val="continue"/>
            <w:noWrap w:val="0"/>
            <w:vAlign w:val="center"/>
          </w:tcPr>
          <w:p>
            <w:pPr>
              <w:adjustRightInd w:val="0"/>
              <w:snapToGrid w:val="0"/>
              <w:jc w:val="center"/>
              <w:rPr>
                <w:rFonts w:ascii="Times New Roman" w:hAnsi="Times New Roman"/>
                <w:color w:val="000000"/>
                <w:kern w:val="0"/>
                <w:sz w:val="21"/>
                <w:szCs w:val="21"/>
              </w:rPr>
            </w:pPr>
          </w:p>
        </w:tc>
        <w:tc>
          <w:tcPr>
            <w:tcW w:w="1539" w:type="pct"/>
            <w:vMerge w:val="continue"/>
            <w:noWrap w:val="0"/>
            <w:vAlign w:val="center"/>
          </w:tcPr>
          <w:p>
            <w:pPr>
              <w:adjustRightInd w:val="0"/>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vMerge w:val="continue"/>
            <w:noWrap w:val="0"/>
            <w:vAlign w:val="center"/>
          </w:tcPr>
          <w:p>
            <w:pPr>
              <w:adjustRightInd w:val="0"/>
              <w:snapToGrid w:val="0"/>
              <w:ind w:firstLine="420" w:firstLineChars="200"/>
              <w:rPr>
                <w:rFonts w:ascii="Times New Roman" w:hAnsi="Times New Roman"/>
                <w:sz w:val="21"/>
                <w:szCs w:val="21"/>
              </w:rPr>
            </w:pPr>
          </w:p>
        </w:tc>
        <w:tc>
          <w:tcPr>
            <w:tcW w:w="952" w:type="pct"/>
            <w:noWrap w:val="0"/>
            <w:vAlign w:val="center"/>
          </w:tcPr>
          <w:p>
            <w:pPr>
              <w:jc w:val="center"/>
              <w:rPr>
                <w:rFonts w:hint="eastAsia"/>
                <w:kern w:val="2"/>
                <w:sz w:val="21"/>
                <w:szCs w:val="21"/>
                <w:lang w:val="en-US" w:eastAsia="zh-CN" w:bidi="ar-SA"/>
              </w:rPr>
            </w:pPr>
            <w:r>
              <w:rPr>
                <w:rFonts w:hint="eastAsia" w:ascii="Times New Roman" w:hAnsi="Times New Roman"/>
                <w:sz w:val="21"/>
                <w:szCs w:val="21"/>
                <w:lang w:val="en-US" w:eastAsia="zh-CN"/>
              </w:rPr>
              <w:t>废气处理</w:t>
            </w:r>
          </w:p>
        </w:tc>
        <w:tc>
          <w:tcPr>
            <w:tcW w:w="813" w:type="pct"/>
            <w:noWrap w:val="0"/>
            <w:vAlign w:val="center"/>
          </w:tcPr>
          <w:p>
            <w:pPr>
              <w:jc w:val="center"/>
              <w:rPr>
                <w:rFonts w:hint="default"/>
                <w:sz w:val="21"/>
                <w:szCs w:val="21"/>
                <w:lang w:val="en-US" w:eastAsia="zh-CN"/>
              </w:rPr>
            </w:pPr>
            <w:r>
              <w:rPr>
                <w:rFonts w:hint="eastAsia"/>
                <w:sz w:val="21"/>
                <w:szCs w:val="21"/>
                <w:lang w:val="en-US" w:eastAsia="zh-CN"/>
              </w:rPr>
              <w:t>废布袋</w:t>
            </w:r>
          </w:p>
        </w:tc>
        <w:tc>
          <w:tcPr>
            <w:tcW w:w="1104" w:type="pct"/>
            <w:vMerge w:val="continue"/>
            <w:noWrap w:val="0"/>
            <w:vAlign w:val="center"/>
          </w:tcPr>
          <w:p>
            <w:pPr>
              <w:adjustRightInd w:val="0"/>
              <w:snapToGrid w:val="0"/>
              <w:jc w:val="center"/>
              <w:rPr>
                <w:rFonts w:ascii="Times New Roman" w:hAnsi="Times New Roman"/>
                <w:color w:val="000000"/>
                <w:kern w:val="0"/>
                <w:sz w:val="21"/>
                <w:szCs w:val="21"/>
              </w:rPr>
            </w:pPr>
          </w:p>
        </w:tc>
        <w:tc>
          <w:tcPr>
            <w:tcW w:w="1539" w:type="pct"/>
            <w:vMerge w:val="continue"/>
            <w:noWrap w:val="0"/>
            <w:vAlign w:val="center"/>
          </w:tcPr>
          <w:p>
            <w:pPr>
              <w:adjustRightInd w:val="0"/>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vMerge w:val="continue"/>
            <w:noWrap w:val="0"/>
            <w:vAlign w:val="center"/>
          </w:tcPr>
          <w:p>
            <w:pPr>
              <w:adjustRightInd w:val="0"/>
              <w:snapToGrid w:val="0"/>
              <w:ind w:firstLine="420" w:firstLineChars="200"/>
              <w:rPr>
                <w:rFonts w:ascii="Times New Roman" w:hAnsi="Times New Roman"/>
                <w:sz w:val="21"/>
                <w:szCs w:val="21"/>
              </w:rPr>
            </w:pPr>
          </w:p>
        </w:tc>
        <w:tc>
          <w:tcPr>
            <w:tcW w:w="952" w:type="pct"/>
            <w:noWrap w:val="0"/>
            <w:vAlign w:val="center"/>
          </w:tcPr>
          <w:p>
            <w:pPr>
              <w:jc w:val="center"/>
              <w:rPr>
                <w:rFonts w:hint="eastAsia" w:ascii="Times New Roman" w:hAnsi="Times New Roman"/>
                <w:sz w:val="21"/>
                <w:szCs w:val="21"/>
              </w:rPr>
            </w:pPr>
            <w:r>
              <w:rPr>
                <w:rFonts w:hint="eastAsia" w:ascii="Times New Roman" w:hAnsi="Times New Roman"/>
                <w:sz w:val="21"/>
                <w:szCs w:val="21"/>
              </w:rPr>
              <w:t>员工生活</w:t>
            </w:r>
          </w:p>
        </w:tc>
        <w:tc>
          <w:tcPr>
            <w:tcW w:w="813" w:type="pct"/>
            <w:noWrap w:val="0"/>
            <w:vAlign w:val="center"/>
          </w:tcPr>
          <w:p>
            <w:pPr>
              <w:jc w:val="center"/>
              <w:rPr>
                <w:rFonts w:ascii="Times New Roman" w:hAnsi="Times New Roman"/>
                <w:sz w:val="21"/>
                <w:szCs w:val="21"/>
              </w:rPr>
            </w:pPr>
            <w:r>
              <w:rPr>
                <w:rFonts w:ascii="Times New Roman" w:hAnsi="Times New Roman"/>
                <w:color w:val="000000"/>
                <w:sz w:val="21"/>
                <w:szCs w:val="21"/>
              </w:rPr>
              <w:t>生活垃圾</w:t>
            </w:r>
          </w:p>
        </w:tc>
        <w:tc>
          <w:tcPr>
            <w:tcW w:w="1104" w:type="pct"/>
            <w:noWrap w:val="0"/>
            <w:vAlign w:val="center"/>
          </w:tcPr>
          <w:p>
            <w:pPr>
              <w:adjustRightInd w:val="0"/>
              <w:snapToGrid w:val="0"/>
              <w:jc w:val="center"/>
              <w:rPr>
                <w:rFonts w:ascii="Times New Roman" w:hAnsi="Times New Roman"/>
                <w:sz w:val="21"/>
                <w:szCs w:val="21"/>
              </w:rPr>
            </w:pPr>
            <w:r>
              <w:rPr>
                <w:rFonts w:ascii="Times New Roman" w:hAnsi="Times New Roman"/>
                <w:color w:val="000000"/>
                <w:kern w:val="0"/>
                <w:sz w:val="21"/>
                <w:szCs w:val="21"/>
              </w:rPr>
              <w:t>环卫清运</w:t>
            </w:r>
          </w:p>
        </w:tc>
        <w:tc>
          <w:tcPr>
            <w:tcW w:w="1539" w:type="pct"/>
            <w:vMerge w:val="continue"/>
            <w:noWrap w:val="0"/>
            <w:vAlign w:val="center"/>
          </w:tcPr>
          <w:p>
            <w:pPr>
              <w:adjustRightInd w:val="0"/>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noWrap w:val="0"/>
            <w:vAlign w:val="center"/>
          </w:tcPr>
          <w:p>
            <w:pPr>
              <w:adjustRightInd w:val="0"/>
              <w:snapToGrid w:val="0"/>
              <w:jc w:val="center"/>
              <w:rPr>
                <w:rFonts w:ascii="Times New Roman" w:hAnsi="Times New Roman"/>
                <w:sz w:val="21"/>
                <w:szCs w:val="21"/>
              </w:rPr>
            </w:pPr>
            <w:r>
              <w:rPr>
                <w:rFonts w:ascii="Times New Roman" w:hAnsi="Times New Roman"/>
                <w:sz w:val="21"/>
                <w:szCs w:val="21"/>
              </w:rPr>
              <w:t>土壤及地下水</w:t>
            </w:r>
          </w:p>
          <w:p>
            <w:pPr>
              <w:adjustRightInd w:val="0"/>
              <w:snapToGrid w:val="0"/>
              <w:jc w:val="center"/>
              <w:rPr>
                <w:rFonts w:ascii="Times New Roman" w:hAnsi="Times New Roman"/>
                <w:sz w:val="21"/>
                <w:szCs w:val="21"/>
              </w:rPr>
            </w:pPr>
            <w:r>
              <w:rPr>
                <w:rFonts w:ascii="Times New Roman" w:hAnsi="Times New Roman"/>
                <w:sz w:val="21"/>
                <w:szCs w:val="21"/>
              </w:rPr>
              <w:t>污染防治措施</w:t>
            </w:r>
          </w:p>
        </w:tc>
        <w:tc>
          <w:tcPr>
            <w:tcW w:w="4409" w:type="pct"/>
            <w:gridSpan w:val="4"/>
            <w:noWrap w:val="0"/>
            <w:vAlign w:val="top"/>
          </w:tcPr>
          <w:p>
            <w:pPr>
              <w:adjustRightInd w:val="0"/>
              <w:snapToGrid w:val="0"/>
              <w:ind w:firstLine="420" w:firstLineChars="200"/>
              <w:jc w:val="left"/>
              <w:rPr>
                <w:rFonts w:ascii="Times New Roman" w:hAnsi="Times New Roman"/>
                <w:sz w:val="21"/>
                <w:szCs w:val="21"/>
              </w:rPr>
            </w:pPr>
            <w:r>
              <w:rPr>
                <w:rFonts w:ascii="Times New Roman" w:hAnsi="Times New Roman"/>
                <w:sz w:val="21"/>
                <w:szCs w:val="21"/>
              </w:rPr>
              <w:t>针对</w:t>
            </w:r>
            <w:r>
              <w:rPr>
                <w:rFonts w:hint="eastAsia" w:ascii="Times New Roman" w:hAnsi="Times New Roman"/>
                <w:sz w:val="21"/>
                <w:szCs w:val="21"/>
              </w:rPr>
              <w:t>本项目</w:t>
            </w:r>
            <w:r>
              <w:rPr>
                <w:rFonts w:ascii="Times New Roman" w:hAnsi="Times New Roman"/>
                <w:sz w:val="21"/>
                <w:szCs w:val="21"/>
              </w:rPr>
              <w:t>生产过程中废水及固体废物产生、输送和处理过程，采取合理有效的工程措施可防止污染物对地下水</w:t>
            </w:r>
            <w:r>
              <w:rPr>
                <w:rFonts w:hint="eastAsia" w:ascii="Times New Roman" w:hAnsi="Times New Roman"/>
                <w:sz w:val="21"/>
                <w:szCs w:val="21"/>
              </w:rPr>
              <w:t>、土壤</w:t>
            </w:r>
            <w:r>
              <w:rPr>
                <w:rFonts w:ascii="Times New Roman" w:hAnsi="Times New Roman"/>
                <w:sz w:val="21"/>
                <w:szCs w:val="21"/>
              </w:rPr>
              <w:t>的污染。</w:t>
            </w:r>
          </w:p>
          <w:p>
            <w:pPr>
              <w:adjustRightInd w:val="0"/>
              <w:snapToGrid w:val="0"/>
              <w:ind w:firstLine="420" w:firstLineChars="200"/>
              <w:jc w:val="left"/>
              <w:rPr>
                <w:rFonts w:ascii="Times New Roman" w:hAnsi="Times New Roman"/>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ascii="Times New Roman" w:hAnsi="Times New Roman"/>
                <w:sz w:val="21"/>
                <w:szCs w:val="21"/>
              </w:rPr>
              <w:t>源头控制：新建项目输水、排水管道等必须采取防渗措施，杜绝各类废水下渗的通道。另外，应严格废水的管理，强调节约用水，防止污水“跑、冒、滴、漏”，确保污水处理系统的正常运行。污水的转移运输管线敷设尽量采用“可视化”原则，即管道尽可能地上敷设，做到污染物“早发现、早处理”，以减少由于埋地管道泄漏而可能造成地下水污染</w:t>
            </w:r>
            <w:r>
              <w:rPr>
                <w:rFonts w:hint="eastAsia"/>
                <w:sz w:val="21"/>
                <w:szCs w:val="21"/>
                <w:lang w:eastAsia="zh-CN"/>
              </w:rPr>
              <w:t>，</w:t>
            </w:r>
            <w:r>
              <w:rPr>
                <w:rFonts w:ascii="Times New Roman" w:hAnsi="Times New Roman"/>
                <w:sz w:val="21"/>
                <w:szCs w:val="21"/>
              </w:rPr>
              <w:t>并且接口处要定期检查以免漏水。</w:t>
            </w:r>
          </w:p>
          <w:p>
            <w:pPr>
              <w:adjustRightInd w:val="0"/>
              <w:snapToGrid w:val="0"/>
              <w:ind w:firstLine="420" w:firstLineChars="200"/>
              <w:jc w:val="left"/>
              <w:rPr>
                <w:rFonts w:ascii="Times New Roman" w:hAnsi="Times New Roman"/>
                <w:sz w:val="21"/>
                <w:szCs w:val="21"/>
              </w:rPr>
            </w:pPr>
            <w:r>
              <w:rPr>
                <w:rFonts w:ascii="Times New Roman" w:hAnsi="Times New Roman"/>
                <w:sz w:val="21"/>
                <w:szCs w:val="21"/>
              </w:rPr>
              <w:t>（2）末端控制：分区防控。主要包括厂内污染区地面的防渗措施和泄漏、渗漏污染物收集措施，从而避免对地下水的污染。结合项目各生产设备、贮存等因素，根据项目场地天然包气带防污性能、污染控制难易程度和污染物特性对全厂进行分区防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noWrap w:val="0"/>
            <w:vAlign w:val="center"/>
          </w:tcPr>
          <w:p>
            <w:pPr>
              <w:adjustRightInd w:val="0"/>
              <w:snapToGrid w:val="0"/>
              <w:jc w:val="center"/>
              <w:rPr>
                <w:rFonts w:ascii="Times New Roman" w:hAnsi="Times New Roman"/>
                <w:sz w:val="21"/>
                <w:szCs w:val="21"/>
              </w:rPr>
            </w:pPr>
            <w:r>
              <w:rPr>
                <w:rFonts w:ascii="Times New Roman" w:hAnsi="Times New Roman"/>
                <w:sz w:val="21"/>
                <w:szCs w:val="21"/>
              </w:rPr>
              <w:t>生态保护措施</w:t>
            </w:r>
          </w:p>
        </w:tc>
        <w:tc>
          <w:tcPr>
            <w:tcW w:w="4409" w:type="pct"/>
            <w:gridSpan w:val="4"/>
            <w:noWrap w:val="0"/>
            <w:vAlign w:val="center"/>
          </w:tcPr>
          <w:p>
            <w:pPr>
              <w:adjustRightInd w:val="0"/>
              <w:snapToGrid w:val="0"/>
              <w:jc w:val="center"/>
              <w:rPr>
                <w:rFonts w:ascii="Times New Roman" w:hAnsi="Times New Roman"/>
                <w:sz w:val="21"/>
                <w:szCs w:val="21"/>
              </w:rPr>
            </w:pPr>
            <w:r>
              <w:rPr>
                <w:rFonts w:ascii="Times New Roman" w:hAnsi="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noWrap w:val="0"/>
            <w:vAlign w:val="center"/>
          </w:tcPr>
          <w:p>
            <w:pPr>
              <w:adjustRightInd w:val="0"/>
              <w:snapToGrid w:val="0"/>
              <w:jc w:val="center"/>
              <w:rPr>
                <w:rFonts w:ascii="Times New Roman" w:hAnsi="Times New Roman"/>
                <w:spacing w:val="-8"/>
                <w:sz w:val="21"/>
                <w:szCs w:val="21"/>
              </w:rPr>
            </w:pPr>
            <w:r>
              <w:rPr>
                <w:rFonts w:ascii="Times New Roman" w:hAnsi="Times New Roman"/>
                <w:spacing w:val="-8"/>
                <w:sz w:val="21"/>
                <w:szCs w:val="21"/>
              </w:rPr>
              <w:t>环境风险</w:t>
            </w:r>
          </w:p>
          <w:p>
            <w:pPr>
              <w:adjustRightInd w:val="0"/>
              <w:snapToGrid w:val="0"/>
              <w:jc w:val="center"/>
              <w:rPr>
                <w:rFonts w:ascii="Times New Roman" w:hAnsi="Times New Roman"/>
                <w:spacing w:val="-8"/>
                <w:sz w:val="21"/>
                <w:szCs w:val="21"/>
              </w:rPr>
            </w:pPr>
            <w:r>
              <w:rPr>
                <w:rFonts w:ascii="Times New Roman" w:hAnsi="Times New Roman"/>
                <w:spacing w:val="-8"/>
                <w:sz w:val="21"/>
                <w:szCs w:val="21"/>
              </w:rPr>
              <w:t>防范措施</w:t>
            </w:r>
          </w:p>
        </w:tc>
        <w:tc>
          <w:tcPr>
            <w:tcW w:w="4409" w:type="pct"/>
            <w:gridSpan w:val="4"/>
            <w:noWrap w:val="0"/>
            <w:vAlign w:val="center"/>
          </w:tcPr>
          <w:p>
            <w:pPr>
              <w:keepNext w:val="0"/>
              <w:keepLines w:val="0"/>
              <w:pageBreakBefore w:val="0"/>
              <w:widowControl w:val="0"/>
              <w:kinsoku/>
              <w:wordWrap/>
              <w:overflowPunct/>
              <w:topLinePunct w:val="0"/>
              <w:autoSpaceDE/>
              <w:autoSpaceDN/>
              <w:bidi w:val="0"/>
              <w:spacing w:line="240" w:lineRule="auto"/>
              <w:ind w:firstLine="420" w:firstLineChars="200"/>
              <w:jc w:val="both"/>
              <w:textAlignment w:val="auto"/>
              <w:rPr>
                <w:rFonts w:ascii="Times New Roman" w:hAnsi="Times New Roman"/>
                <w:color w:val="000000"/>
                <w:sz w:val="21"/>
                <w:szCs w:val="21"/>
              </w:rPr>
            </w:pPr>
            <w:r>
              <w:rPr>
                <w:rFonts w:hint="default" w:ascii="Times New Roman" w:hAnsi="Times New Roman" w:cs="Times New Roman"/>
                <w:color w:val="000000"/>
                <w:sz w:val="21"/>
                <w:szCs w:val="21"/>
                <w:lang w:val="en-US" w:eastAsia="zh-CN"/>
              </w:rPr>
              <w:t>1、</w:t>
            </w:r>
            <w:r>
              <w:rPr>
                <w:rFonts w:ascii="Times New Roman" w:hAnsi="Times New Roman"/>
                <w:color w:val="000000"/>
                <w:sz w:val="21"/>
                <w:szCs w:val="21"/>
              </w:rPr>
              <w:t>建立健全各种有关消防与安全生产的规章制度，建立岗位责任制。仓库、生产车间严禁明火。生产车间、公用工程、仓库等场所配置足量的泡沫、干粉等灭火器，并保持完好状态。</w:t>
            </w:r>
          </w:p>
          <w:p>
            <w:pPr>
              <w:keepNext w:val="0"/>
              <w:keepLines w:val="0"/>
              <w:pageBreakBefore w:val="0"/>
              <w:widowControl w:val="0"/>
              <w:kinsoku/>
              <w:wordWrap/>
              <w:overflowPunct/>
              <w:topLinePunct w:val="0"/>
              <w:autoSpaceDE/>
              <w:autoSpaceDN/>
              <w:bidi w:val="0"/>
              <w:spacing w:line="240" w:lineRule="auto"/>
              <w:ind w:firstLine="420" w:firstLineChars="200"/>
              <w:jc w:val="both"/>
              <w:textAlignment w:val="auto"/>
              <w:rPr>
                <w:rFonts w:ascii="Times New Roman" w:hAnsi="Times New Roman"/>
                <w:color w:val="000000"/>
                <w:sz w:val="21"/>
                <w:szCs w:val="21"/>
              </w:rPr>
            </w:pPr>
            <w:r>
              <w:rPr>
                <w:rFonts w:hint="eastAsia"/>
                <w:color w:val="000000"/>
                <w:sz w:val="21"/>
                <w:szCs w:val="21"/>
                <w:lang w:val="en-US" w:eastAsia="zh-CN"/>
              </w:rPr>
              <w:t>2、</w:t>
            </w:r>
            <w:r>
              <w:rPr>
                <w:rFonts w:ascii="Times New Roman" w:hAnsi="Times New Roman"/>
                <w:color w:val="000000"/>
                <w:sz w:val="21"/>
                <w:szCs w:val="21"/>
              </w:rPr>
              <w:t>厂区留有足够的消防通道。生产车间、仓库设置消防给水管道和消防栓。厂部要组织义务消防员，并进行定期的培训和训练。对有火灾危险的场所设置自动报警系统，一旦发生火灾，立即做出应急反应。</w:t>
            </w:r>
          </w:p>
          <w:p>
            <w:pPr>
              <w:keepNext w:val="0"/>
              <w:keepLines w:val="0"/>
              <w:pageBreakBefore w:val="0"/>
              <w:widowControl w:val="0"/>
              <w:kinsoku/>
              <w:wordWrap/>
              <w:overflowPunct/>
              <w:topLinePunct w:val="0"/>
              <w:autoSpaceDE/>
              <w:autoSpaceDN/>
              <w:bidi w:val="0"/>
              <w:spacing w:line="240" w:lineRule="auto"/>
              <w:ind w:firstLine="420" w:firstLineChars="200"/>
              <w:jc w:val="both"/>
              <w:textAlignment w:val="auto"/>
              <w:rPr>
                <w:rFonts w:ascii="Times New Roman" w:hAnsi="Times New Roman"/>
                <w:color w:val="000000"/>
                <w:sz w:val="21"/>
                <w:szCs w:val="21"/>
              </w:rPr>
            </w:pPr>
            <w:r>
              <w:rPr>
                <w:rFonts w:hint="eastAsia"/>
                <w:color w:val="000000"/>
                <w:sz w:val="21"/>
                <w:szCs w:val="21"/>
                <w:lang w:val="en-US" w:eastAsia="zh-CN"/>
              </w:rPr>
              <w:t>3、</w:t>
            </w:r>
            <w:r>
              <w:rPr>
                <w:rFonts w:ascii="Times New Roman" w:hAnsi="Times New Roman"/>
                <w:color w:val="000000"/>
                <w:sz w:val="21"/>
                <w:szCs w:val="21"/>
              </w:rPr>
              <w:t>对于</w:t>
            </w:r>
            <w:r>
              <w:rPr>
                <w:rFonts w:hint="eastAsia"/>
                <w:color w:val="000000"/>
                <w:sz w:val="21"/>
                <w:szCs w:val="21"/>
                <w:lang w:eastAsia="zh-CN"/>
              </w:rPr>
              <w:t>危废贮存点</w:t>
            </w:r>
            <w:r>
              <w:rPr>
                <w:rFonts w:ascii="Times New Roman" w:hAnsi="Times New Roman"/>
                <w:color w:val="000000"/>
                <w:sz w:val="21"/>
                <w:szCs w:val="21"/>
              </w:rPr>
              <w:t>，建设单位拟设置监控系统，主要在</w:t>
            </w:r>
            <w:r>
              <w:rPr>
                <w:rFonts w:hint="eastAsia"/>
                <w:color w:val="000000"/>
                <w:sz w:val="21"/>
                <w:szCs w:val="21"/>
                <w:lang w:val="en-US" w:eastAsia="zh-CN"/>
              </w:rPr>
              <w:t>贮存点</w:t>
            </w:r>
            <w:r>
              <w:rPr>
                <w:rFonts w:ascii="Times New Roman" w:hAnsi="Times New Roman"/>
                <w:color w:val="000000"/>
                <w:sz w:val="21"/>
                <w:szCs w:val="21"/>
              </w:rPr>
              <w:t>出入口、</w:t>
            </w:r>
            <w:r>
              <w:rPr>
                <w:rFonts w:hint="eastAsia"/>
                <w:color w:val="000000"/>
                <w:sz w:val="21"/>
                <w:szCs w:val="21"/>
                <w:lang w:val="en-US" w:eastAsia="zh-CN"/>
              </w:rPr>
              <w:t>贮存点</w:t>
            </w:r>
            <w:r>
              <w:rPr>
                <w:rFonts w:ascii="Times New Roman" w:hAnsi="Times New Roman"/>
                <w:color w:val="000000"/>
                <w:sz w:val="21"/>
                <w:szCs w:val="21"/>
              </w:rPr>
              <w:t>内、厂门口等关键位置安装视频监控设施，进行实时监控，并与中控室联网。</w:t>
            </w:r>
            <w:r>
              <w:rPr>
                <w:rFonts w:hint="eastAsia"/>
                <w:color w:val="000000"/>
                <w:sz w:val="21"/>
                <w:szCs w:val="21"/>
                <w:lang w:eastAsia="zh-CN"/>
              </w:rPr>
              <w:t>危废贮存点</w:t>
            </w:r>
            <w:r>
              <w:rPr>
                <w:rFonts w:ascii="Times New Roman" w:hAnsi="Times New Roman"/>
                <w:color w:val="000000"/>
                <w:sz w:val="21"/>
                <w:szCs w:val="21"/>
              </w:rPr>
              <w:t>设置警示标志牌。</w:t>
            </w:r>
          </w:p>
          <w:p>
            <w:pPr>
              <w:keepNext w:val="0"/>
              <w:keepLines w:val="0"/>
              <w:pageBreakBefore w:val="0"/>
              <w:widowControl w:val="0"/>
              <w:kinsoku/>
              <w:wordWrap/>
              <w:overflowPunct/>
              <w:topLinePunct w:val="0"/>
              <w:autoSpaceDE/>
              <w:autoSpaceDN/>
              <w:bidi w:val="0"/>
              <w:spacing w:line="240" w:lineRule="auto"/>
              <w:ind w:firstLine="420" w:firstLineChars="200"/>
              <w:jc w:val="both"/>
              <w:textAlignment w:val="auto"/>
              <w:rPr>
                <w:rFonts w:ascii="Times New Roman" w:hAnsi="Times New Roman"/>
                <w:color w:val="000000"/>
                <w:sz w:val="21"/>
                <w:szCs w:val="21"/>
              </w:rPr>
            </w:pPr>
            <w:r>
              <w:rPr>
                <w:rFonts w:ascii="Times New Roman" w:hAnsi="Times New Roman"/>
                <w:color w:val="000000"/>
                <w:sz w:val="21"/>
                <w:szCs w:val="21"/>
              </w:rPr>
              <w:t>贮存过程拟在</w:t>
            </w:r>
            <w:r>
              <w:rPr>
                <w:rFonts w:hint="eastAsia"/>
                <w:color w:val="000000"/>
                <w:sz w:val="21"/>
                <w:szCs w:val="21"/>
                <w:lang w:val="en-US" w:eastAsia="zh-CN"/>
              </w:rPr>
              <w:t>液态危险废物贮存容器下方设置不锈钢托盘</w:t>
            </w:r>
            <w:r>
              <w:rPr>
                <w:rFonts w:ascii="Times New Roman" w:hAnsi="Times New Roman"/>
                <w:color w:val="000000"/>
                <w:sz w:val="21"/>
                <w:szCs w:val="21"/>
              </w:rPr>
              <w:t>，</w:t>
            </w:r>
            <w:r>
              <w:rPr>
                <w:rFonts w:hint="eastAsia"/>
                <w:color w:val="000000"/>
                <w:sz w:val="21"/>
                <w:szCs w:val="21"/>
                <w:lang w:val="en-US" w:eastAsia="zh-CN"/>
              </w:rPr>
              <w:t>或在危废暂存场所设置地沟等，</w:t>
            </w:r>
            <w:r>
              <w:rPr>
                <w:rFonts w:ascii="Times New Roman" w:hAnsi="Times New Roman"/>
                <w:color w:val="000000"/>
                <w:sz w:val="21"/>
                <w:szCs w:val="21"/>
              </w:rPr>
              <w:t>发生少量泄漏立即将容器内剩余溶液转移，并收集托盘、地沟内泄漏液体，防止泄漏物料挥发到大气中。</w:t>
            </w:r>
          </w:p>
          <w:p>
            <w:pPr>
              <w:keepNext w:val="0"/>
              <w:keepLines w:val="0"/>
              <w:pageBreakBefore w:val="0"/>
              <w:widowControl w:val="0"/>
              <w:kinsoku/>
              <w:wordWrap/>
              <w:overflowPunct/>
              <w:topLinePunct w:val="0"/>
              <w:autoSpaceDE/>
              <w:autoSpaceDN/>
              <w:bidi w:val="0"/>
              <w:spacing w:line="240" w:lineRule="auto"/>
              <w:ind w:firstLine="420" w:firstLineChars="200"/>
              <w:jc w:val="both"/>
              <w:textAlignment w:val="auto"/>
              <w:rPr>
                <w:sz w:val="21"/>
                <w:szCs w:val="21"/>
              </w:rPr>
            </w:pPr>
            <w:r>
              <w:rPr>
                <w:rFonts w:hint="eastAsia"/>
                <w:color w:val="000000"/>
                <w:sz w:val="21"/>
                <w:szCs w:val="21"/>
                <w:lang w:val="en-US" w:eastAsia="zh-CN"/>
              </w:rPr>
              <w:t>4、</w:t>
            </w:r>
            <w:r>
              <w:rPr>
                <w:rFonts w:ascii="Times New Roman" w:hAnsi="Times New Roman"/>
                <w:color w:val="000000"/>
                <w:sz w:val="21"/>
                <w:szCs w:val="21"/>
              </w:rPr>
              <w:t>厂区内的雨水管道、事故沟收集系统要严格分开，设置切换阀。</w:t>
            </w:r>
          </w:p>
          <w:p>
            <w:pPr>
              <w:keepNext w:val="0"/>
              <w:keepLines w:val="0"/>
              <w:pageBreakBefore w:val="0"/>
              <w:widowControl w:val="0"/>
              <w:kinsoku/>
              <w:wordWrap/>
              <w:overflowPunct/>
              <w:topLinePunct w:val="0"/>
              <w:autoSpaceDE/>
              <w:autoSpaceDN/>
              <w:bidi w:val="0"/>
              <w:spacing w:line="240" w:lineRule="auto"/>
              <w:ind w:firstLine="420" w:firstLineChars="200"/>
              <w:jc w:val="both"/>
              <w:textAlignment w:val="auto"/>
              <w:rPr>
                <w:rFonts w:hint="eastAsia" w:ascii="Times New Roman" w:hAnsi="Times New Roman" w:cs="Times New Roman"/>
                <w:color w:val="000000"/>
                <w:sz w:val="21"/>
                <w:szCs w:val="21"/>
                <w:lang w:val="en-US" w:eastAsia="zh-CN"/>
              </w:rPr>
            </w:pPr>
            <w:r>
              <w:rPr>
                <w:rFonts w:hint="eastAsia" w:cs="Times New Roman"/>
                <w:color w:val="000000"/>
                <w:sz w:val="21"/>
                <w:szCs w:val="21"/>
                <w:lang w:val="en-US" w:eastAsia="zh-CN"/>
              </w:rPr>
              <w:t>5、</w:t>
            </w:r>
            <w:r>
              <w:rPr>
                <w:rFonts w:hint="eastAsia" w:ascii="Times New Roman" w:hAnsi="Times New Roman" w:cs="Times New Roman"/>
                <w:color w:val="000000"/>
                <w:sz w:val="21"/>
                <w:szCs w:val="21"/>
                <w:lang w:val="en-US" w:eastAsia="zh-CN"/>
              </w:rPr>
              <w:t>平时加强废气处理设施的维护保养，及时发现处理设备的隐患，并及时进行维修，确保废气处理系统正常运行；建立健全的环保机构，配置必要的监测仪器，对管理人员和技术人员进行岗位培训，对废气处理实行全过程跟踪控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Times New Roman" w:hAnsi="Times New Roman"/>
                <w:spacing w:val="-8"/>
                <w:sz w:val="21"/>
                <w:szCs w:val="21"/>
              </w:rPr>
            </w:pPr>
            <w:r>
              <w:rPr>
                <w:rFonts w:hint="eastAsia"/>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项目生产车间周围设置明沟，雨水排口设置截止阀，由专人定期巡查，一旦发生事故，立即关闭截止阀，确保泄漏液、消防废水经沟渠自流入事故废水收集池，在事故池内暂存，待事故得到控制后对事故废水进行检测、委托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0" w:type="pct"/>
            <w:noWrap w:val="0"/>
            <w:vAlign w:val="center"/>
          </w:tcPr>
          <w:p>
            <w:pPr>
              <w:adjustRightInd w:val="0"/>
              <w:snapToGrid w:val="0"/>
              <w:jc w:val="center"/>
              <w:rPr>
                <w:rFonts w:ascii="Times New Roman" w:hAnsi="Times New Roman"/>
                <w:spacing w:val="-8"/>
                <w:sz w:val="21"/>
                <w:szCs w:val="21"/>
              </w:rPr>
            </w:pPr>
            <w:r>
              <w:rPr>
                <w:rFonts w:ascii="Times New Roman" w:hAnsi="Times New Roman"/>
                <w:spacing w:val="-8"/>
                <w:sz w:val="21"/>
                <w:szCs w:val="21"/>
              </w:rPr>
              <w:t>其他环境</w:t>
            </w:r>
          </w:p>
          <w:p>
            <w:pPr>
              <w:adjustRightInd w:val="0"/>
              <w:snapToGrid w:val="0"/>
              <w:jc w:val="center"/>
              <w:rPr>
                <w:rFonts w:ascii="Times New Roman" w:hAnsi="Times New Roman"/>
                <w:spacing w:val="-8"/>
                <w:sz w:val="21"/>
                <w:szCs w:val="21"/>
              </w:rPr>
            </w:pPr>
            <w:r>
              <w:rPr>
                <w:rFonts w:ascii="Times New Roman" w:hAnsi="Times New Roman"/>
                <w:spacing w:val="-8"/>
                <w:sz w:val="21"/>
                <w:szCs w:val="21"/>
              </w:rPr>
              <w:t>管理要求</w:t>
            </w:r>
          </w:p>
        </w:tc>
        <w:tc>
          <w:tcPr>
            <w:tcW w:w="4409" w:type="pct"/>
            <w:gridSpan w:val="4"/>
            <w:noWrap w:val="0"/>
            <w:vAlign w:val="center"/>
          </w:tcPr>
          <w:p>
            <w:pPr>
              <w:pStyle w:val="9"/>
              <w:spacing w:before="0" w:after="0" w:line="240" w:lineRule="auto"/>
              <w:ind w:right="0" w:firstLine="420" w:firstLineChars="200"/>
              <w:jc w:val="left"/>
              <w:rPr>
                <w:rFonts w:ascii="Times New Roman" w:hAnsi="Times New Roman"/>
                <w:color w:val="000000"/>
                <w:sz w:val="21"/>
                <w:szCs w:val="21"/>
              </w:rPr>
            </w:pPr>
            <w:r>
              <w:rPr>
                <w:rFonts w:ascii="Times New Roman" w:hAnsi="Times New Roman"/>
                <w:color w:val="000000"/>
                <w:sz w:val="21"/>
                <w:szCs w:val="21"/>
              </w:rPr>
              <w:t>①严格执行“三同时”制度在项目筹备、设计和施工建设不同阶段，均应严格执行“三同时”制度，确保污染处理设施能够与生产工艺设施“同时设计、同时施工、同时竣工”。</w:t>
            </w:r>
          </w:p>
          <w:p>
            <w:pPr>
              <w:pStyle w:val="9"/>
              <w:spacing w:before="0" w:after="0" w:line="240" w:lineRule="auto"/>
              <w:ind w:right="0" w:firstLine="420" w:firstLineChars="20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②</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排污许可制度：</w:t>
            </w:r>
            <w:r>
              <w:rPr>
                <w:rFonts w:ascii="Times New Roman" w:hAnsi="Times New Roman"/>
                <w:color w:val="000000" w:themeColor="text1"/>
                <w:sz w:val="21"/>
                <w:szCs w:val="21"/>
                <w14:textFill>
                  <w14:solidFill>
                    <w14:schemeClr w14:val="tx1"/>
                  </w14:solidFill>
                </w14:textFill>
              </w:rPr>
              <w:t>应按有关法规的要求，严格执行排污许可制度。根据《国民经济行业分类》（GB/T4754-2017），</w:t>
            </w:r>
            <w:r>
              <w:rPr>
                <w:rFonts w:hint="eastAsia" w:ascii="Times New Roman" w:hAnsi="Times New Roman"/>
                <w:color w:val="000000" w:themeColor="text1"/>
                <w:sz w:val="21"/>
                <w:szCs w:val="21"/>
                <w14:textFill>
                  <w14:solidFill>
                    <w14:schemeClr w14:val="tx1"/>
                  </w14:solidFill>
                </w14:textFill>
              </w:rPr>
              <w:t>本</w:t>
            </w:r>
            <w:r>
              <w:rPr>
                <w:rFonts w:ascii="Times New Roman" w:hAnsi="Times New Roman"/>
                <w:color w:val="000000" w:themeColor="text1"/>
                <w:sz w:val="21"/>
                <w:szCs w:val="21"/>
                <w14:textFill>
                  <w14:solidFill>
                    <w14:schemeClr w14:val="tx1"/>
                  </w14:solidFill>
                </w14:textFill>
              </w:rPr>
              <w:t>项</w:t>
            </w:r>
            <w:r>
              <w:rPr>
                <w:rFonts w:ascii="Times New Roman" w:hAnsi="Times New Roman" w:eastAsia="宋体" w:cs="Times New Roman"/>
                <w:color w:val="000000" w:themeColor="text1"/>
                <w:sz w:val="21"/>
                <w:szCs w:val="21"/>
                <w14:textFill>
                  <w14:solidFill>
                    <w14:schemeClr w14:val="tx1"/>
                  </w14:solidFill>
                </w14:textFill>
              </w:rPr>
              <w:t>目属于“</w:t>
            </w:r>
            <w:r>
              <w:rPr>
                <w:rFonts w:ascii="Times New Roman" w:hAnsi="Times New Roman" w:eastAsia="宋体" w:cs="Times New Roman"/>
                <w:sz w:val="21"/>
                <w:szCs w:val="21"/>
              </w:rPr>
              <w:t>[</w:t>
            </w:r>
            <w:r>
              <w:rPr>
                <w:rFonts w:hint="eastAsia" w:ascii="Times New Roman" w:hAnsi="Times New Roman" w:eastAsia="宋体" w:cs="Times New Roman"/>
                <w:sz w:val="21"/>
                <w:szCs w:val="21"/>
              </w:rPr>
              <w:t>C2035</w:t>
            </w:r>
            <w:r>
              <w:rPr>
                <w:rFonts w:ascii="Times New Roman" w:hAnsi="Times New Roman" w:eastAsia="宋体" w:cs="Times New Roman"/>
                <w:sz w:val="21"/>
                <w:szCs w:val="21"/>
              </w:rPr>
              <w:t>]</w:t>
            </w:r>
            <w:r>
              <w:rPr>
                <w:rFonts w:hint="eastAsia" w:ascii="Times New Roman" w:hAnsi="Times New Roman" w:eastAsia="宋体" w:cs="Times New Roman"/>
                <w:sz w:val="21"/>
                <w:szCs w:val="21"/>
              </w:rPr>
              <w:t>木质容器制造；[C2926</w:t>
            </w:r>
            <w:r>
              <w:rPr>
                <w:rFonts w:ascii="Times New Roman" w:hAnsi="Times New Roman" w:eastAsia="宋体" w:cs="Times New Roman"/>
                <w:sz w:val="21"/>
                <w:szCs w:val="21"/>
              </w:rPr>
              <w:t>]</w:t>
            </w:r>
            <w:r>
              <w:rPr>
                <w:rFonts w:hint="eastAsia" w:ascii="Times New Roman" w:hAnsi="Times New Roman" w:eastAsia="宋体" w:cs="Times New Roman"/>
                <w:sz w:val="21"/>
                <w:szCs w:val="21"/>
              </w:rPr>
              <w:t>塑料包装箱及容器制造；[C2231</w:t>
            </w:r>
            <w:r>
              <w:rPr>
                <w:rFonts w:ascii="Times New Roman" w:hAnsi="Times New Roman" w:eastAsia="宋体" w:cs="Times New Roman"/>
                <w:sz w:val="21"/>
                <w:szCs w:val="21"/>
              </w:rPr>
              <w:t>]</w:t>
            </w:r>
            <w:r>
              <w:rPr>
                <w:rFonts w:hint="eastAsia" w:ascii="Times New Roman" w:hAnsi="Times New Roman" w:eastAsia="宋体" w:cs="Times New Roman"/>
                <w:sz w:val="21"/>
                <w:szCs w:val="21"/>
              </w:rPr>
              <w:t>纸和</w:t>
            </w:r>
            <w:r>
              <w:rPr>
                <w:rFonts w:hint="eastAsia" w:ascii="Times New Roman" w:hAnsi="Times New Roman" w:eastAsia="宋体" w:cs="Times New Roman"/>
                <w:sz w:val="21"/>
                <w:szCs w:val="21"/>
                <w:lang w:val="en-US" w:eastAsia="zh-CN"/>
              </w:rPr>
              <w:t>纸箱制品</w:t>
            </w:r>
            <w:r>
              <w:rPr>
                <w:rFonts w:hint="eastAsia" w:ascii="Times New Roman" w:hAnsi="Times New Roman" w:eastAsia="宋体" w:cs="Times New Roman"/>
                <w:sz w:val="21"/>
                <w:szCs w:val="21"/>
              </w:rPr>
              <w:t>制造；[C2924</w:t>
            </w:r>
            <w:r>
              <w:rPr>
                <w:rFonts w:ascii="Times New Roman" w:hAnsi="Times New Roman" w:eastAsia="宋体" w:cs="Times New Roman"/>
                <w:sz w:val="21"/>
                <w:szCs w:val="21"/>
              </w:rPr>
              <w:t>]</w:t>
            </w:r>
            <w:r>
              <w:rPr>
                <w:rFonts w:hint="eastAsia" w:ascii="Times New Roman" w:hAnsi="Times New Roman" w:eastAsia="宋体" w:cs="Times New Roman"/>
                <w:sz w:val="21"/>
                <w:szCs w:val="21"/>
              </w:rPr>
              <w:t>泡沫</w:t>
            </w:r>
            <w:r>
              <w:rPr>
                <w:rFonts w:hint="eastAsia" w:ascii="Times New Roman" w:hAnsi="Times New Roman" w:eastAsia="宋体" w:cs="Times New Roman"/>
                <w:sz w:val="21"/>
                <w:szCs w:val="21"/>
                <w:lang w:val="en-US" w:eastAsia="zh-CN"/>
              </w:rPr>
              <w:t>塑料制造</w:t>
            </w:r>
            <w:r>
              <w:rPr>
                <w:rFonts w:ascii="Times New Roman" w:hAnsi="Times New Roman" w:eastAsia="宋体" w:cs="Times New Roman"/>
                <w:color w:val="000000" w:themeColor="text1"/>
                <w:sz w:val="21"/>
                <w:szCs w:val="21"/>
                <w14:textFill>
                  <w14:solidFill>
                    <w14:schemeClr w14:val="tx1"/>
                  </w14:solidFill>
                </w14:textFill>
              </w:rPr>
              <w:t>”，对照《固定污染源排污许可分类管理名录》（2019年版），“</w:t>
            </w:r>
            <w:r>
              <w:rPr>
                <w:rFonts w:hint="eastAsia" w:cs="Times New Roman"/>
                <w:color w:val="000000" w:themeColor="text1"/>
                <w:sz w:val="21"/>
                <w:szCs w:val="21"/>
                <w:lang w:val="en-US" w:eastAsia="zh-CN"/>
                <w14:textFill>
                  <w14:solidFill>
                    <w14:schemeClr w14:val="tx1"/>
                  </w14:solidFill>
                </w14:textFill>
              </w:rPr>
              <w:t>十七、造纸和纸制品业22-38纸制品制造223-有工业或者废气排放的</w:t>
            </w:r>
            <w:r>
              <w:rPr>
                <w:rFonts w:ascii="Times New Roman" w:hAnsi="Times New Roman"/>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实施简化管理。</w:t>
            </w:r>
            <w:r>
              <w:rPr>
                <w:rFonts w:ascii="Times New Roman" w:hAnsi="Times New Roman" w:eastAsia="宋体"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十五、木材加工和木、竹、藤、棕、草制品业20-34木材加工201-其他</w:t>
            </w:r>
            <w:r>
              <w:rPr>
                <w:rFonts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实施</w:t>
            </w:r>
            <w:r>
              <w:rPr>
                <w:rFonts w:hint="eastAsia"/>
                <w:color w:val="000000" w:themeColor="text1"/>
                <w:sz w:val="21"/>
                <w:szCs w:val="21"/>
                <w:lang w:val="en-US" w:eastAsia="zh-CN"/>
                <w14:textFill>
                  <w14:solidFill>
                    <w14:schemeClr w14:val="tx1"/>
                  </w14:solidFill>
                </w14:textFill>
              </w:rPr>
              <w:t>登记</w:t>
            </w:r>
            <w:r>
              <w:rPr>
                <w:rFonts w:ascii="Times New Roman" w:hAnsi="Times New Roman"/>
                <w:color w:val="000000" w:themeColor="text1"/>
                <w:sz w:val="21"/>
                <w:szCs w:val="21"/>
                <w14:textFill>
                  <w14:solidFill>
                    <w14:schemeClr w14:val="tx1"/>
                  </w14:solidFill>
                </w14:textFill>
              </w:rPr>
              <w:t>管理。</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二十四、橡胶和塑料制品业29-62塑料制品业292-</w:t>
            </w:r>
            <w:r>
              <w:rPr>
                <w:rFonts w:hint="eastAsia" w:ascii="宋体" w:hAnsi="宋体" w:cs="宋体"/>
                <w:sz w:val="21"/>
                <w:szCs w:val="21"/>
                <w:lang w:val="en-US" w:eastAsia="zh-CN"/>
              </w:rPr>
              <w:t>其他</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实施</w:t>
            </w:r>
            <w:r>
              <w:rPr>
                <w:rFonts w:hint="eastAsia" w:ascii="宋体" w:hAnsi="宋体" w:cs="宋体"/>
                <w:color w:val="000000" w:themeColor="text1"/>
                <w:sz w:val="21"/>
                <w:szCs w:val="21"/>
                <w:lang w:val="en-US" w:eastAsia="zh-CN"/>
                <w14:textFill>
                  <w14:solidFill>
                    <w14:schemeClr w14:val="tx1"/>
                  </w14:solidFill>
                </w14:textFill>
              </w:rPr>
              <w:t>登记</w:t>
            </w:r>
            <w:r>
              <w:rPr>
                <w:rFonts w:hint="eastAsia" w:ascii="宋体" w:hAnsi="宋体" w:eastAsia="宋体" w:cs="宋体"/>
                <w:color w:val="000000" w:themeColor="text1"/>
                <w:sz w:val="21"/>
                <w:szCs w:val="21"/>
                <w:lang w:val="en-US" w:eastAsia="zh-CN"/>
                <w14:textFill>
                  <w14:solidFill>
                    <w14:schemeClr w14:val="tx1"/>
                  </w14:solidFill>
                </w14:textFill>
              </w:rPr>
              <w:t>管理。</w:t>
            </w:r>
            <w:r>
              <w:rPr>
                <w:rFonts w:hint="eastAsia" w:ascii="宋体" w:hAnsi="宋体" w:cs="宋体"/>
                <w:color w:val="000000" w:themeColor="text1"/>
                <w:sz w:val="21"/>
                <w:szCs w:val="21"/>
                <w:lang w:val="en-US" w:eastAsia="zh-CN"/>
                <w14:textFill>
                  <w14:solidFill>
                    <w14:schemeClr w14:val="tx1"/>
                  </w14:solidFill>
                </w14:textFill>
              </w:rPr>
              <w:t>故综合分析，本项目为简化管理。</w:t>
            </w:r>
          </w:p>
          <w:p>
            <w:pPr>
              <w:adjustRightInd w:val="0"/>
              <w:snapToGrid w:val="0"/>
              <w:ind w:firstLine="420" w:firstLineChars="200"/>
              <w:jc w:val="left"/>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③信息公开制度</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14:textFill>
                  <w14:solidFill>
                    <w14:schemeClr w14:val="tx1"/>
                  </w14:solidFill>
                </w14:textFill>
              </w:rPr>
              <w:t>本项目建成后，应建立健全环境信息公开制度，及时、完整、准确的按照《企业事业单位环境信息公开办法》（环保部第31号令）等法律法规及技术规范要求，向社会及时公开污染防治设施的建设、运行情况，排放污染物名称、排放方式、排放浓度和总量、超标排放情况和整改情况等信息。</w:t>
            </w:r>
          </w:p>
          <w:p>
            <w:pPr>
              <w:pStyle w:val="9"/>
              <w:spacing w:before="0" w:after="0" w:line="240" w:lineRule="auto"/>
              <w:ind w:right="0" w:firstLine="420" w:firstLineChars="200"/>
              <w:jc w:val="left"/>
              <w:rPr>
                <w:rFonts w:ascii="Times New Roman" w:hAnsi="Times New Roman"/>
                <w:color w:val="000000"/>
                <w:sz w:val="21"/>
                <w:szCs w:val="21"/>
              </w:rPr>
            </w:pPr>
            <w:r>
              <w:rPr>
                <w:rFonts w:hint="eastAsia" w:ascii="Times New Roman" w:hAnsi="Times New Roman"/>
                <w:color w:val="000000"/>
                <w:sz w:val="21"/>
                <w:szCs w:val="21"/>
              </w:rPr>
              <w:t>④项目的性质、规模、地点、采用的生产工艺或者防治污染、防止生态破坏的措施发生重大变动的应当重新报批环境影响报告表。自环评批复之日起超过5年，方决定项目开工建设的，其环境影响报告表应重新报批审核。</w:t>
            </w:r>
          </w:p>
          <w:p>
            <w:pPr>
              <w:pStyle w:val="9"/>
              <w:spacing w:before="0" w:after="0" w:line="240" w:lineRule="auto"/>
              <w:ind w:right="0" w:firstLine="420" w:firstLineChars="200"/>
              <w:jc w:val="left"/>
              <w:rPr>
                <w:rFonts w:hint="eastAsia" w:ascii="Times New Roman" w:hAnsi="Times New Roman" w:eastAsia="宋体"/>
                <w:sz w:val="21"/>
                <w:szCs w:val="21"/>
                <w:lang w:eastAsia="zh-CN"/>
              </w:rPr>
            </w:pPr>
            <w:r>
              <w:rPr>
                <w:rFonts w:ascii="Times New Roman" w:hAnsi="Times New Roman"/>
                <w:color w:val="000000"/>
                <w:sz w:val="21"/>
                <w:szCs w:val="21"/>
              </w:rPr>
              <w:t>⑤建设单位应根据《关于做好生态环境和应急管理部门联动工作的意见》（苏环办〔2020〕101号），开展环保设施安全风险辨识，健全内部污染防治设施稳定运行和管理责任制度，严格依据标准规范建设环境治理设施，确保环境治理设施安全、稳定、有效运行。</w:t>
            </w:r>
          </w:p>
        </w:tc>
      </w:tr>
    </w:tbl>
    <w:p>
      <w:pPr>
        <w:pStyle w:val="16"/>
        <w:keepNext w:val="0"/>
        <w:keepLines w:val="0"/>
        <w:pageBreakBefore w:val="0"/>
        <w:kinsoku/>
        <w:wordWrap/>
        <w:overflowPunct/>
        <w:topLinePunct w:val="0"/>
        <w:autoSpaceDE/>
        <w:autoSpaceDN/>
        <w:bidi w:val="0"/>
        <w:spacing w:before="0" w:beforeAutospacing="0" w:after="0" w:afterAutospacing="0" w:line="500" w:lineRule="exact"/>
        <w:jc w:val="center"/>
        <w:textAlignment w:val="auto"/>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18"/>
        <w:tblW w:w="9071"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0" w:type="dxa"/>
          <w:bottom w:w="0" w:type="dxa"/>
          <w:right w:w="0"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0" w:type="dxa"/>
            <w:bottom w:w="0" w:type="dxa"/>
            <w:right w:w="0" w:type="dxa"/>
          </w:tblCellMar>
        </w:tblPrEx>
        <w:trPr>
          <w:trHeight w:val="11991" w:hRule="atLeast"/>
          <w:jc w:val="center"/>
        </w:trPr>
        <w:tc>
          <w:tcPr>
            <w:tcW w:w="8865" w:type="dxa"/>
            <w:noWrap w:val="0"/>
            <w:vAlign w:val="top"/>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480" w:firstLineChars="200"/>
              <w:textAlignment w:val="auto"/>
              <w:rPr>
                <w:rFonts w:hint="default" w:ascii="Times New Roman" w:hAnsi="Times New Roman" w:cs="Times New Roman"/>
              </w:rPr>
            </w:pPr>
            <w:r>
              <w:rPr>
                <w:rFonts w:hint="default" w:ascii="Times New Roman" w:hAnsi="Times New Roman" w:cs="Times New Roman"/>
                <w:snapToGrid w:val="0"/>
                <w:kern w:val="0"/>
                <w:sz w:val="24"/>
                <w:szCs w:val="24"/>
              </w:rPr>
              <w:t>本项目为</w:t>
            </w:r>
            <w:r>
              <w:rPr>
                <w:rFonts w:hint="eastAsia" w:ascii="Times New Roman" w:hAnsi="Times New Roman" w:cs="Times New Roman"/>
                <w:snapToGrid w:val="0"/>
                <w:kern w:val="0"/>
                <w:sz w:val="24"/>
                <w:szCs w:val="24"/>
                <w:lang w:val="en-US" w:eastAsia="zh-CN"/>
              </w:rPr>
              <w:t>智能包装</w:t>
            </w:r>
            <w:r>
              <w:rPr>
                <w:rFonts w:hint="default" w:ascii="Times New Roman" w:hAnsi="Times New Roman" w:cs="Times New Roman"/>
                <w:sz w:val="24"/>
                <w:szCs w:val="24"/>
                <w:lang w:eastAsia="zh-CN"/>
              </w:rPr>
              <w:t>制造项目</w:t>
            </w:r>
            <w:r>
              <w:rPr>
                <w:rFonts w:hint="default" w:ascii="Times New Roman" w:hAnsi="Times New Roman" w:cs="Times New Roman"/>
                <w:snapToGrid w:val="0"/>
                <w:kern w:val="0"/>
                <w:sz w:val="24"/>
                <w:szCs w:val="24"/>
              </w:rPr>
              <w:t>，选址于</w:t>
            </w:r>
            <w:r>
              <w:rPr>
                <w:rFonts w:hint="eastAsia"/>
                <w:sz w:val="24"/>
              </w:rPr>
              <w:t>海安市大公镇科技产业园开发大道606号23幢</w:t>
            </w:r>
            <w:r>
              <w:rPr>
                <w:rFonts w:hint="default" w:ascii="Times New Roman" w:hAnsi="Times New Roman" w:cs="Times New Roman"/>
                <w:snapToGrid w:val="0"/>
                <w:kern w:val="0"/>
                <w:sz w:val="24"/>
                <w:szCs w:val="24"/>
              </w:rPr>
              <w:t>，符合国家及地方产业政策，选址符合用地规划要求；本项目生产过程中产生的污染在采取有效的治理措施之后，对周围环境影响较小，不会改变当地环境质量现状；同时本项目对周边环境产生的影响较小，事故风险水平可被接受。因此，从环保的角度出发，该项目在坚持“三同时”原则并按照本报告中提出的各项环保措施治理后是可行的。</w:t>
            </w:r>
          </w:p>
        </w:tc>
      </w:tr>
    </w:tbl>
    <w:p>
      <w:pPr>
        <w:pStyle w:val="4"/>
        <w:sectPr>
          <w:pgSz w:w="11906" w:h="16838"/>
          <w:pgMar w:top="1474" w:right="1417" w:bottom="1474" w:left="1417"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6"/>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500" w:lineRule="exact"/>
        <w:jc w:val="center"/>
        <w:outlineLvl w:val="0"/>
        <w:rPr>
          <w:rFonts w:hint="default" w:ascii="Times New Roman" w:hAnsi="Times New Roman" w:cs="Times New Roman" w:eastAsiaTheme="majorEastAsia"/>
          <w:snapToGrid w:val="0"/>
          <w:sz w:val="38"/>
          <w:szCs w:val="38"/>
          <w:lang w:val="en-US" w:eastAsia="zh-CN"/>
        </w:rPr>
      </w:pPr>
      <w:r>
        <w:rPr>
          <w:rFonts w:hint="eastAsia" w:asciiTheme="majorEastAsia" w:hAnsiTheme="majorEastAsia" w:eastAsiaTheme="majorEastAsia" w:cstheme="majorEastAsia"/>
          <w:b/>
          <w:bCs/>
          <w:snapToGrid w:val="0"/>
          <w:sz w:val="38"/>
          <w:szCs w:val="38"/>
        </w:rPr>
        <w:t>建设项目污染物排放量汇总表</w:t>
      </w:r>
      <w:r>
        <w:rPr>
          <w:rFonts w:hint="eastAsia" w:asciiTheme="majorEastAsia" w:hAnsiTheme="majorEastAsia" w:eastAsiaTheme="majorEastAsia" w:cstheme="majorEastAsia"/>
          <w:b/>
          <w:bCs/>
          <w:snapToGrid w:val="0"/>
          <w:sz w:val="38"/>
          <w:szCs w:val="38"/>
          <w:lang w:val="en-US" w:eastAsia="zh-CN"/>
        </w:rPr>
        <w:t xml:space="preserve">      单位：</w:t>
      </w:r>
      <w:r>
        <w:rPr>
          <w:rFonts w:hint="default" w:ascii="Times New Roman" w:hAnsi="Times New Roman" w:cs="Times New Roman" w:eastAsiaTheme="majorEastAsia"/>
          <w:b/>
          <w:bCs/>
          <w:snapToGrid w:val="0"/>
          <w:sz w:val="38"/>
          <w:szCs w:val="38"/>
          <w:lang w:val="en-US" w:eastAsia="zh-CN"/>
        </w:rPr>
        <w:t>t/a</w:t>
      </w:r>
    </w:p>
    <w:tbl>
      <w:tblPr>
        <w:tblStyle w:val="18"/>
        <w:tblW w:w="138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68"/>
        <w:gridCol w:w="981"/>
        <w:gridCol w:w="778"/>
        <w:gridCol w:w="1683"/>
        <w:gridCol w:w="1253"/>
        <w:gridCol w:w="1603"/>
        <w:gridCol w:w="1502"/>
        <w:gridCol w:w="1557"/>
        <w:gridCol w:w="1640"/>
        <w:gridCol w:w="16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tcBorders>
              <w:tl2br w:val="single" w:color="auto" w:sz="4" w:space="0"/>
            </w:tcBorders>
            <w:noWrap w:val="0"/>
            <w:tcMar>
              <w:left w:w="28" w:type="dxa"/>
              <w:right w:w="2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baseline"/>
              <w:rPr>
                <w:rFonts w:hint="default" w:ascii="Times New Roman" w:hAnsi="Times New Roman" w:eastAsia="宋体" w:cs="Times New Roman"/>
                <w:snapToGrid w:val="0"/>
                <w:color w:val="000000"/>
                <w:spacing w:val="0"/>
                <w:kern w:val="0"/>
                <w:sz w:val="21"/>
                <w:szCs w:val="21"/>
              </w:rPr>
            </w:pPr>
            <w:r>
              <w:rPr>
                <w:rFonts w:hint="eastAsia" w:ascii="Times New Roman" w:eastAsia="宋体" w:cs="Times New Roman"/>
                <w:snapToGrid w:val="0"/>
                <w:color w:val="000000"/>
                <w:spacing w:val="0"/>
                <w:kern w:val="0"/>
                <w:sz w:val="21"/>
                <w:szCs w:val="21"/>
                <w:lang w:val="en-US" w:eastAsia="zh-CN"/>
              </w:rPr>
              <w:t xml:space="preserve">    </w:t>
            </w:r>
            <w:r>
              <w:rPr>
                <w:rFonts w:hint="default" w:ascii="Times New Roman" w:hAnsi="Times New Roman" w:eastAsia="宋体" w:cs="Times New Roman"/>
                <w:snapToGrid w:val="0"/>
                <w:color w:val="000000"/>
                <w:spacing w:val="0"/>
                <w:kern w:val="0"/>
                <w:sz w:val="21"/>
                <w:szCs w:val="21"/>
              </w:rPr>
              <w:t>项目</w:t>
            </w:r>
          </w:p>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210" w:firstLineChars="100"/>
              <w:jc w:val="both"/>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分类</w:t>
            </w:r>
          </w:p>
        </w:tc>
        <w:tc>
          <w:tcPr>
            <w:tcW w:w="1759" w:type="dxa"/>
            <w:gridSpan w:val="2"/>
            <w:noWrap w:val="0"/>
            <w:tcMar>
              <w:left w:w="28" w:type="dxa"/>
              <w:right w:w="2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污染物名称</w:t>
            </w:r>
          </w:p>
        </w:tc>
        <w:tc>
          <w:tcPr>
            <w:tcW w:w="1683" w:type="dxa"/>
            <w:noWrap w:val="0"/>
            <w:tcMar>
              <w:left w:w="28" w:type="dxa"/>
              <w:right w:w="2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现有工程</w:t>
            </w:r>
          </w:p>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排放量（固体废物产生量）</w:t>
            </w:r>
            <w:r>
              <w:rPr>
                <w:rFonts w:hint="default" w:ascii="Times New Roman" w:hAnsi="Times New Roman" w:eastAsia="宋体" w:cs="Times New Roman"/>
                <w:snapToGrid w:val="0"/>
                <w:color w:val="000000"/>
                <w:spacing w:val="0"/>
                <w:kern w:val="0"/>
                <w:sz w:val="21"/>
                <w:szCs w:val="21"/>
              </w:rPr>
              <w:fldChar w:fldCharType="begin"/>
            </w:r>
            <w:r>
              <w:rPr>
                <w:rFonts w:hint="default" w:ascii="Times New Roman" w:hAnsi="Times New Roman" w:eastAsia="宋体" w:cs="Times New Roman"/>
                <w:snapToGrid w:val="0"/>
                <w:color w:val="000000"/>
                <w:spacing w:val="0"/>
                <w:kern w:val="0"/>
                <w:sz w:val="21"/>
                <w:szCs w:val="21"/>
              </w:rPr>
              <w:instrText xml:space="preserve"> = 1 \* GB3 \* MERGEFORMAT </w:instrText>
            </w:r>
            <w:r>
              <w:rPr>
                <w:rFonts w:hint="default" w:ascii="Times New Roman" w:hAnsi="Times New Roman" w:eastAsia="宋体" w:cs="Times New Roman"/>
                <w:snapToGrid w:val="0"/>
                <w:color w:val="000000"/>
                <w:spacing w:val="0"/>
                <w:kern w:val="0"/>
                <w:sz w:val="21"/>
                <w:szCs w:val="21"/>
              </w:rPr>
              <w:fldChar w:fldCharType="separate"/>
            </w:r>
            <w:r>
              <w:rPr>
                <w:rFonts w:hint="default" w:ascii="Times New Roman" w:hAnsi="Times New Roman" w:eastAsia="宋体" w:cs="Times New Roman"/>
                <w:color w:val="000000"/>
                <w:spacing w:val="0"/>
                <w:kern w:val="0"/>
                <w:sz w:val="21"/>
                <w:szCs w:val="21"/>
              </w:rPr>
              <w:t>①</w:t>
            </w:r>
            <w:r>
              <w:rPr>
                <w:rFonts w:hint="default" w:ascii="Times New Roman" w:hAnsi="Times New Roman" w:eastAsia="宋体" w:cs="Times New Roman"/>
                <w:snapToGrid w:val="0"/>
                <w:color w:val="000000"/>
                <w:spacing w:val="0"/>
                <w:kern w:val="0"/>
                <w:sz w:val="21"/>
                <w:szCs w:val="21"/>
              </w:rPr>
              <w:fldChar w:fldCharType="end"/>
            </w:r>
          </w:p>
        </w:tc>
        <w:tc>
          <w:tcPr>
            <w:tcW w:w="1253" w:type="dxa"/>
            <w:noWrap w:val="0"/>
            <w:tcMar>
              <w:left w:w="28" w:type="dxa"/>
              <w:right w:w="2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现有工程</w:t>
            </w:r>
          </w:p>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许可排放量</w:t>
            </w:r>
          </w:p>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fldChar w:fldCharType="begin"/>
            </w:r>
            <w:r>
              <w:rPr>
                <w:rFonts w:hint="default" w:ascii="Times New Roman" w:hAnsi="Times New Roman" w:eastAsia="宋体" w:cs="Times New Roman"/>
                <w:snapToGrid w:val="0"/>
                <w:color w:val="000000"/>
                <w:spacing w:val="0"/>
                <w:kern w:val="0"/>
                <w:sz w:val="21"/>
                <w:szCs w:val="21"/>
              </w:rPr>
              <w:instrText xml:space="preserve"> = 2 \* GB3 \* MERGEFORMAT </w:instrText>
            </w:r>
            <w:r>
              <w:rPr>
                <w:rFonts w:hint="default" w:ascii="Times New Roman" w:hAnsi="Times New Roman" w:eastAsia="宋体" w:cs="Times New Roman"/>
                <w:snapToGrid w:val="0"/>
                <w:color w:val="000000"/>
                <w:spacing w:val="0"/>
                <w:kern w:val="0"/>
                <w:sz w:val="21"/>
                <w:szCs w:val="21"/>
              </w:rPr>
              <w:fldChar w:fldCharType="separate"/>
            </w:r>
            <w:r>
              <w:rPr>
                <w:rFonts w:hint="default" w:ascii="Times New Roman" w:hAnsi="Times New Roman" w:eastAsia="宋体" w:cs="Times New Roman"/>
                <w:snapToGrid w:val="0"/>
                <w:color w:val="000000"/>
                <w:spacing w:val="0"/>
                <w:kern w:val="0"/>
                <w:sz w:val="21"/>
                <w:szCs w:val="21"/>
              </w:rPr>
              <w:t>②</w:t>
            </w:r>
            <w:r>
              <w:rPr>
                <w:rFonts w:hint="default" w:ascii="Times New Roman" w:hAnsi="Times New Roman" w:eastAsia="宋体" w:cs="Times New Roman"/>
                <w:snapToGrid w:val="0"/>
                <w:color w:val="000000"/>
                <w:spacing w:val="0"/>
                <w:kern w:val="0"/>
                <w:sz w:val="21"/>
                <w:szCs w:val="21"/>
              </w:rPr>
              <w:fldChar w:fldCharType="end"/>
            </w:r>
          </w:p>
        </w:tc>
        <w:tc>
          <w:tcPr>
            <w:tcW w:w="1603" w:type="dxa"/>
            <w:noWrap w:val="0"/>
            <w:tcMar>
              <w:left w:w="28" w:type="dxa"/>
              <w:right w:w="2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在建工程</w:t>
            </w:r>
          </w:p>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排放量（固体废物产生量）</w:t>
            </w:r>
            <w:r>
              <w:rPr>
                <w:rFonts w:hint="default" w:ascii="Times New Roman" w:hAnsi="Times New Roman" w:eastAsia="宋体" w:cs="Times New Roman"/>
                <w:snapToGrid w:val="0"/>
                <w:color w:val="000000"/>
                <w:spacing w:val="0"/>
                <w:kern w:val="0"/>
                <w:sz w:val="21"/>
                <w:szCs w:val="21"/>
              </w:rPr>
              <w:fldChar w:fldCharType="begin"/>
            </w:r>
            <w:r>
              <w:rPr>
                <w:rFonts w:hint="default" w:ascii="Times New Roman" w:hAnsi="Times New Roman" w:eastAsia="宋体" w:cs="Times New Roman"/>
                <w:snapToGrid w:val="0"/>
                <w:color w:val="000000"/>
                <w:spacing w:val="0"/>
                <w:kern w:val="0"/>
                <w:sz w:val="21"/>
                <w:szCs w:val="21"/>
              </w:rPr>
              <w:instrText xml:space="preserve"> = 3 \* GB3 \* MERGEFORMAT </w:instrText>
            </w:r>
            <w:r>
              <w:rPr>
                <w:rFonts w:hint="default" w:ascii="Times New Roman" w:hAnsi="Times New Roman" w:eastAsia="宋体" w:cs="Times New Roman"/>
                <w:snapToGrid w:val="0"/>
                <w:color w:val="000000"/>
                <w:spacing w:val="0"/>
                <w:kern w:val="0"/>
                <w:sz w:val="21"/>
                <w:szCs w:val="21"/>
              </w:rPr>
              <w:fldChar w:fldCharType="separate"/>
            </w:r>
            <w:r>
              <w:rPr>
                <w:rFonts w:hint="default" w:ascii="Times New Roman" w:hAnsi="Times New Roman" w:eastAsia="宋体" w:cs="Times New Roman"/>
                <w:color w:val="000000"/>
                <w:spacing w:val="0"/>
                <w:kern w:val="0"/>
                <w:sz w:val="21"/>
                <w:szCs w:val="21"/>
              </w:rPr>
              <w:t>③</w:t>
            </w:r>
            <w:r>
              <w:rPr>
                <w:rFonts w:hint="default" w:ascii="Times New Roman" w:hAnsi="Times New Roman" w:eastAsia="宋体" w:cs="Times New Roman"/>
                <w:snapToGrid w:val="0"/>
                <w:color w:val="000000"/>
                <w:spacing w:val="0"/>
                <w:kern w:val="0"/>
                <w:sz w:val="21"/>
                <w:szCs w:val="21"/>
              </w:rPr>
              <w:fldChar w:fldCharType="end"/>
            </w:r>
          </w:p>
        </w:tc>
        <w:tc>
          <w:tcPr>
            <w:tcW w:w="1502" w:type="dxa"/>
            <w:noWrap w:val="0"/>
            <w:tcMar>
              <w:left w:w="28" w:type="dxa"/>
              <w:right w:w="2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本项目</w:t>
            </w:r>
          </w:p>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排放量（固体废物产生量）</w:t>
            </w:r>
            <w:r>
              <w:rPr>
                <w:rFonts w:hint="default" w:ascii="Times New Roman" w:hAnsi="Times New Roman" w:eastAsia="宋体" w:cs="Times New Roman"/>
                <w:snapToGrid w:val="0"/>
                <w:color w:val="000000"/>
                <w:spacing w:val="0"/>
                <w:kern w:val="0"/>
                <w:sz w:val="21"/>
                <w:szCs w:val="21"/>
              </w:rPr>
              <w:fldChar w:fldCharType="begin"/>
            </w:r>
            <w:r>
              <w:rPr>
                <w:rFonts w:hint="default" w:ascii="Times New Roman" w:hAnsi="Times New Roman" w:eastAsia="宋体" w:cs="Times New Roman"/>
                <w:snapToGrid w:val="0"/>
                <w:color w:val="000000"/>
                <w:spacing w:val="0"/>
                <w:kern w:val="0"/>
                <w:sz w:val="21"/>
                <w:szCs w:val="21"/>
              </w:rPr>
              <w:instrText xml:space="preserve"> = 4 \* GB3 \* MERGEFORMAT </w:instrText>
            </w:r>
            <w:r>
              <w:rPr>
                <w:rFonts w:hint="default" w:ascii="Times New Roman" w:hAnsi="Times New Roman" w:eastAsia="宋体" w:cs="Times New Roman"/>
                <w:snapToGrid w:val="0"/>
                <w:color w:val="000000"/>
                <w:spacing w:val="0"/>
                <w:kern w:val="0"/>
                <w:sz w:val="21"/>
                <w:szCs w:val="21"/>
              </w:rPr>
              <w:fldChar w:fldCharType="separate"/>
            </w:r>
            <w:r>
              <w:rPr>
                <w:rFonts w:hint="default" w:ascii="Times New Roman" w:hAnsi="Times New Roman" w:eastAsia="宋体" w:cs="Times New Roman"/>
                <w:color w:val="000000"/>
                <w:spacing w:val="0"/>
                <w:kern w:val="0"/>
                <w:sz w:val="21"/>
                <w:szCs w:val="21"/>
              </w:rPr>
              <w:t>④</w:t>
            </w:r>
            <w:r>
              <w:rPr>
                <w:rFonts w:hint="default" w:ascii="Times New Roman" w:hAnsi="Times New Roman" w:eastAsia="宋体" w:cs="Times New Roman"/>
                <w:snapToGrid w:val="0"/>
                <w:color w:val="000000"/>
                <w:spacing w:val="0"/>
                <w:kern w:val="0"/>
                <w:sz w:val="21"/>
                <w:szCs w:val="21"/>
              </w:rPr>
              <w:fldChar w:fldCharType="end"/>
            </w:r>
          </w:p>
        </w:tc>
        <w:tc>
          <w:tcPr>
            <w:tcW w:w="1557" w:type="dxa"/>
            <w:noWrap w:val="0"/>
            <w:tcMar>
              <w:left w:w="28" w:type="dxa"/>
              <w:right w:w="2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以新带老削减量</w:t>
            </w:r>
          </w:p>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（新建项目不填）</w:t>
            </w:r>
            <w:r>
              <w:rPr>
                <w:rFonts w:hint="default" w:ascii="Times New Roman" w:hAnsi="Times New Roman" w:eastAsia="宋体" w:cs="Times New Roman"/>
                <w:snapToGrid w:val="0"/>
                <w:color w:val="000000"/>
                <w:spacing w:val="0"/>
                <w:kern w:val="0"/>
                <w:sz w:val="21"/>
                <w:szCs w:val="21"/>
              </w:rPr>
              <w:fldChar w:fldCharType="begin"/>
            </w:r>
            <w:r>
              <w:rPr>
                <w:rFonts w:hint="default" w:ascii="Times New Roman" w:hAnsi="Times New Roman" w:eastAsia="宋体" w:cs="Times New Roman"/>
                <w:snapToGrid w:val="0"/>
                <w:color w:val="000000"/>
                <w:spacing w:val="0"/>
                <w:kern w:val="0"/>
                <w:sz w:val="21"/>
                <w:szCs w:val="21"/>
              </w:rPr>
              <w:instrText xml:space="preserve"> = 5 \* GB3 \* MERGEFORMAT </w:instrText>
            </w:r>
            <w:r>
              <w:rPr>
                <w:rFonts w:hint="default" w:ascii="Times New Roman" w:hAnsi="Times New Roman" w:eastAsia="宋体" w:cs="Times New Roman"/>
                <w:snapToGrid w:val="0"/>
                <w:color w:val="000000"/>
                <w:spacing w:val="0"/>
                <w:kern w:val="0"/>
                <w:sz w:val="21"/>
                <w:szCs w:val="21"/>
              </w:rPr>
              <w:fldChar w:fldCharType="separate"/>
            </w:r>
            <w:r>
              <w:rPr>
                <w:rFonts w:hint="default" w:ascii="Times New Roman" w:hAnsi="Times New Roman" w:eastAsia="宋体" w:cs="Times New Roman"/>
                <w:color w:val="000000"/>
                <w:spacing w:val="0"/>
                <w:kern w:val="0"/>
                <w:sz w:val="21"/>
                <w:szCs w:val="21"/>
              </w:rPr>
              <w:t>⑤</w:t>
            </w:r>
            <w:r>
              <w:rPr>
                <w:rFonts w:hint="default" w:ascii="Times New Roman" w:hAnsi="Times New Roman" w:eastAsia="宋体" w:cs="Times New Roman"/>
                <w:snapToGrid w:val="0"/>
                <w:color w:val="000000"/>
                <w:spacing w:val="0"/>
                <w:kern w:val="0"/>
                <w:sz w:val="21"/>
                <w:szCs w:val="21"/>
              </w:rPr>
              <w:fldChar w:fldCharType="end"/>
            </w:r>
          </w:p>
        </w:tc>
        <w:tc>
          <w:tcPr>
            <w:tcW w:w="1640" w:type="dxa"/>
            <w:noWrap w:val="0"/>
            <w:tcMar>
              <w:left w:w="28" w:type="dxa"/>
              <w:right w:w="2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本项目建成后</w:t>
            </w:r>
          </w:p>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全厂排放量（固体废物产生量）</w:t>
            </w:r>
            <w:r>
              <w:rPr>
                <w:rFonts w:hint="default" w:ascii="Times New Roman" w:hAnsi="Times New Roman" w:eastAsia="宋体" w:cs="Times New Roman"/>
                <w:snapToGrid w:val="0"/>
                <w:color w:val="000000"/>
                <w:spacing w:val="0"/>
                <w:kern w:val="0"/>
                <w:sz w:val="21"/>
                <w:szCs w:val="21"/>
              </w:rPr>
              <w:fldChar w:fldCharType="begin"/>
            </w:r>
            <w:r>
              <w:rPr>
                <w:rFonts w:hint="default" w:ascii="Times New Roman" w:hAnsi="Times New Roman" w:eastAsia="宋体" w:cs="Times New Roman"/>
                <w:snapToGrid w:val="0"/>
                <w:color w:val="000000"/>
                <w:spacing w:val="0"/>
                <w:kern w:val="0"/>
                <w:sz w:val="21"/>
                <w:szCs w:val="21"/>
              </w:rPr>
              <w:instrText xml:space="preserve"> = 6 \* GB3 \* MERGEFORMAT </w:instrText>
            </w:r>
            <w:r>
              <w:rPr>
                <w:rFonts w:hint="default" w:ascii="Times New Roman" w:hAnsi="Times New Roman" w:eastAsia="宋体" w:cs="Times New Roman"/>
                <w:snapToGrid w:val="0"/>
                <w:color w:val="000000"/>
                <w:spacing w:val="0"/>
                <w:kern w:val="0"/>
                <w:sz w:val="21"/>
                <w:szCs w:val="21"/>
              </w:rPr>
              <w:fldChar w:fldCharType="separate"/>
            </w:r>
            <w:r>
              <w:rPr>
                <w:rFonts w:hint="default" w:ascii="Times New Roman" w:hAnsi="Times New Roman" w:eastAsia="宋体" w:cs="Times New Roman"/>
                <w:color w:val="000000"/>
                <w:spacing w:val="0"/>
                <w:kern w:val="0"/>
                <w:sz w:val="21"/>
                <w:szCs w:val="21"/>
              </w:rPr>
              <w:t>⑥</w:t>
            </w:r>
            <w:r>
              <w:rPr>
                <w:rFonts w:hint="default" w:ascii="Times New Roman" w:hAnsi="Times New Roman" w:eastAsia="宋体" w:cs="Times New Roman"/>
                <w:snapToGrid w:val="0"/>
                <w:color w:val="000000"/>
                <w:spacing w:val="0"/>
                <w:kern w:val="0"/>
                <w:sz w:val="21"/>
                <w:szCs w:val="21"/>
              </w:rPr>
              <w:fldChar w:fldCharType="end"/>
            </w:r>
          </w:p>
        </w:tc>
        <w:tc>
          <w:tcPr>
            <w:tcW w:w="1625" w:type="dxa"/>
            <w:noWrap w:val="0"/>
            <w:tcMar>
              <w:left w:w="28" w:type="dxa"/>
              <w:right w:w="2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变化量</w:t>
            </w:r>
          </w:p>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textAlignment w:val="baseline"/>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fldChar w:fldCharType="begin"/>
            </w:r>
            <w:r>
              <w:rPr>
                <w:rFonts w:hint="default" w:ascii="Times New Roman" w:hAnsi="Times New Roman" w:eastAsia="宋体" w:cs="Times New Roman"/>
                <w:snapToGrid w:val="0"/>
                <w:color w:val="000000"/>
                <w:spacing w:val="0"/>
                <w:kern w:val="0"/>
                <w:sz w:val="21"/>
                <w:szCs w:val="21"/>
              </w:rPr>
              <w:instrText xml:space="preserve"> = 7 \* GB3 \* MERGEFORMAT </w:instrText>
            </w:r>
            <w:r>
              <w:rPr>
                <w:rFonts w:hint="default" w:ascii="Times New Roman" w:hAnsi="Times New Roman" w:eastAsia="宋体" w:cs="Times New Roman"/>
                <w:snapToGrid w:val="0"/>
                <w:color w:val="000000"/>
                <w:spacing w:val="0"/>
                <w:kern w:val="0"/>
                <w:sz w:val="21"/>
                <w:szCs w:val="21"/>
              </w:rPr>
              <w:fldChar w:fldCharType="separate"/>
            </w:r>
            <w:r>
              <w:rPr>
                <w:rFonts w:hint="default" w:ascii="Times New Roman" w:hAnsi="Times New Roman" w:eastAsia="宋体" w:cs="Times New Roman"/>
                <w:color w:val="000000"/>
                <w:spacing w:val="0"/>
                <w:kern w:val="0"/>
                <w:sz w:val="21"/>
                <w:szCs w:val="21"/>
              </w:rPr>
              <w:t>⑦</w:t>
            </w:r>
            <w:r>
              <w:rPr>
                <w:rFonts w:hint="default" w:ascii="Times New Roman" w:hAnsi="Times New Roman" w:eastAsia="宋体" w:cs="Times New Roman"/>
                <w:snapToGrid w:val="0"/>
                <w:color w:val="000000"/>
                <w:spacing w:val="0"/>
                <w:kern w:val="0"/>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restart"/>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废气</w:t>
            </w:r>
          </w:p>
        </w:tc>
        <w:tc>
          <w:tcPr>
            <w:tcW w:w="981" w:type="dxa"/>
            <w:vMerge w:val="restart"/>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有组织</w:t>
            </w:r>
          </w:p>
        </w:tc>
        <w:tc>
          <w:tcPr>
            <w:tcW w:w="778"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颗粒物</w:t>
            </w:r>
          </w:p>
        </w:tc>
        <w:tc>
          <w:tcPr>
            <w:tcW w:w="1683" w:type="dxa"/>
            <w:noWrap w:val="0"/>
            <w:vAlign w:val="center"/>
          </w:tcPr>
          <w:p>
            <w:pPr>
              <w:spacing w:line="240" w:lineRule="auto"/>
              <w:ind w:left="0" w:leftChars="0" w:right="0" w:rightChars="0" w:firstLine="0" w:firstLineChars="0"/>
              <w:jc w:val="center"/>
              <w:rPr>
                <w:rFonts w:hint="default" w:ascii="Times New Roman" w:hAnsi="Times New Roman" w:eastAsia="宋体" w:cs="Times New Roman"/>
                <w:snapToGrid w:val="0"/>
                <w:color w:val="000000"/>
                <w:kern w:val="0"/>
                <w:sz w:val="21"/>
                <w:szCs w:val="21"/>
              </w:rPr>
            </w:pPr>
            <w:r>
              <w:rPr>
                <w:rFonts w:hint="eastAsia" w:ascii="Times New Roman" w:hAnsi="Times New Roman" w:eastAsia="宋体" w:cs="Times New Roman"/>
                <w:color w:val="auto"/>
                <w:kern w:val="0"/>
                <w:sz w:val="21"/>
                <w:szCs w:val="21"/>
                <w:lang w:val="en-US" w:eastAsia="zh-CN"/>
              </w:rPr>
              <w:t>0</w:t>
            </w:r>
          </w:p>
        </w:tc>
        <w:tc>
          <w:tcPr>
            <w:tcW w:w="1253" w:type="dxa"/>
            <w:noWrap w:val="0"/>
            <w:vAlign w:val="center"/>
          </w:tcPr>
          <w:p>
            <w:pPr>
              <w:spacing w:line="240" w:lineRule="auto"/>
              <w:ind w:left="0" w:leftChars="0" w:right="0" w:rightChars="0" w:firstLine="0" w:firstLineChars="0"/>
              <w:jc w:val="center"/>
              <w:rPr>
                <w:rFonts w:hint="default" w:ascii="Times New Roman" w:hAnsi="Times New Roman" w:eastAsia="宋体" w:cs="Times New Roman"/>
                <w:snapToGrid w:val="0"/>
                <w:color w:val="000000"/>
                <w:kern w:val="0"/>
                <w:sz w:val="21"/>
                <w:szCs w:val="21"/>
              </w:rPr>
            </w:pPr>
            <w:r>
              <w:rPr>
                <w:rFonts w:hint="eastAsia" w:ascii="Times New Roman" w:hAnsi="Times New Roman" w:eastAsia="宋体" w:cs="Times New Roman"/>
                <w:color w:val="auto"/>
                <w:kern w:val="0"/>
                <w:sz w:val="21"/>
                <w:szCs w:val="21"/>
                <w:lang w:val="en-US" w:eastAsia="zh-CN"/>
              </w:rPr>
              <w:t>0</w:t>
            </w:r>
          </w:p>
        </w:tc>
        <w:tc>
          <w:tcPr>
            <w:tcW w:w="160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502" w:type="dxa"/>
            <w:noWrap w:val="0"/>
            <w:vAlign w:val="center"/>
          </w:tcPr>
          <w:p>
            <w:pPr>
              <w:widowControl/>
              <w:ind w:left="0" w:leftChars="0" w:right="0" w:rightChars="0" w:firstLine="0" w:firstLineChars="0"/>
              <w:jc w:val="center"/>
              <w:rPr>
                <w:rFonts w:hint="default" w:ascii="Times New Roman" w:hAnsi="Times New Roman" w:eastAsia="宋体" w:cs="Times New Roman"/>
                <w:color w:val="000000"/>
                <w:kern w:val="0"/>
                <w:sz w:val="21"/>
                <w:szCs w:val="21"/>
                <w:lang w:val="en-US"/>
              </w:rPr>
            </w:pPr>
            <w:r>
              <w:rPr>
                <w:rFonts w:hint="eastAsia" w:cs="Times New Roman"/>
                <w:color w:val="auto"/>
                <w:kern w:val="2"/>
                <w:sz w:val="21"/>
                <w:szCs w:val="21"/>
                <w:lang w:val="en-US" w:eastAsia="zh-CN" w:bidi="ar-SA"/>
              </w:rPr>
              <w:t>0.0274</w:t>
            </w:r>
          </w:p>
        </w:tc>
        <w:tc>
          <w:tcPr>
            <w:tcW w:w="1557"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40" w:type="dxa"/>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1"/>
                <w:szCs w:val="21"/>
                <w:lang w:val="en-US"/>
              </w:rPr>
            </w:pPr>
            <w:r>
              <w:rPr>
                <w:rFonts w:hint="eastAsia" w:cs="Times New Roman"/>
                <w:color w:val="auto"/>
                <w:kern w:val="2"/>
                <w:sz w:val="21"/>
                <w:szCs w:val="21"/>
                <w:lang w:val="en-US" w:eastAsia="zh-CN" w:bidi="ar-SA"/>
              </w:rPr>
              <w:t>0.0274</w:t>
            </w:r>
          </w:p>
        </w:tc>
        <w:tc>
          <w:tcPr>
            <w:tcW w:w="1625" w:type="dxa"/>
            <w:noWrap w:val="0"/>
            <w:vAlign w:val="center"/>
          </w:tcPr>
          <w:p>
            <w:pPr>
              <w:widowControl/>
              <w:ind w:left="0" w:leftChars="0" w:right="0" w:rightChars="0" w:firstLine="0" w:firstLineChars="0"/>
              <w:jc w:val="center"/>
              <w:rPr>
                <w:rFonts w:hint="default" w:ascii="Times New Roman" w:hAnsi="Times New Roman" w:eastAsia="宋体" w:cs="Times New Roman"/>
                <w:color w:val="000000"/>
                <w:kern w:val="0"/>
                <w:sz w:val="21"/>
                <w:szCs w:val="21"/>
                <w:lang w:val="en-US"/>
              </w:rPr>
            </w:pPr>
            <w:r>
              <w:rPr>
                <w:rFonts w:hint="eastAsia" w:cs="Times New Roman"/>
                <w:color w:val="auto"/>
                <w:kern w:val="2"/>
                <w:sz w:val="21"/>
                <w:szCs w:val="21"/>
                <w:lang w:val="en-US" w:eastAsia="zh-CN" w:bidi="ar-SA"/>
              </w:rPr>
              <w:t>+0.0274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38"/>
              <w:ind w:left="0" w:leftChars="0" w:right="0" w:rightChars="0" w:firstLine="0" w:firstLineChars="0"/>
              <w:jc w:val="center"/>
              <w:rPr>
                <w:rFonts w:hint="default" w:ascii="Times New Roman" w:hAnsi="Times New Roman" w:eastAsia="宋体" w:cs="Times New Roman"/>
                <w:kern w:val="0"/>
                <w:sz w:val="21"/>
                <w:szCs w:val="21"/>
              </w:rPr>
            </w:pPr>
          </w:p>
        </w:tc>
        <w:tc>
          <w:tcPr>
            <w:tcW w:w="981" w:type="dxa"/>
            <w:vMerge w:val="continue"/>
            <w:noWrap w:val="0"/>
            <w:vAlign w:val="center"/>
          </w:tcPr>
          <w:p>
            <w:pPr>
              <w:pStyle w:val="38"/>
              <w:ind w:left="0" w:leftChars="0" w:right="0" w:rightChars="0" w:firstLine="0" w:firstLineChars="0"/>
              <w:jc w:val="center"/>
              <w:rPr>
                <w:rFonts w:hint="default" w:ascii="Times New Roman" w:hAnsi="Times New Roman" w:eastAsia="宋体" w:cs="Times New Roman"/>
                <w:snapToGrid w:val="0"/>
                <w:kern w:val="0"/>
                <w:sz w:val="21"/>
                <w:szCs w:val="21"/>
              </w:rPr>
            </w:pPr>
          </w:p>
        </w:tc>
        <w:tc>
          <w:tcPr>
            <w:tcW w:w="778" w:type="dxa"/>
            <w:noWrap w:val="0"/>
            <w:vAlign w:val="center"/>
          </w:tcPr>
          <w:p>
            <w:pPr>
              <w:pStyle w:val="38"/>
              <w:ind w:left="0" w:leftChars="0" w:right="0" w:rightChars="0" w:firstLine="0" w:firstLineChars="0"/>
              <w:jc w:val="center"/>
              <w:rPr>
                <w:rFonts w:hint="default" w:ascii="Times New Roman" w:hAnsi="Times New Roman" w:eastAsia="宋体" w:cs="Times New Roman"/>
                <w:b w:val="0"/>
                <w:bCs/>
                <w:snapToGrid w:val="0"/>
                <w:kern w:val="0"/>
                <w:sz w:val="21"/>
                <w:szCs w:val="21"/>
              </w:rPr>
            </w:pPr>
            <w:r>
              <w:rPr>
                <w:rFonts w:hint="default" w:ascii="Times New Roman" w:hAnsi="Times New Roman" w:eastAsia="宋体" w:cs="Times New Roman"/>
                <w:b w:val="0"/>
                <w:bCs/>
                <w:snapToGrid w:val="0"/>
                <w:kern w:val="0"/>
                <w:sz w:val="21"/>
                <w:szCs w:val="21"/>
              </w:rPr>
              <w:t>VOCs</w:t>
            </w:r>
          </w:p>
        </w:tc>
        <w:tc>
          <w:tcPr>
            <w:tcW w:w="1683" w:type="dxa"/>
            <w:noWrap w:val="0"/>
            <w:vAlign w:val="center"/>
          </w:tcPr>
          <w:p>
            <w:pPr>
              <w:spacing w:line="240" w:lineRule="auto"/>
              <w:ind w:left="0" w:leftChars="0" w:right="0" w:rightChars="0" w:firstLine="0" w:firstLineChars="0"/>
              <w:jc w:val="center"/>
              <w:rPr>
                <w:rFonts w:hint="default" w:ascii="Times New Roman" w:hAnsi="Times New Roman" w:eastAsia="宋体" w:cs="Times New Roman"/>
                <w:snapToGrid w:val="0"/>
                <w:color w:val="000000"/>
                <w:kern w:val="0"/>
                <w:sz w:val="21"/>
                <w:szCs w:val="21"/>
              </w:rPr>
            </w:pPr>
            <w:r>
              <w:rPr>
                <w:rFonts w:hint="eastAsia" w:ascii="Times New Roman" w:hAnsi="Times New Roman" w:eastAsia="宋体" w:cs="Times New Roman"/>
                <w:color w:val="auto"/>
                <w:kern w:val="0"/>
                <w:sz w:val="21"/>
                <w:szCs w:val="21"/>
                <w:lang w:val="en-US" w:eastAsia="zh-CN"/>
              </w:rPr>
              <w:t>0</w:t>
            </w:r>
          </w:p>
        </w:tc>
        <w:tc>
          <w:tcPr>
            <w:tcW w:w="1253" w:type="dxa"/>
            <w:noWrap w:val="0"/>
            <w:vAlign w:val="center"/>
          </w:tcPr>
          <w:p>
            <w:pPr>
              <w:spacing w:line="240" w:lineRule="auto"/>
              <w:ind w:left="0" w:leftChars="0" w:right="0" w:rightChars="0" w:firstLine="0" w:firstLineChars="0"/>
              <w:jc w:val="center"/>
              <w:rPr>
                <w:rFonts w:hint="default" w:ascii="Times New Roman" w:hAnsi="Times New Roman" w:eastAsia="宋体" w:cs="Times New Roman"/>
                <w:snapToGrid w:val="0"/>
                <w:color w:val="000000"/>
                <w:kern w:val="0"/>
                <w:sz w:val="21"/>
                <w:szCs w:val="21"/>
              </w:rPr>
            </w:pPr>
            <w:r>
              <w:rPr>
                <w:rFonts w:hint="eastAsia" w:ascii="Times New Roman" w:hAnsi="Times New Roman" w:eastAsia="宋体" w:cs="Times New Roman"/>
                <w:color w:val="auto"/>
                <w:kern w:val="0"/>
                <w:sz w:val="21"/>
                <w:szCs w:val="21"/>
                <w:lang w:val="en-US" w:eastAsia="zh-CN"/>
              </w:rPr>
              <w:t>0</w:t>
            </w:r>
          </w:p>
        </w:tc>
        <w:tc>
          <w:tcPr>
            <w:tcW w:w="160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502" w:type="dxa"/>
            <w:noWrap w:val="0"/>
            <w:vAlign w:val="center"/>
          </w:tcPr>
          <w:p>
            <w:pPr>
              <w:widowControl/>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0.0</w:t>
            </w:r>
            <w:r>
              <w:rPr>
                <w:rFonts w:hint="eastAsia" w:ascii="Times New Roman" w:hAnsi="Times New Roman" w:eastAsia="宋体" w:cs="Times New Roman"/>
                <w:color w:val="000000"/>
                <w:kern w:val="0"/>
                <w:sz w:val="21"/>
                <w:szCs w:val="21"/>
                <w:lang w:val="en-US" w:eastAsia="zh-CN"/>
              </w:rPr>
              <w:t>0</w:t>
            </w:r>
            <w:r>
              <w:rPr>
                <w:rFonts w:hint="eastAsia" w:cs="Times New Roman"/>
                <w:color w:val="000000"/>
                <w:kern w:val="0"/>
                <w:sz w:val="21"/>
                <w:szCs w:val="21"/>
                <w:lang w:val="en-US" w:eastAsia="zh-CN"/>
              </w:rPr>
              <w:t>1088</w:t>
            </w:r>
          </w:p>
        </w:tc>
        <w:tc>
          <w:tcPr>
            <w:tcW w:w="1557" w:type="dxa"/>
            <w:noWrap w:val="0"/>
            <w:vAlign w:val="center"/>
          </w:tcPr>
          <w:p>
            <w:pPr>
              <w:pStyle w:val="25"/>
              <w:spacing w:beforeLines="0" w:afterLines="0"/>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40" w:type="dxa"/>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auto"/>
                <w:kern w:val="0"/>
                <w:sz w:val="21"/>
                <w:szCs w:val="21"/>
                <w:lang w:val="en-US" w:eastAsia="zh-CN"/>
              </w:rPr>
              <w:t>0.0</w:t>
            </w:r>
            <w:r>
              <w:rPr>
                <w:rFonts w:hint="eastAsia" w:ascii="Times New Roman" w:hAnsi="Times New Roman" w:eastAsia="宋体" w:cs="Times New Roman"/>
                <w:color w:val="auto"/>
                <w:kern w:val="0"/>
                <w:sz w:val="21"/>
                <w:szCs w:val="21"/>
                <w:lang w:val="en-US" w:eastAsia="zh-CN"/>
              </w:rPr>
              <w:t>0</w:t>
            </w:r>
            <w:r>
              <w:rPr>
                <w:rFonts w:hint="eastAsia" w:cs="Times New Roman"/>
                <w:color w:val="auto"/>
                <w:kern w:val="0"/>
                <w:sz w:val="21"/>
                <w:szCs w:val="21"/>
                <w:lang w:val="en-US" w:eastAsia="zh-CN"/>
              </w:rPr>
              <w:t>1088</w:t>
            </w:r>
          </w:p>
        </w:tc>
        <w:tc>
          <w:tcPr>
            <w:tcW w:w="1625" w:type="dxa"/>
            <w:noWrap w:val="0"/>
            <w:vAlign w:val="center"/>
          </w:tcPr>
          <w:p>
            <w:pPr>
              <w:widowControl/>
              <w:ind w:left="0" w:leftChars="0" w:right="0" w:rightChars="0" w:firstLine="0" w:firstLineChars="0"/>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+0.0</w:t>
            </w:r>
            <w:r>
              <w:rPr>
                <w:rFonts w:hint="eastAsia" w:ascii="Times New Roman" w:hAnsi="Times New Roman" w:eastAsia="宋体" w:cs="Times New Roman"/>
                <w:color w:val="000000"/>
                <w:kern w:val="0"/>
                <w:sz w:val="21"/>
                <w:szCs w:val="21"/>
                <w:lang w:val="en-US" w:eastAsia="zh-CN"/>
              </w:rPr>
              <w:t>0</w:t>
            </w:r>
            <w:r>
              <w:rPr>
                <w:rFonts w:hint="eastAsia" w:cs="Times New Roman"/>
                <w:color w:val="000000"/>
                <w:kern w:val="0"/>
                <w:sz w:val="21"/>
                <w:szCs w:val="21"/>
                <w:lang w:val="en-US" w:eastAsia="zh-CN"/>
              </w:rPr>
              <w:t>1088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38"/>
              <w:ind w:left="0" w:leftChars="0" w:right="0" w:rightChars="0" w:firstLine="0" w:firstLineChars="0"/>
              <w:jc w:val="center"/>
              <w:rPr>
                <w:rFonts w:hint="default" w:ascii="Times New Roman" w:hAnsi="Times New Roman" w:eastAsia="宋体" w:cs="Times New Roman"/>
                <w:kern w:val="0"/>
                <w:sz w:val="21"/>
                <w:szCs w:val="21"/>
              </w:rPr>
            </w:pPr>
          </w:p>
        </w:tc>
        <w:tc>
          <w:tcPr>
            <w:tcW w:w="981" w:type="dxa"/>
            <w:vMerge w:val="restart"/>
            <w:noWrap w:val="0"/>
            <w:vAlign w:val="center"/>
          </w:tcPr>
          <w:p>
            <w:pPr>
              <w:pStyle w:val="38"/>
              <w:ind w:left="0" w:leftChars="0" w:right="0" w:rightChars="0" w:firstLine="0" w:firstLineChars="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b w:val="0"/>
                <w:bCs/>
                <w:snapToGrid w:val="0"/>
                <w:kern w:val="0"/>
                <w:sz w:val="21"/>
                <w:szCs w:val="21"/>
              </w:rPr>
              <w:t>无组织</w:t>
            </w:r>
          </w:p>
        </w:tc>
        <w:tc>
          <w:tcPr>
            <w:tcW w:w="778"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b w:val="0"/>
                <w:bCs/>
                <w:snapToGrid w:val="0"/>
                <w:color w:val="000000"/>
                <w:spacing w:val="0"/>
                <w:kern w:val="0"/>
                <w:sz w:val="21"/>
                <w:szCs w:val="21"/>
              </w:rPr>
            </w:pPr>
            <w:r>
              <w:rPr>
                <w:rFonts w:hint="default" w:ascii="Times New Roman" w:hAnsi="Times New Roman" w:eastAsia="宋体" w:cs="Times New Roman"/>
                <w:b w:val="0"/>
                <w:bCs/>
                <w:snapToGrid w:val="0"/>
                <w:color w:val="000000"/>
                <w:spacing w:val="0"/>
                <w:kern w:val="0"/>
                <w:sz w:val="21"/>
                <w:szCs w:val="21"/>
              </w:rPr>
              <w:t>颗粒物</w:t>
            </w:r>
          </w:p>
        </w:tc>
        <w:tc>
          <w:tcPr>
            <w:tcW w:w="1683" w:type="dxa"/>
            <w:noWrap w:val="0"/>
            <w:vAlign w:val="center"/>
          </w:tcPr>
          <w:p>
            <w:pPr>
              <w:spacing w:line="240" w:lineRule="auto"/>
              <w:ind w:left="0" w:leftChars="0" w:right="0" w:rightChars="0" w:firstLine="0" w:firstLineChars="0"/>
              <w:jc w:val="center"/>
              <w:rPr>
                <w:rFonts w:hint="default" w:ascii="Times New Roman" w:hAnsi="Times New Roman" w:eastAsia="宋体" w:cs="Times New Roman"/>
                <w:snapToGrid w:val="0"/>
                <w:color w:val="000000"/>
                <w:kern w:val="0"/>
                <w:sz w:val="21"/>
                <w:szCs w:val="21"/>
              </w:rPr>
            </w:pPr>
            <w:r>
              <w:rPr>
                <w:rFonts w:hint="eastAsia" w:ascii="Times New Roman" w:hAnsi="Times New Roman" w:eastAsia="宋体" w:cs="Times New Roman"/>
                <w:color w:val="auto"/>
                <w:kern w:val="0"/>
                <w:sz w:val="21"/>
                <w:szCs w:val="21"/>
                <w:lang w:val="en-US" w:eastAsia="zh-CN"/>
              </w:rPr>
              <w:t>0</w:t>
            </w:r>
          </w:p>
        </w:tc>
        <w:tc>
          <w:tcPr>
            <w:tcW w:w="1253" w:type="dxa"/>
            <w:noWrap w:val="0"/>
            <w:vAlign w:val="center"/>
          </w:tcPr>
          <w:p>
            <w:pPr>
              <w:spacing w:line="240" w:lineRule="auto"/>
              <w:ind w:left="0" w:leftChars="0" w:right="0" w:rightChars="0" w:firstLine="0" w:firstLineChars="0"/>
              <w:jc w:val="center"/>
              <w:rPr>
                <w:rFonts w:hint="eastAsia"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napToGrid w:val="0"/>
                <w:color w:val="000000"/>
                <w:kern w:val="0"/>
                <w:sz w:val="21"/>
                <w:szCs w:val="21"/>
                <w:lang w:val="en-US" w:eastAsia="zh-CN"/>
              </w:rPr>
              <w:t>0</w:t>
            </w:r>
          </w:p>
        </w:tc>
        <w:tc>
          <w:tcPr>
            <w:tcW w:w="160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502" w:type="dxa"/>
            <w:noWrap w:val="0"/>
            <w:vAlign w:val="center"/>
          </w:tcPr>
          <w:p>
            <w:pPr>
              <w:widowControl/>
              <w:ind w:left="0" w:leftChars="0" w:right="0" w:rightChars="0" w:firstLine="0" w:firstLineChars="0"/>
              <w:jc w:val="center"/>
              <w:textAlignment w:val="center"/>
              <w:rPr>
                <w:rFonts w:hint="default" w:ascii="Times New Roman" w:hAnsi="Times New Roman" w:eastAsia="宋体" w:cs="Times New Roman"/>
                <w:color w:val="000000"/>
                <w:kern w:val="0"/>
                <w:sz w:val="21"/>
                <w:szCs w:val="21"/>
                <w:lang w:val="en-US"/>
              </w:rPr>
            </w:pPr>
            <w:r>
              <w:rPr>
                <w:rFonts w:hint="eastAsia" w:cs="Times New Roman"/>
                <w:color w:val="auto"/>
                <w:kern w:val="2"/>
                <w:sz w:val="21"/>
                <w:szCs w:val="21"/>
                <w:lang w:val="en-US" w:eastAsia="zh-CN" w:bidi="ar-SA"/>
              </w:rPr>
              <w:t>0.0608</w:t>
            </w:r>
          </w:p>
        </w:tc>
        <w:tc>
          <w:tcPr>
            <w:tcW w:w="1557" w:type="dxa"/>
            <w:noWrap w:val="0"/>
            <w:vAlign w:val="center"/>
          </w:tcPr>
          <w:p>
            <w:pPr>
              <w:spacing w:beforeLines="0" w:afterLines="0"/>
              <w:ind w:left="0" w:leftChars="0" w:right="0" w:rightChars="0" w:firstLine="0" w:firstLineChars="0"/>
              <w:jc w:val="center"/>
              <w:rPr>
                <w:rFonts w:hint="eastAsia" w:ascii="Times New Roman" w:hAnsi="Times New Roman" w:eastAsia="宋体" w:cs="Times New Roman"/>
                <w:snapToGrid w:val="0"/>
                <w:color w:val="000000"/>
                <w:spacing w:val="0"/>
                <w:kern w:val="0"/>
                <w:sz w:val="21"/>
                <w:szCs w:val="21"/>
                <w:lang w:val="en-US" w:eastAsia="zh-CN"/>
              </w:rPr>
            </w:pPr>
            <w:r>
              <w:rPr>
                <w:rFonts w:hint="eastAsia" w:cs="Times New Roman"/>
                <w:snapToGrid w:val="0"/>
                <w:color w:val="000000"/>
                <w:spacing w:val="0"/>
                <w:kern w:val="0"/>
                <w:sz w:val="21"/>
                <w:szCs w:val="21"/>
                <w:lang w:val="en-US" w:eastAsia="zh-CN"/>
              </w:rPr>
              <w:t>0</w:t>
            </w:r>
          </w:p>
        </w:tc>
        <w:tc>
          <w:tcPr>
            <w:tcW w:w="1640" w:type="dxa"/>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1"/>
                <w:szCs w:val="21"/>
                <w:lang w:val="en-US"/>
              </w:rPr>
            </w:pPr>
            <w:r>
              <w:rPr>
                <w:rFonts w:hint="eastAsia" w:cs="Times New Roman"/>
                <w:color w:val="auto"/>
                <w:kern w:val="2"/>
                <w:sz w:val="21"/>
                <w:szCs w:val="21"/>
                <w:lang w:val="en-US" w:eastAsia="zh-CN" w:bidi="ar-SA"/>
              </w:rPr>
              <w:t>0.0608</w:t>
            </w:r>
          </w:p>
        </w:tc>
        <w:tc>
          <w:tcPr>
            <w:tcW w:w="1625" w:type="dxa"/>
            <w:noWrap w:val="0"/>
            <w:vAlign w:val="center"/>
          </w:tcPr>
          <w:p>
            <w:pPr>
              <w:widowControl/>
              <w:ind w:left="0" w:leftChars="0" w:right="0" w:rightChars="0" w:firstLine="0" w:firstLineChars="0"/>
              <w:jc w:val="center"/>
              <w:textAlignment w:val="center"/>
              <w:rPr>
                <w:rFonts w:hint="default" w:ascii="Times New Roman" w:hAnsi="Times New Roman" w:eastAsia="宋体" w:cs="Times New Roman"/>
                <w:color w:val="000000"/>
                <w:kern w:val="0"/>
                <w:sz w:val="21"/>
                <w:szCs w:val="21"/>
                <w:lang w:val="en-US"/>
              </w:rPr>
            </w:pPr>
            <w:r>
              <w:rPr>
                <w:rFonts w:hint="eastAsia" w:cs="Times New Roman"/>
                <w:color w:val="auto"/>
                <w:kern w:val="2"/>
                <w:sz w:val="21"/>
                <w:szCs w:val="21"/>
                <w:lang w:val="en-US" w:eastAsia="zh-CN" w:bidi="ar-SA"/>
              </w:rPr>
              <w:t>+0.0608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38"/>
              <w:ind w:left="0" w:leftChars="0" w:right="0" w:rightChars="0" w:firstLine="0" w:firstLineChars="0"/>
              <w:jc w:val="center"/>
              <w:rPr>
                <w:rFonts w:hint="default" w:ascii="Times New Roman" w:hAnsi="Times New Roman" w:eastAsia="宋体" w:cs="Times New Roman"/>
                <w:kern w:val="0"/>
                <w:sz w:val="21"/>
                <w:szCs w:val="21"/>
              </w:rPr>
            </w:pPr>
          </w:p>
        </w:tc>
        <w:tc>
          <w:tcPr>
            <w:tcW w:w="981" w:type="dxa"/>
            <w:vMerge w:val="continue"/>
            <w:noWrap w:val="0"/>
            <w:vAlign w:val="center"/>
          </w:tcPr>
          <w:p>
            <w:pPr>
              <w:pStyle w:val="38"/>
              <w:ind w:left="0" w:leftChars="0" w:right="0" w:rightChars="0" w:firstLine="0" w:firstLineChars="0"/>
              <w:jc w:val="center"/>
              <w:rPr>
                <w:rFonts w:hint="default" w:ascii="Times New Roman" w:hAnsi="Times New Roman" w:eastAsia="宋体" w:cs="Times New Roman"/>
                <w:snapToGrid w:val="0"/>
                <w:kern w:val="0"/>
                <w:sz w:val="21"/>
                <w:szCs w:val="21"/>
              </w:rPr>
            </w:pPr>
          </w:p>
        </w:tc>
        <w:tc>
          <w:tcPr>
            <w:tcW w:w="778" w:type="dxa"/>
            <w:noWrap w:val="0"/>
            <w:vAlign w:val="center"/>
          </w:tcPr>
          <w:p>
            <w:pPr>
              <w:pStyle w:val="38"/>
              <w:ind w:left="0" w:leftChars="0" w:right="0" w:rightChars="0" w:firstLine="0" w:firstLineChars="0"/>
              <w:jc w:val="center"/>
              <w:rPr>
                <w:rFonts w:hint="default" w:ascii="Times New Roman" w:hAnsi="Times New Roman" w:eastAsia="宋体" w:cs="Times New Roman"/>
                <w:b w:val="0"/>
                <w:bCs/>
                <w:snapToGrid w:val="0"/>
                <w:kern w:val="0"/>
                <w:sz w:val="21"/>
                <w:szCs w:val="21"/>
              </w:rPr>
            </w:pPr>
            <w:r>
              <w:rPr>
                <w:rFonts w:hint="default" w:ascii="Times New Roman" w:hAnsi="Times New Roman" w:eastAsia="宋体" w:cs="Times New Roman"/>
                <w:b w:val="0"/>
                <w:bCs/>
                <w:snapToGrid w:val="0"/>
                <w:kern w:val="0"/>
                <w:sz w:val="21"/>
                <w:szCs w:val="21"/>
              </w:rPr>
              <w:t>VOCs</w:t>
            </w:r>
          </w:p>
        </w:tc>
        <w:tc>
          <w:tcPr>
            <w:tcW w:w="1683" w:type="dxa"/>
            <w:noWrap w:val="0"/>
            <w:vAlign w:val="center"/>
          </w:tcPr>
          <w:p>
            <w:pPr>
              <w:spacing w:line="240" w:lineRule="auto"/>
              <w:ind w:left="0" w:leftChars="0" w:right="0" w:rightChars="0" w:firstLine="0" w:firstLineChars="0"/>
              <w:jc w:val="center"/>
              <w:rPr>
                <w:rFonts w:hint="default" w:ascii="Times New Roman" w:hAnsi="Times New Roman" w:eastAsia="宋体" w:cs="Times New Roman"/>
                <w:snapToGrid w:val="0"/>
                <w:color w:val="000000"/>
                <w:kern w:val="0"/>
                <w:sz w:val="21"/>
                <w:szCs w:val="21"/>
                <w:lang w:val="en-US"/>
              </w:rPr>
            </w:pPr>
            <w:r>
              <w:rPr>
                <w:rFonts w:hint="eastAsia" w:ascii="Times New Roman" w:hAnsi="Times New Roman" w:eastAsia="宋体" w:cs="Times New Roman"/>
                <w:color w:val="auto"/>
                <w:kern w:val="0"/>
                <w:sz w:val="21"/>
                <w:szCs w:val="21"/>
                <w:lang w:val="en-US" w:eastAsia="zh-CN"/>
              </w:rPr>
              <w:t>0</w:t>
            </w:r>
          </w:p>
        </w:tc>
        <w:tc>
          <w:tcPr>
            <w:tcW w:w="1253" w:type="dxa"/>
            <w:noWrap w:val="0"/>
            <w:vAlign w:val="center"/>
          </w:tcPr>
          <w:p>
            <w:pPr>
              <w:spacing w:line="240" w:lineRule="auto"/>
              <w:ind w:left="0" w:leftChars="0" w:right="0" w:rightChars="0" w:firstLine="0" w:firstLineChars="0"/>
              <w:jc w:val="center"/>
              <w:rPr>
                <w:rFonts w:hint="default" w:ascii="Times New Roman" w:hAnsi="Times New Roman" w:eastAsia="宋体" w:cs="Times New Roman"/>
                <w:snapToGrid w:val="0"/>
                <w:color w:val="000000"/>
                <w:kern w:val="0"/>
                <w:sz w:val="21"/>
                <w:szCs w:val="21"/>
                <w:lang w:val="en-US"/>
              </w:rPr>
            </w:pPr>
            <w:r>
              <w:rPr>
                <w:rFonts w:hint="eastAsia" w:ascii="Times New Roman" w:hAnsi="Times New Roman" w:eastAsia="宋体" w:cs="Times New Roman"/>
                <w:color w:val="auto"/>
                <w:kern w:val="0"/>
                <w:sz w:val="21"/>
                <w:szCs w:val="21"/>
                <w:lang w:val="en-US" w:eastAsia="zh-CN"/>
              </w:rPr>
              <w:t>0</w:t>
            </w:r>
          </w:p>
        </w:tc>
        <w:tc>
          <w:tcPr>
            <w:tcW w:w="160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502" w:type="dxa"/>
            <w:noWrap w:val="0"/>
            <w:vAlign w:val="center"/>
          </w:tcPr>
          <w:p>
            <w:pPr>
              <w:widowControl/>
              <w:ind w:left="0" w:leftChars="0" w:right="0" w:rightChars="0" w:firstLine="0" w:firstLineChars="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w:t>
            </w:r>
            <w:r>
              <w:rPr>
                <w:rFonts w:hint="eastAsia" w:cs="Times New Roman"/>
                <w:color w:val="000000"/>
                <w:kern w:val="0"/>
                <w:sz w:val="21"/>
                <w:szCs w:val="21"/>
                <w:lang w:val="en-US" w:eastAsia="zh-CN"/>
              </w:rPr>
              <w:t>00272</w:t>
            </w:r>
          </w:p>
        </w:tc>
        <w:tc>
          <w:tcPr>
            <w:tcW w:w="1557" w:type="dxa"/>
            <w:noWrap w:val="0"/>
            <w:vAlign w:val="center"/>
          </w:tcPr>
          <w:p>
            <w:pPr>
              <w:pStyle w:val="25"/>
              <w:spacing w:beforeLines="0" w:afterLines="0"/>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40" w:type="dxa"/>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auto"/>
                <w:kern w:val="0"/>
                <w:sz w:val="21"/>
                <w:szCs w:val="21"/>
                <w:lang w:val="en-US" w:eastAsia="zh-CN"/>
              </w:rPr>
              <w:t>0.</w:t>
            </w:r>
            <w:r>
              <w:rPr>
                <w:rFonts w:hint="eastAsia" w:cs="Times New Roman"/>
                <w:color w:val="auto"/>
                <w:kern w:val="0"/>
                <w:sz w:val="21"/>
                <w:szCs w:val="21"/>
                <w:lang w:val="en-US" w:eastAsia="zh-CN"/>
              </w:rPr>
              <w:t>00272</w:t>
            </w:r>
          </w:p>
        </w:tc>
        <w:tc>
          <w:tcPr>
            <w:tcW w:w="1625" w:type="dxa"/>
            <w:noWrap w:val="0"/>
            <w:vAlign w:val="center"/>
          </w:tcPr>
          <w:p>
            <w:pPr>
              <w:widowControl/>
              <w:ind w:left="0" w:leftChars="0" w:right="0" w:rightChars="0" w:firstLine="0" w:firstLineChars="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+0.</w:t>
            </w:r>
            <w:r>
              <w:rPr>
                <w:rFonts w:hint="eastAsia" w:cs="Times New Roman"/>
                <w:color w:val="000000"/>
                <w:kern w:val="0"/>
                <w:sz w:val="21"/>
                <w:szCs w:val="21"/>
                <w:lang w:val="en-US" w:eastAsia="zh-CN"/>
              </w:rPr>
              <w:t>00272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restart"/>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废水</w:t>
            </w:r>
          </w:p>
        </w:tc>
        <w:tc>
          <w:tcPr>
            <w:tcW w:w="1759" w:type="dxa"/>
            <w:gridSpan w:val="2"/>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废水量</w:t>
            </w:r>
          </w:p>
        </w:tc>
        <w:tc>
          <w:tcPr>
            <w:tcW w:w="1683" w:type="dxa"/>
            <w:noWrap w:val="0"/>
            <w:vAlign w:val="center"/>
          </w:tcPr>
          <w:p>
            <w:pPr>
              <w:ind w:left="0" w:leftChars="0" w:right="0" w:rightChars="0" w:firstLine="0" w:firstLineChars="0"/>
              <w:jc w:val="center"/>
              <w:rPr>
                <w:rFonts w:hint="default" w:ascii="Times New Roman" w:hAnsi="Times New Roman" w:eastAsia="宋体" w:cs="Times New Roman"/>
                <w:snapToGrid w:val="0"/>
                <w:color w:val="000000"/>
                <w:kern w:val="0"/>
                <w:sz w:val="21"/>
                <w:szCs w:val="21"/>
              </w:rPr>
            </w:pPr>
            <w:r>
              <w:rPr>
                <w:rFonts w:hint="eastAsia" w:ascii="Times New Roman" w:hAnsi="Times New Roman" w:eastAsia="宋体" w:cs="Times New Roman"/>
                <w:color w:val="auto"/>
                <w:kern w:val="0"/>
                <w:sz w:val="21"/>
                <w:szCs w:val="21"/>
                <w:lang w:val="en-US" w:eastAsia="zh-CN" w:bidi="ar-SA"/>
              </w:rPr>
              <w:t>0</w:t>
            </w:r>
          </w:p>
        </w:tc>
        <w:tc>
          <w:tcPr>
            <w:tcW w:w="1253" w:type="dxa"/>
            <w:noWrap w:val="0"/>
            <w:vAlign w:val="center"/>
          </w:tcPr>
          <w:p>
            <w:pPr>
              <w:ind w:left="0" w:leftChars="0" w:right="0" w:rightChars="0" w:firstLine="0" w:firstLineChars="0"/>
              <w:jc w:val="center"/>
              <w:rPr>
                <w:rFonts w:hint="default" w:ascii="Times New Roman" w:hAnsi="Times New Roman" w:eastAsia="宋体" w:cs="Times New Roman"/>
                <w:snapToGrid w:val="0"/>
                <w:color w:val="000000"/>
                <w:kern w:val="0"/>
                <w:sz w:val="21"/>
                <w:szCs w:val="21"/>
              </w:rPr>
            </w:pPr>
            <w:r>
              <w:rPr>
                <w:rFonts w:hint="eastAsia" w:ascii="Times New Roman" w:hAnsi="Times New Roman" w:eastAsia="宋体" w:cs="Times New Roman"/>
                <w:color w:val="auto"/>
                <w:kern w:val="0"/>
                <w:sz w:val="21"/>
                <w:szCs w:val="21"/>
                <w:lang w:val="en-US" w:eastAsia="zh-CN" w:bidi="ar-SA"/>
              </w:rPr>
              <w:t>0</w:t>
            </w:r>
          </w:p>
        </w:tc>
        <w:tc>
          <w:tcPr>
            <w:tcW w:w="160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502"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color w:val="000000"/>
                <w:spacing w:val="0"/>
                <w:sz w:val="21"/>
                <w:szCs w:val="21"/>
                <w:lang w:val="en-US" w:eastAsia="zh-CN"/>
              </w:rPr>
            </w:pPr>
            <w:r>
              <w:rPr>
                <w:rFonts w:hint="eastAsia" w:ascii="Times New Roman" w:eastAsia="宋体" w:cs="Times New Roman"/>
                <w:snapToGrid w:val="0"/>
                <w:color w:val="000000"/>
                <w:spacing w:val="0"/>
                <w:kern w:val="0"/>
                <w:sz w:val="21"/>
                <w:szCs w:val="21"/>
                <w:lang w:val="en-US" w:eastAsia="zh-CN"/>
              </w:rPr>
              <w:t>250</w:t>
            </w:r>
          </w:p>
        </w:tc>
        <w:tc>
          <w:tcPr>
            <w:tcW w:w="1557"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40"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rPr>
            </w:pPr>
            <w:r>
              <w:rPr>
                <w:rFonts w:hint="eastAsia" w:cs="Times New Roman"/>
                <w:color w:val="auto"/>
                <w:kern w:val="0"/>
                <w:sz w:val="21"/>
                <w:szCs w:val="21"/>
                <w:lang w:val="en-US" w:eastAsia="zh-CN" w:bidi="ar-SA"/>
              </w:rPr>
              <w:t>250</w:t>
            </w:r>
          </w:p>
        </w:tc>
        <w:tc>
          <w:tcPr>
            <w:tcW w:w="1625"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color w:val="000000"/>
                <w:spacing w:val="0"/>
                <w:sz w:val="21"/>
                <w:szCs w:val="21"/>
                <w:lang w:val="en-US" w:eastAsia="zh-CN"/>
              </w:rPr>
            </w:pPr>
            <w:r>
              <w:rPr>
                <w:rFonts w:hint="eastAsia" w:ascii="Times New Roman" w:eastAsia="宋体" w:cs="Times New Roman"/>
                <w:color w:val="000000"/>
                <w:spacing w:val="0"/>
                <w:sz w:val="21"/>
                <w:szCs w:val="21"/>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p>
        </w:tc>
        <w:tc>
          <w:tcPr>
            <w:tcW w:w="1759" w:type="dxa"/>
            <w:gridSpan w:val="2"/>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COD</w:t>
            </w:r>
          </w:p>
        </w:tc>
        <w:tc>
          <w:tcPr>
            <w:tcW w:w="1683" w:type="dxa"/>
            <w:noWrap w:val="0"/>
            <w:vAlign w:val="center"/>
          </w:tcPr>
          <w:p>
            <w:pPr>
              <w:ind w:left="0" w:leftChars="0" w:right="0" w:rightChars="0" w:firstLine="0" w:firstLineChars="0"/>
              <w:jc w:val="center"/>
              <w:rPr>
                <w:rFonts w:hint="default" w:ascii="Times New Roman" w:hAnsi="Times New Roman" w:eastAsia="宋体" w:cs="Times New Roman"/>
                <w:snapToGrid w:val="0"/>
                <w:color w:val="000000"/>
                <w:kern w:val="0"/>
                <w:sz w:val="21"/>
                <w:szCs w:val="21"/>
              </w:rPr>
            </w:pPr>
            <w:r>
              <w:rPr>
                <w:rFonts w:hint="eastAsia" w:ascii="Times New Roman" w:hAnsi="Times New Roman" w:eastAsia="宋体" w:cs="Times New Roman"/>
                <w:color w:val="auto"/>
                <w:kern w:val="0"/>
                <w:sz w:val="21"/>
                <w:szCs w:val="21"/>
                <w:lang w:val="en-US" w:eastAsia="zh-CN" w:bidi="ar-SA"/>
              </w:rPr>
              <w:t>0</w:t>
            </w:r>
          </w:p>
        </w:tc>
        <w:tc>
          <w:tcPr>
            <w:tcW w:w="1253" w:type="dxa"/>
            <w:noWrap w:val="0"/>
            <w:vAlign w:val="center"/>
          </w:tcPr>
          <w:p>
            <w:pPr>
              <w:ind w:left="0" w:leftChars="0" w:right="0" w:rightChars="0" w:firstLine="0" w:firstLineChars="0"/>
              <w:jc w:val="center"/>
              <w:rPr>
                <w:rFonts w:hint="default" w:ascii="Times New Roman" w:hAnsi="Times New Roman" w:eastAsia="宋体" w:cs="Times New Roman"/>
                <w:snapToGrid w:val="0"/>
                <w:color w:val="000000"/>
                <w:kern w:val="0"/>
                <w:sz w:val="21"/>
                <w:szCs w:val="21"/>
              </w:rPr>
            </w:pPr>
            <w:r>
              <w:rPr>
                <w:rFonts w:hint="eastAsia" w:ascii="Times New Roman" w:hAnsi="Times New Roman" w:eastAsia="宋体" w:cs="Times New Roman"/>
                <w:color w:val="auto"/>
                <w:kern w:val="0"/>
                <w:sz w:val="21"/>
                <w:szCs w:val="21"/>
                <w:lang w:val="en-US" w:eastAsia="zh-CN" w:bidi="ar-SA"/>
              </w:rPr>
              <w:t>0</w:t>
            </w:r>
          </w:p>
        </w:tc>
        <w:tc>
          <w:tcPr>
            <w:tcW w:w="160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502"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color w:val="000000"/>
                <w:spacing w:val="0"/>
                <w:sz w:val="21"/>
                <w:szCs w:val="21"/>
                <w:lang w:val="en-US" w:eastAsia="zh-CN"/>
              </w:rPr>
            </w:pPr>
            <w:r>
              <w:rPr>
                <w:rFonts w:hint="eastAsia" w:ascii="Times New Roman" w:eastAsia="宋体" w:cs="Times New Roman"/>
                <w:snapToGrid w:val="0"/>
                <w:color w:val="000000"/>
                <w:spacing w:val="0"/>
                <w:kern w:val="0"/>
                <w:sz w:val="21"/>
                <w:szCs w:val="21"/>
                <w:lang w:val="en-US" w:eastAsia="zh-CN"/>
              </w:rPr>
              <w:t>0.0875</w:t>
            </w:r>
          </w:p>
        </w:tc>
        <w:tc>
          <w:tcPr>
            <w:tcW w:w="1557"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40"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rPr>
            </w:pPr>
            <w:r>
              <w:rPr>
                <w:rFonts w:hint="eastAsia" w:ascii="Times New Roman" w:hAnsi="Times New Roman" w:eastAsia="宋体" w:cs="Times New Roman"/>
                <w:color w:val="auto"/>
                <w:kern w:val="0"/>
                <w:sz w:val="21"/>
                <w:szCs w:val="21"/>
                <w:lang w:val="en-US" w:eastAsia="zh-CN" w:bidi="ar-SA"/>
              </w:rPr>
              <w:t>0.0</w:t>
            </w:r>
            <w:r>
              <w:rPr>
                <w:rFonts w:hint="eastAsia" w:cs="Times New Roman"/>
                <w:color w:val="auto"/>
                <w:kern w:val="0"/>
                <w:sz w:val="21"/>
                <w:szCs w:val="21"/>
                <w:lang w:val="en-US" w:eastAsia="zh-CN" w:bidi="ar-SA"/>
              </w:rPr>
              <w:t>875</w:t>
            </w:r>
          </w:p>
        </w:tc>
        <w:tc>
          <w:tcPr>
            <w:tcW w:w="1625"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+0.0</w:t>
            </w:r>
            <w:r>
              <w:rPr>
                <w:rFonts w:hint="eastAsia" w:cs="Times New Roman"/>
                <w:color w:val="auto"/>
                <w:kern w:val="0"/>
                <w:sz w:val="21"/>
                <w:szCs w:val="21"/>
                <w:lang w:val="en-US" w:eastAsia="zh-CN" w:bidi="ar-SA"/>
              </w:rPr>
              <w:t>875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p>
        </w:tc>
        <w:tc>
          <w:tcPr>
            <w:tcW w:w="1759" w:type="dxa"/>
            <w:gridSpan w:val="2"/>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SS</w:t>
            </w:r>
          </w:p>
        </w:tc>
        <w:tc>
          <w:tcPr>
            <w:tcW w:w="1683" w:type="dxa"/>
            <w:noWrap w:val="0"/>
            <w:vAlign w:val="center"/>
          </w:tcPr>
          <w:p>
            <w:pPr>
              <w:ind w:left="0" w:leftChars="0" w:right="0" w:rightChars="0" w:firstLine="0" w:firstLineChars="0"/>
              <w:jc w:val="center"/>
              <w:rPr>
                <w:rFonts w:hint="default" w:ascii="Times New Roman" w:hAnsi="Times New Roman" w:eastAsia="宋体" w:cs="Times New Roman"/>
                <w:snapToGrid w:val="0"/>
                <w:color w:val="000000"/>
                <w:kern w:val="0"/>
                <w:sz w:val="21"/>
                <w:szCs w:val="21"/>
              </w:rPr>
            </w:pPr>
            <w:r>
              <w:rPr>
                <w:rFonts w:hint="eastAsia" w:ascii="Times New Roman" w:hAnsi="Times New Roman" w:eastAsia="宋体" w:cs="Times New Roman"/>
                <w:color w:val="auto"/>
                <w:kern w:val="0"/>
                <w:sz w:val="21"/>
                <w:szCs w:val="21"/>
                <w:lang w:val="en-US" w:eastAsia="zh-CN" w:bidi="ar-SA"/>
              </w:rPr>
              <w:t>0</w:t>
            </w:r>
          </w:p>
        </w:tc>
        <w:tc>
          <w:tcPr>
            <w:tcW w:w="1253" w:type="dxa"/>
            <w:noWrap w:val="0"/>
            <w:vAlign w:val="center"/>
          </w:tcPr>
          <w:p>
            <w:pPr>
              <w:ind w:left="0" w:leftChars="0" w:right="0" w:rightChars="0" w:firstLine="0" w:firstLineChars="0"/>
              <w:jc w:val="center"/>
              <w:rPr>
                <w:rFonts w:hint="eastAsia"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napToGrid w:val="0"/>
                <w:color w:val="000000"/>
                <w:kern w:val="0"/>
                <w:sz w:val="21"/>
                <w:szCs w:val="21"/>
                <w:lang w:val="en-US" w:eastAsia="zh-CN"/>
              </w:rPr>
              <w:t>0</w:t>
            </w:r>
          </w:p>
        </w:tc>
        <w:tc>
          <w:tcPr>
            <w:tcW w:w="160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502"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color w:val="000000"/>
                <w:spacing w:val="0"/>
                <w:sz w:val="21"/>
                <w:szCs w:val="21"/>
                <w:lang w:val="en-US" w:eastAsia="zh-CN"/>
              </w:rPr>
            </w:pPr>
            <w:r>
              <w:rPr>
                <w:rFonts w:hint="eastAsia" w:ascii="Times New Roman" w:eastAsia="宋体" w:cs="Times New Roman"/>
                <w:snapToGrid w:val="0"/>
                <w:color w:val="000000"/>
                <w:spacing w:val="0"/>
                <w:kern w:val="0"/>
                <w:sz w:val="21"/>
                <w:szCs w:val="21"/>
                <w:lang w:val="en-US" w:eastAsia="zh-CN"/>
              </w:rPr>
              <w:t>0.05</w:t>
            </w:r>
          </w:p>
        </w:tc>
        <w:tc>
          <w:tcPr>
            <w:tcW w:w="1557"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40"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rPr>
            </w:pPr>
            <w:r>
              <w:rPr>
                <w:rFonts w:hint="eastAsia" w:ascii="Times New Roman" w:hAnsi="Times New Roman" w:eastAsia="宋体" w:cs="Times New Roman"/>
                <w:color w:val="auto"/>
                <w:kern w:val="0"/>
                <w:sz w:val="21"/>
                <w:szCs w:val="21"/>
                <w:lang w:val="en-US" w:eastAsia="zh-CN" w:bidi="ar-SA"/>
              </w:rPr>
              <w:t>0.0</w:t>
            </w:r>
            <w:r>
              <w:rPr>
                <w:rFonts w:hint="eastAsia" w:cs="Times New Roman"/>
                <w:color w:val="auto"/>
                <w:kern w:val="0"/>
                <w:sz w:val="21"/>
                <w:szCs w:val="21"/>
                <w:lang w:val="en-US" w:eastAsia="zh-CN" w:bidi="ar-SA"/>
              </w:rPr>
              <w:t>5</w:t>
            </w:r>
          </w:p>
        </w:tc>
        <w:tc>
          <w:tcPr>
            <w:tcW w:w="1625"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+0.0</w:t>
            </w:r>
            <w:r>
              <w:rPr>
                <w:rFonts w:hint="eastAsia" w:cs="Times New Roman"/>
                <w:color w:val="auto"/>
                <w:kern w:val="0"/>
                <w:sz w:val="21"/>
                <w:szCs w:val="21"/>
                <w:lang w:val="en-US" w:eastAsia="zh-CN" w:bidi="ar-S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p>
        </w:tc>
        <w:tc>
          <w:tcPr>
            <w:tcW w:w="1759" w:type="dxa"/>
            <w:gridSpan w:val="2"/>
            <w:noWrap w:val="0"/>
            <w:vAlign w:val="center"/>
          </w:tcPr>
          <w:p>
            <w:pPr>
              <w:ind w:left="0" w:leftChars="0" w:right="0" w:rightChars="0" w:firstLine="0" w:firstLineChars="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NH</w:t>
            </w:r>
            <w:r>
              <w:rPr>
                <w:rFonts w:hint="default" w:ascii="Times New Roman" w:hAnsi="Times New Roman" w:eastAsia="宋体" w:cs="Times New Roman"/>
                <w:bCs/>
                <w:color w:val="000000"/>
                <w:kern w:val="0"/>
                <w:sz w:val="21"/>
                <w:szCs w:val="21"/>
                <w:vertAlign w:val="subscript"/>
              </w:rPr>
              <w:t>3</w:t>
            </w:r>
            <w:r>
              <w:rPr>
                <w:rFonts w:hint="default" w:ascii="Times New Roman" w:hAnsi="Times New Roman" w:eastAsia="宋体" w:cs="Times New Roman"/>
                <w:bCs/>
                <w:color w:val="000000"/>
                <w:kern w:val="0"/>
                <w:sz w:val="21"/>
                <w:szCs w:val="21"/>
              </w:rPr>
              <w:t>-N</w:t>
            </w:r>
          </w:p>
        </w:tc>
        <w:tc>
          <w:tcPr>
            <w:tcW w:w="1683" w:type="dxa"/>
            <w:noWrap w:val="0"/>
            <w:vAlign w:val="center"/>
          </w:tcPr>
          <w:p>
            <w:pPr>
              <w:pStyle w:val="25"/>
              <w:keepNext w:val="0"/>
              <w:keepLines w:val="0"/>
              <w:pageBreakBefore w:val="0"/>
              <w:widowControl w:val="0"/>
              <w:tabs>
                <w:tab w:val="left" w:pos="940"/>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spacing w:val="0"/>
                <w:kern w:val="0"/>
                <w:sz w:val="21"/>
                <w:szCs w:val="21"/>
              </w:rPr>
            </w:pPr>
            <w:r>
              <w:rPr>
                <w:rFonts w:hint="eastAsia" w:ascii="Times New Roman" w:eastAsia="宋体" w:cs="Times New Roman"/>
                <w:color w:val="auto"/>
                <w:spacing w:val="0"/>
                <w:kern w:val="0"/>
                <w:sz w:val="21"/>
                <w:szCs w:val="21"/>
                <w:lang w:val="en-US" w:eastAsia="zh-CN" w:bidi="ar-SA"/>
              </w:rPr>
              <w:t>0</w:t>
            </w:r>
          </w:p>
        </w:tc>
        <w:tc>
          <w:tcPr>
            <w:tcW w:w="1253" w:type="dxa"/>
            <w:noWrap w:val="0"/>
            <w:vAlign w:val="center"/>
          </w:tcPr>
          <w:p>
            <w:pPr>
              <w:pStyle w:val="25"/>
              <w:keepNext w:val="0"/>
              <w:keepLines w:val="0"/>
              <w:pageBreakBefore w:val="0"/>
              <w:widowControl w:val="0"/>
              <w:tabs>
                <w:tab w:val="left" w:pos="940"/>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spacing w:val="0"/>
                <w:kern w:val="0"/>
                <w:sz w:val="21"/>
                <w:szCs w:val="21"/>
              </w:rPr>
            </w:pPr>
            <w:r>
              <w:rPr>
                <w:rFonts w:hint="eastAsia" w:ascii="Times New Roman" w:eastAsia="宋体" w:cs="Times New Roman"/>
                <w:color w:val="auto"/>
                <w:spacing w:val="0"/>
                <w:kern w:val="0"/>
                <w:sz w:val="21"/>
                <w:szCs w:val="21"/>
                <w:lang w:val="en-US" w:eastAsia="zh-CN" w:bidi="ar-SA"/>
              </w:rPr>
              <w:t>0</w:t>
            </w:r>
          </w:p>
        </w:tc>
        <w:tc>
          <w:tcPr>
            <w:tcW w:w="160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502"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color w:val="000000"/>
                <w:spacing w:val="0"/>
                <w:sz w:val="21"/>
                <w:szCs w:val="21"/>
                <w:lang w:val="en-US" w:eastAsia="zh-CN"/>
              </w:rPr>
            </w:pPr>
            <w:r>
              <w:rPr>
                <w:rFonts w:hint="eastAsia" w:ascii="Times New Roman" w:eastAsia="宋体" w:cs="Times New Roman"/>
                <w:snapToGrid w:val="0"/>
                <w:color w:val="000000"/>
                <w:spacing w:val="0"/>
                <w:kern w:val="0"/>
                <w:sz w:val="21"/>
                <w:szCs w:val="21"/>
                <w:lang w:val="en-US" w:eastAsia="zh-CN"/>
              </w:rPr>
              <w:t>0.0075</w:t>
            </w:r>
          </w:p>
        </w:tc>
        <w:tc>
          <w:tcPr>
            <w:tcW w:w="1557"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40" w:type="dxa"/>
            <w:noWrap w:val="0"/>
            <w:vAlign w:val="center"/>
          </w:tcPr>
          <w:p>
            <w:pPr>
              <w:pStyle w:val="25"/>
              <w:keepNext w:val="0"/>
              <w:keepLines w:val="0"/>
              <w:pageBreakBefore w:val="0"/>
              <w:widowControl w:val="0"/>
              <w:tabs>
                <w:tab w:val="left" w:pos="940"/>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rPr>
                <w:rFonts w:hint="default" w:ascii="Times New Roman" w:hAnsi="Times New Roman" w:eastAsia="宋体" w:cs="Times New Roman"/>
                <w:color w:val="000000"/>
                <w:spacing w:val="0"/>
                <w:sz w:val="21"/>
                <w:szCs w:val="21"/>
                <w:lang w:val="en-US"/>
              </w:rPr>
            </w:pPr>
            <w:r>
              <w:rPr>
                <w:rFonts w:hint="default" w:ascii="Times New Roman" w:hAnsi="Times New Roman" w:eastAsia="宋体" w:cs="Times New Roman"/>
                <w:color w:val="auto"/>
                <w:spacing w:val="0"/>
                <w:kern w:val="0"/>
                <w:sz w:val="21"/>
                <w:szCs w:val="21"/>
                <w:lang w:val="en-US" w:eastAsia="zh-CN" w:bidi="ar-SA"/>
              </w:rPr>
              <w:t>0.0</w:t>
            </w:r>
            <w:r>
              <w:rPr>
                <w:rFonts w:hint="eastAsia" w:ascii="Times New Roman" w:eastAsia="宋体" w:cs="Times New Roman"/>
                <w:color w:val="auto"/>
                <w:spacing w:val="0"/>
                <w:kern w:val="0"/>
                <w:sz w:val="21"/>
                <w:szCs w:val="21"/>
                <w:lang w:val="en-US" w:eastAsia="zh-CN" w:bidi="ar-SA"/>
              </w:rPr>
              <w:t>075</w:t>
            </w:r>
          </w:p>
        </w:tc>
        <w:tc>
          <w:tcPr>
            <w:tcW w:w="1625" w:type="dxa"/>
            <w:noWrap w:val="0"/>
            <w:vAlign w:val="center"/>
          </w:tcPr>
          <w:p>
            <w:pPr>
              <w:pStyle w:val="25"/>
              <w:keepNext w:val="0"/>
              <w:keepLines w:val="0"/>
              <w:pageBreakBefore w:val="0"/>
              <w:widowControl w:val="0"/>
              <w:tabs>
                <w:tab w:val="left" w:pos="940"/>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ascii="Times New Roman" w:eastAsia="宋体" w:cs="Times New Roman"/>
                <w:color w:val="auto"/>
                <w:spacing w:val="0"/>
                <w:kern w:val="0"/>
                <w:sz w:val="21"/>
                <w:szCs w:val="21"/>
                <w:lang w:val="en-US" w:eastAsia="zh-CN" w:bidi="ar-SA"/>
              </w:rPr>
              <w:t>+</w:t>
            </w:r>
            <w:r>
              <w:rPr>
                <w:rFonts w:hint="default" w:ascii="Times New Roman" w:hAnsi="Times New Roman" w:eastAsia="宋体" w:cs="Times New Roman"/>
                <w:color w:val="auto"/>
                <w:spacing w:val="0"/>
                <w:kern w:val="0"/>
                <w:sz w:val="21"/>
                <w:szCs w:val="21"/>
                <w:lang w:val="en-US" w:eastAsia="zh-CN" w:bidi="ar-SA"/>
              </w:rPr>
              <w:t>0.0</w:t>
            </w:r>
            <w:r>
              <w:rPr>
                <w:rFonts w:hint="eastAsia" w:ascii="Times New Roman" w:eastAsia="宋体" w:cs="Times New Roman"/>
                <w:color w:val="auto"/>
                <w:spacing w:val="0"/>
                <w:kern w:val="0"/>
                <w:sz w:val="21"/>
                <w:szCs w:val="21"/>
                <w:lang w:val="en-US" w:eastAsia="zh-CN" w:bidi="ar-SA"/>
              </w:rPr>
              <w:t>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p>
        </w:tc>
        <w:tc>
          <w:tcPr>
            <w:tcW w:w="1759" w:type="dxa"/>
            <w:gridSpan w:val="2"/>
            <w:noWrap w:val="0"/>
            <w:vAlign w:val="center"/>
          </w:tcPr>
          <w:p>
            <w:pPr>
              <w:ind w:left="0" w:leftChars="0" w:right="0" w:rightChars="0" w:firstLine="0" w:firstLineChars="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TN</w:t>
            </w:r>
          </w:p>
        </w:tc>
        <w:tc>
          <w:tcPr>
            <w:tcW w:w="1683" w:type="dxa"/>
            <w:noWrap w:val="0"/>
            <w:vAlign w:val="center"/>
          </w:tcPr>
          <w:p>
            <w:pPr>
              <w:pStyle w:val="25"/>
              <w:keepNext w:val="0"/>
              <w:keepLines w:val="0"/>
              <w:pageBreakBefore w:val="0"/>
              <w:widowControl w:val="0"/>
              <w:tabs>
                <w:tab w:val="left" w:pos="940"/>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spacing w:val="0"/>
                <w:kern w:val="0"/>
                <w:sz w:val="21"/>
                <w:szCs w:val="21"/>
              </w:rPr>
            </w:pPr>
            <w:r>
              <w:rPr>
                <w:rFonts w:hint="eastAsia" w:ascii="Times New Roman" w:eastAsia="宋体" w:cs="Times New Roman"/>
                <w:color w:val="auto"/>
                <w:spacing w:val="0"/>
                <w:kern w:val="0"/>
                <w:sz w:val="21"/>
                <w:szCs w:val="21"/>
                <w:lang w:val="en-US" w:eastAsia="zh-CN" w:bidi="ar-SA"/>
              </w:rPr>
              <w:t>0</w:t>
            </w:r>
          </w:p>
        </w:tc>
        <w:tc>
          <w:tcPr>
            <w:tcW w:w="1253" w:type="dxa"/>
            <w:noWrap w:val="0"/>
            <w:vAlign w:val="center"/>
          </w:tcPr>
          <w:p>
            <w:pPr>
              <w:pStyle w:val="25"/>
              <w:keepNext w:val="0"/>
              <w:keepLines w:val="0"/>
              <w:pageBreakBefore w:val="0"/>
              <w:widowControl w:val="0"/>
              <w:tabs>
                <w:tab w:val="left" w:pos="940"/>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spacing w:val="0"/>
                <w:kern w:val="0"/>
                <w:sz w:val="21"/>
                <w:szCs w:val="21"/>
              </w:rPr>
            </w:pPr>
            <w:r>
              <w:rPr>
                <w:rFonts w:hint="eastAsia" w:ascii="Times New Roman" w:eastAsia="宋体" w:cs="Times New Roman"/>
                <w:color w:val="auto"/>
                <w:spacing w:val="0"/>
                <w:kern w:val="0"/>
                <w:sz w:val="21"/>
                <w:szCs w:val="21"/>
                <w:lang w:val="en-US" w:eastAsia="zh-CN" w:bidi="ar-SA"/>
              </w:rPr>
              <w:t>0</w:t>
            </w:r>
          </w:p>
        </w:tc>
        <w:tc>
          <w:tcPr>
            <w:tcW w:w="160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502"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color w:val="000000"/>
                <w:spacing w:val="0"/>
                <w:sz w:val="21"/>
                <w:szCs w:val="21"/>
                <w:lang w:val="en-US" w:eastAsia="zh-CN"/>
              </w:rPr>
            </w:pPr>
            <w:r>
              <w:rPr>
                <w:rFonts w:hint="eastAsia" w:ascii="Times New Roman" w:eastAsia="宋体" w:cs="Times New Roman"/>
                <w:snapToGrid w:val="0"/>
                <w:color w:val="000000"/>
                <w:spacing w:val="0"/>
                <w:kern w:val="0"/>
                <w:sz w:val="21"/>
                <w:szCs w:val="21"/>
                <w:lang w:val="en-US" w:eastAsia="zh-CN"/>
              </w:rPr>
              <w:t>0.01</w:t>
            </w:r>
          </w:p>
        </w:tc>
        <w:tc>
          <w:tcPr>
            <w:tcW w:w="1557"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40" w:type="dxa"/>
            <w:noWrap w:val="0"/>
            <w:vAlign w:val="center"/>
          </w:tcPr>
          <w:p>
            <w:pPr>
              <w:pStyle w:val="25"/>
              <w:keepNext w:val="0"/>
              <w:keepLines w:val="0"/>
              <w:pageBreakBefore w:val="0"/>
              <w:widowControl w:val="0"/>
              <w:tabs>
                <w:tab w:val="left" w:pos="940"/>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rPr>
                <w:rFonts w:hint="default" w:ascii="Times New Roman" w:hAnsi="Times New Roman" w:eastAsia="宋体" w:cs="Times New Roman"/>
                <w:color w:val="000000"/>
                <w:spacing w:val="0"/>
                <w:sz w:val="21"/>
                <w:szCs w:val="21"/>
                <w:lang w:val="en-US"/>
              </w:rPr>
            </w:pPr>
            <w:r>
              <w:rPr>
                <w:rFonts w:hint="default" w:ascii="Times New Roman" w:hAnsi="Times New Roman" w:eastAsia="宋体" w:cs="Times New Roman"/>
                <w:color w:val="auto"/>
                <w:spacing w:val="0"/>
                <w:kern w:val="0"/>
                <w:sz w:val="21"/>
                <w:szCs w:val="21"/>
                <w:lang w:val="en-US" w:eastAsia="zh-CN" w:bidi="ar-SA"/>
              </w:rPr>
              <w:t>0.0</w:t>
            </w:r>
            <w:r>
              <w:rPr>
                <w:rFonts w:hint="eastAsia" w:ascii="Times New Roman" w:eastAsia="宋体" w:cs="Times New Roman"/>
                <w:color w:val="auto"/>
                <w:spacing w:val="0"/>
                <w:kern w:val="0"/>
                <w:sz w:val="21"/>
                <w:szCs w:val="21"/>
                <w:lang w:val="en-US" w:eastAsia="zh-CN" w:bidi="ar-SA"/>
              </w:rPr>
              <w:t>1</w:t>
            </w:r>
          </w:p>
        </w:tc>
        <w:tc>
          <w:tcPr>
            <w:tcW w:w="1625" w:type="dxa"/>
            <w:noWrap w:val="0"/>
            <w:vAlign w:val="center"/>
          </w:tcPr>
          <w:p>
            <w:pPr>
              <w:pStyle w:val="25"/>
              <w:keepNext w:val="0"/>
              <w:keepLines w:val="0"/>
              <w:pageBreakBefore w:val="0"/>
              <w:widowControl w:val="0"/>
              <w:tabs>
                <w:tab w:val="left" w:pos="940"/>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ascii="Times New Roman" w:eastAsia="宋体" w:cs="Times New Roman"/>
                <w:color w:val="auto"/>
                <w:spacing w:val="0"/>
                <w:kern w:val="0"/>
                <w:sz w:val="21"/>
                <w:szCs w:val="21"/>
                <w:lang w:val="en-US" w:eastAsia="zh-CN" w:bidi="ar-SA"/>
              </w:rPr>
              <w:t>+</w:t>
            </w:r>
            <w:r>
              <w:rPr>
                <w:rFonts w:hint="default" w:ascii="Times New Roman" w:hAnsi="Times New Roman" w:eastAsia="宋体" w:cs="Times New Roman"/>
                <w:color w:val="auto"/>
                <w:spacing w:val="0"/>
                <w:kern w:val="0"/>
                <w:sz w:val="21"/>
                <w:szCs w:val="21"/>
                <w:lang w:val="en-US" w:eastAsia="zh-CN" w:bidi="ar-SA"/>
              </w:rPr>
              <w:t>0.0</w:t>
            </w:r>
            <w:r>
              <w:rPr>
                <w:rFonts w:hint="eastAsia" w:ascii="Times New Roman" w:eastAsia="宋体" w:cs="Times New Roman"/>
                <w:color w:val="auto"/>
                <w:spacing w:val="0"/>
                <w:kern w:val="0"/>
                <w:sz w:val="21"/>
                <w:szCs w:val="21"/>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p>
        </w:tc>
        <w:tc>
          <w:tcPr>
            <w:tcW w:w="1759" w:type="dxa"/>
            <w:gridSpan w:val="2"/>
            <w:noWrap w:val="0"/>
            <w:vAlign w:val="center"/>
          </w:tcPr>
          <w:p>
            <w:pPr>
              <w:ind w:left="0" w:leftChars="0" w:right="0" w:rightChars="0" w:firstLine="0" w:firstLineChars="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TP</w:t>
            </w:r>
          </w:p>
        </w:tc>
        <w:tc>
          <w:tcPr>
            <w:tcW w:w="1683" w:type="dxa"/>
            <w:noWrap w:val="0"/>
            <w:vAlign w:val="center"/>
          </w:tcPr>
          <w:p>
            <w:pPr>
              <w:pStyle w:val="25"/>
              <w:keepNext w:val="0"/>
              <w:keepLines w:val="0"/>
              <w:pageBreakBefore w:val="0"/>
              <w:widowControl w:val="0"/>
              <w:tabs>
                <w:tab w:val="left" w:pos="940"/>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spacing w:val="0"/>
                <w:kern w:val="0"/>
                <w:sz w:val="21"/>
                <w:szCs w:val="21"/>
                <w:lang w:val="en-US"/>
              </w:rPr>
            </w:pPr>
            <w:r>
              <w:rPr>
                <w:rFonts w:hint="eastAsia" w:ascii="Times New Roman" w:eastAsia="宋体" w:cs="Times New Roman"/>
                <w:color w:val="auto"/>
                <w:spacing w:val="0"/>
                <w:kern w:val="0"/>
                <w:sz w:val="21"/>
                <w:szCs w:val="21"/>
                <w:lang w:val="en-US" w:eastAsia="zh-CN" w:bidi="ar-SA"/>
              </w:rPr>
              <w:t>0</w:t>
            </w:r>
          </w:p>
        </w:tc>
        <w:tc>
          <w:tcPr>
            <w:tcW w:w="1253" w:type="dxa"/>
            <w:noWrap w:val="0"/>
            <w:vAlign w:val="center"/>
          </w:tcPr>
          <w:p>
            <w:pPr>
              <w:pStyle w:val="25"/>
              <w:keepNext w:val="0"/>
              <w:keepLines w:val="0"/>
              <w:pageBreakBefore w:val="0"/>
              <w:widowControl w:val="0"/>
              <w:tabs>
                <w:tab w:val="left" w:pos="940"/>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spacing w:val="0"/>
                <w:kern w:val="0"/>
                <w:sz w:val="21"/>
                <w:szCs w:val="21"/>
                <w:lang w:val="en-US"/>
              </w:rPr>
            </w:pPr>
            <w:r>
              <w:rPr>
                <w:rFonts w:hint="eastAsia" w:ascii="Times New Roman" w:eastAsia="宋体" w:cs="Times New Roman"/>
                <w:color w:val="auto"/>
                <w:spacing w:val="0"/>
                <w:kern w:val="0"/>
                <w:sz w:val="21"/>
                <w:szCs w:val="21"/>
                <w:lang w:val="en-US" w:eastAsia="zh-CN" w:bidi="ar-SA"/>
              </w:rPr>
              <w:t>0</w:t>
            </w:r>
          </w:p>
        </w:tc>
        <w:tc>
          <w:tcPr>
            <w:tcW w:w="1603" w:type="dxa"/>
            <w:noWrap w:val="0"/>
            <w:vAlign w:val="center"/>
          </w:tcPr>
          <w:p>
            <w:pPr>
              <w:ind w:left="0" w:leftChars="0" w:right="0" w:rightChars="0" w:firstLine="0" w:firstLineChars="0"/>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0</w:t>
            </w:r>
          </w:p>
        </w:tc>
        <w:tc>
          <w:tcPr>
            <w:tcW w:w="1502"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snapToGrid w:val="0"/>
                <w:color w:val="000000"/>
                <w:kern w:val="0"/>
                <w:sz w:val="21"/>
                <w:szCs w:val="21"/>
                <w:lang w:val="en-US" w:eastAsia="zh-CN"/>
              </w:rPr>
              <w:t>0.00</w:t>
            </w:r>
            <w:r>
              <w:rPr>
                <w:rFonts w:hint="eastAsia" w:cs="Times New Roman"/>
                <w:snapToGrid w:val="0"/>
                <w:color w:val="000000"/>
                <w:kern w:val="0"/>
                <w:sz w:val="21"/>
                <w:szCs w:val="21"/>
                <w:lang w:val="en-US" w:eastAsia="zh-CN"/>
              </w:rPr>
              <w:t>1</w:t>
            </w:r>
          </w:p>
        </w:tc>
        <w:tc>
          <w:tcPr>
            <w:tcW w:w="1557"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40" w:type="dxa"/>
            <w:noWrap w:val="0"/>
            <w:vAlign w:val="center"/>
          </w:tcPr>
          <w:p>
            <w:pPr>
              <w:pStyle w:val="25"/>
              <w:keepNext w:val="0"/>
              <w:keepLines w:val="0"/>
              <w:pageBreakBefore w:val="0"/>
              <w:widowControl w:val="0"/>
              <w:tabs>
                <w:tab w:val="left" w:pos="940"/>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auto"/>
                <w:spacing w:val="0"/>
                <w:kern w:val="0"/>
                <w:sz w:val="21"/>
                <w:szCs w:val="21"/>
                <w:lang w:val="en-US" w:eastAsia="zh-CN" w:bidi="ar-SA"/>
              </w:rPr>
              <w:t>0.00</w:t>
            </w:r>
            <w:r>
              <w:rPr>
                <w:rFonts w:hint="eastAsia" w:ascii="Times New Roman" w:eastAsia="宋体" w:cs="Times New Roman"/>
                <w:color w:val="auto"/>
                <w:spacing w:val="0"/>
                <w:kern w:val="0"/>
                <w:sz w:val="21"/>
                <w:szCs w:val="21"/>
                <w:lang w:val="en-US" w:eastAsia="zh-CN" w:bidi="ar-SA"/>
              </w:rPr>
              <w:t>1</w:t>
            </w:r>
          </w:p>
        </w:tc>
        <w:tc>
          <w:tcPr>
            <w:tcW w:w="1625" w:type="dxa"/>
            <w:noWrap w:val="0"/>
            <w:vAlign w:val="center"/>
          </w:tcPr>
          <w:p>
            <w:pPr>
              <w:pStyle w:val="25"/>
              <w:keepNext w:val="0"/>
              <w:keepLines w:val="0"/>
              <w:pageBreakBefore w:val="0"/>
              <w:widowControl w:val="0"/>
              <w:tabs>
                <w:tab w:val="left" w:pos="940"/>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ascii="Times New Roman" w:eastAsia="宋体" w:cs="Times New Roman"/>
                <w:color w:val="auto"/>
                <w:spacing w:val="0"/>
                <w:kern w:val="0"/>
                <w:sz w:val="21"/>
                <w:szCs w:val="21"/>
                <w:lang w:val="en-US" w:eastAsia="zh-CN" w:bidi="ar-SA"/>
              </w:rPr>
              <w:t>+</w:t>
            </w:r>
            <w:r>
              <w:rPr>
                <w:rFonts w:hint="default" w:ascii="Times New Roman" w:hAnsi="Times New Roman" w:eastAsia="宋体" w:cs="Times New Roman"/>
                <w:color w:val="auto"/>
                <w:spacing w:val="0"/>
                <w:kern w:val="0"/>
                <w:sz w:val="21"/>
                <w:szCs w:val="21"/>
                <w:lang w:val="en-US" w:eastAsia="zh-CN" w:bidi="ar-SA"/>
              </w:rPr>
              <w:t>0.00</w:t>
            </w:r>
            <w:r>
              <w:rPr>
                <w:rFonts w:hint="eastAsia" w:ascii="Times New Roman" w:eastAsia="宋体" w:cs="Times New Roman"/>
                <w:color w:val="auto"/>
                <w:spacing w:val="0"/>
                <w:kern w:val="0"/>
                <w:sz w:val="21"/>
                <w:szCs w:val="21"/>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restart"/>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一般工业</w:t>
            </w:r>
          </w:p>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固体废物</w:t>
            </w:r>
          </w:p>
        </w:tc>
        <w:tc>
          <w:tcPr>
            <w:tcW w:w="1759"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1"/>
                <w:szCs w:val="21"/>
                <w:lang w:eastAsia="zh-CN"/>
              </w:rPr>
            </w:pPr>
            <w:r>
              <w:rPr>
                <w:rFonts w:hint="default" w:ascii="Times New Roman" w:hAnsi="Times New Roman" w:eastAsia="宋体" w:cs="Times New Roman"/>
                <w:b w:val="0"/>
                <w:bCs w:val="0"/>
                <w:color w:val="000000"/>
                <w:kern w:val="0"/>
                <w:sz w:val="21"/>
                <w:szCs w:val="21"/>
              </w:rPr>
              <w:t>废</w:t>
            </w:r>
            <w:r>
              <w:rPr>
                <w:rFonts w:hint="eastAsia" w:ascii="Times New Roman" w:hAnsi="Times New Roman" w:eastAsia="宋体" w:cs="Times New Roman"/>
                <w:b w:val="0"/>
                <w:bCs w:val="0"/>
                <w:color w:val="000000"/>
                <w:kern w:val="0"/>
                <w:sz w:val="21"/>
                <w:szCs w:val="21"/>
                <w:lang w:val="en-US" w:eastAsia="zh-CN"/>
              </w:rPr>
              <w:t>边角料</w:t>
            </w:r>
          </w:p>
        </w:tc>
        <w:tc>
          <w:tcPr>
            <w:tcW w:w="1683"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0"/>
                <w:sz w:val="21"/>
                <w:szCs w:val="21"/>
              </w:rPr>
            </w:pPr>
            <w:r>
              <w:rPr>
                <w:rFonts w:hint="eastAsia" w:ascii="Times New Roman" w:hAnsi="Times New Roman" w:eastAsia="宋体" w:cs="Times New Roman"/>
                <w:color w:val="000000"/>
                <w:kern w:val="0"/>
                <w:sz w:val="21"/>
                <w:szCs w:val="21"/>
                <w:lang w:val="en-US" w:eastAsia="zh-CN" w:bidi="ar-SA"/>
              </w:rPr>
              <w:t>0</w:t>
            </w:r>
          </w:p>
        </w:tc>
        <w:tc>
          <w:tcPr>
            <w:tcW w:w="125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0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502"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13.45</w:t>
            </w:r>
          </w:p>
        </w:tc>
        <w:tc>
          <w:tcPr>
            <w:tcW w:w="1557"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4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lang w:val="en-US"/>
              </w:rPr>
            </w:pPr>
            <w:r>
              <w:rPr>
                <w:rFonts w:hint="eastAsia" w:cs="Times New Roman"/>
                <w:color w:val="000000"/>
                <w:kern w:val="0"/>
                <w:sz w:val="21"/>
                <w:szCs w:val="21"/>
                <w:lang w:val="en-US" w:eastAsia="zh-CN" w:bidi="ar-SA"/>
              </w:rPr>
              <w:t>13.45</w:t>
            </w:r>
          </w:p>
        </w:tc>
        <w:tc>
          <w:tcPr>
            <w:tcW w:w="1625"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bidi="ar-SA"/>
              </w:rPr>
              <w:t>+</w:t>
            </w:r>
            <w:r>
              <w:rPr>
                <w:rFonts w:hint="eastAsia" w:cs="Times New Roman"/>
                <w:color w:val="000000"/>
                <w:kern w:val="0"/>
                <w:sz w:val="21"/>
                <w:szCs w:val="21"/>
                <w:lang w:val="en-US" w:eastAsia="zh-CN" w:bidi="ar-SA"/>
              </w:rPr>
              <w:t>13.45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p>
        </w:tc>
        <w:tc>
          <w:tcPr>
            <w:tcW w:w="1759"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一般废包装材料</w:t>
            </w:r>
          </w:p>
        </w:tc>
        <w:tc>
          <w:tcPr>
            <w:tcW w:w="1683"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 w:val="21"/>
                <w:szCs w:val="21"/>
                <w:highlight w:val="none"/>
                <w:lang w:val="en-US" w:eastAsia="zh-CN" w:bidi="ar-SA"/>
              </w:rPr>
              <w:t>0</w:t>
            </w:r>
          </w:p>
        </w:tc>
        <w:tc>
          <w:tcPr>
            <w:tcW w:w="1253" w:type="dxa"/>
            <w:noWrap w:val="0"/>
            <w:vAlign w:val="center"/>
          </w:tcPr>
          <w:p>
            <w:pPr>
              <w:ind w:left="0" w:leftChars="0" w:right="0" w:rightChars="0" w:firstLine="0" w:firstLineChars="0"/>
              <w:jc w:val="center"/>
              <w:rPr>
                <w:rFonts w:hint="eastAsia" w:ascii="Times New Roman" w:hAnsi="Times New Roman" w:eastAsia="宋体" w:cs="Times New Roman"/>
                <w:snapToGrid w:val="0"/>
                <w:color w:val="000000"/>
                <w:kern w:val="0"/>
                <w:sz w:val="21"/>
                <w:szCs w:val="21"/>
                <w:lang w:val="en-US" w:eastAsia="zh-CN"/>
              </w:rPr>
            </w:pPr>
            <w:r>
              <w:rPr>
                <w:rFonts w:hint="eastAsia" w:cs="Times New Roman"/>
                <w:snapToGrid w:val="0"/>
                <w:color w:val="000000"/>
                <w:kern w:val="0"/>
                <w:sz w:val="21"/>
                <w:szCs w:val="21"/>
                <w:lang w:val="en-US" w:eastAsia="zh-CN"/>
              </w:rPr>
              <w:t>0</w:t>
            </w:r>
          </w:p>
        </w:tc>
        <w:tc>
          <w:tcPr>
            <w:tcW w:w="1603" w:type="dxa"/>
            <w:noWrap w:val="0"/>
            <w:vAlign w:val="center"/>
          </w:tcPr>
          <w:p>
            <w:pPr>
              <w:ind w:left="0" w:leftChars="0" w:right="0" w:rightChars="0" w:firstLine="0" w:firstLineChars="0"/>
              <w:jc w:val="center"/>
              <w:rPr>
                <w:rFonts w:hint="eastAsia" w:ascii="Times New Roman" w:hAnsi="Times New Roman" w:eastAsia="宋体" w:cs="Times New Roman"/>
                <w:snapToGrid w:val="0"/>
                <w:color w:val="000000"/>
                <w:kern w:val="0"/>
                <w:sz w:val="21"/>
                <w:szCs w:val="21"/>
                <w:lang w:val="en-US" w:eastAsia="zh-CN"/>
              </w:rPr>
            </w:pPr>
            <w:r>
              <w:rPr>
                <w:rFonts w:hint="eastAsia" w:cs="Times New Roman"/>
                <w:snapToGrid w:val="0"/>
                <w:color w:val="000000"/>
                <w:kern w:val="0"/>
                <w:sz w:val="21"/>
                <w:szCs w:val="21"/>
                <w:lang w:val="en-US" w:eastAsia="zh-CN"/>
              </w:rPr>
              <w:t>0</w:t>
            </w:r>
          </w:p>
        </w:tc>
        <w:tc>
          <w:tcPr>
            <w:tcW w:w="1502"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1.5</w:t>
            </w:r>
          </w:p>
        </w:tc>
        <w:tc>
          <w:tcPr>
            <w:tcW w:w="1557" w:type="dxa"/>
            <w:noWrap w:val="0"/>
            <w:vAlign w:val="center"/>
          </w:tcPr>
          <w:p>
            <w:pPr>
              <w:ind w:left="0" w:leftChars="0" w:right="0" w:rightChars="0" w:firstLine="0" w:firstLineChars="0"/>
              <w:jc w:val="center"/>
              <w:rPr>
                <w:rFonts w:hint="eastAsia" w:ascii="Times New Roman" w:hAnsi="Times New Roman" w:eastAsia="宋体" w:cs="Times New Roman"/>
                <w:snapToGrid w:val="0"/>
                <w:color w:val="000000"/>
                <w:kern w:val="0"/>
                <w:sz w:val="21"/>
                <w:szCs w:val="21"/>
                <w:lang w:val="en-US" w:eastAsia="zh-CN"/>
              </w:rPr>
            </w:pPr>
            <w:r>
              <w:rPr>
                <w:rFonts w:hint="eastAsia" w:cs="Times New Roman"/>
                <w:snapToGrid w:val="0"/>
                <w:color w:val="000000"/>
                <w:kern w:val="0"/>
                <w:sz w:val="21"/>
                <w:szCs w:val="21"/>
                <w:lang w:val="en-US" w:eastAsia="zh-CN"/>
              </w:rPr>
              <w:t>0</w:t>
            </w:r>
          </w:p>
        </w:tc>
        <w:tc>
          <w:tcPr>
            <w:tcW w:w="164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 w:val="21"/>
                <w:szCs w:val="21"/>
                <w:highlight w:val="none"/>
                <w:lang w:val="en-US" w:eastAsia="zh-CN" w:bidi="ar-SA"/>
              </w:rPr>
              <w:t>1.5</w:t>
            </w:r>
          </w:p>
        </w:tc>
        <w:tc>
          <w:tcPr>
            <w:tcW w:w="1625"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 w:val="21"/>
                <w:szCs w:val="21"/>
                <w:highlight w:val="none"/>
                <w:lang w:val="en-US" w:eastAsia="zh-CN" w:bidi="ar-SA"/>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p>
        </w:tc>
        <w:tc>
          <w:tcPr>
            <w:tcW w:w="1759"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除尘灰</w:t>
            </w:r>
          </w:p>
        </w:tc>
        <w:tc>
          <w:tcPr>
            <w:tcW w:w="1683"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 w:val="21"/>
                <w:szCs w:val="21"/>
                <w:highlight w:val="none"/>
                <w:lang w:val="en-US" w:eastAsia="zh-CN" w:bidi="ar-SA"/>
              </w:rPr>
              <w:t>0</w:t>
            </w:r>
          </w:p>
        </w:tc>
        <w:tc>
          <w:tcPr>
            <w:tcW w:w="1253" w:type="dxa"/>
            <w:noWrap w:val="0"/>
            <w:vAlign w:val="center"/>
          </w:tcPr>
          <w:p>
            <w:pPr>
              <w:ind w:left="0" w:leftChars="0" w:right="0" w:rightChars="0" w:firstLine="0" w:firstLineChars="0"/>
              <w:jc w:val="center"/>
              <w:rPr>
                <w:rFonts w:hint="eastAsia" w:ascii="Times New Roman" w:hAnsi="Times New Roman" w:eastAsia="宋体" w:cs="Times New Roman"/>
                <w:snapToGrid w:val="0"/>
                <w:color w:val="000000"/>
                <w:kern w:val="0"/>
                <w:sz w:val="21"/>
                <w:szCs w:val="21"/>
                <w:lang w:val="en-US" w:eastAsia="zh-CN" w:bidi="ar-SA"/>
              </w:rPr>
            </w:pPr>
            <w:r>
              <w:rPr>
                <w:rFonts w:hint="eastAsia" w:cs="Times New Roman"/>
                <w:snapToGrid w:val="0"/>
                <w:color w:val="000000"/>
                <w:kern w:val="0"/>
                <w:sz w:val="21"/>
                <w:szCs w:val="21"/>
                <w:lang w:val="en-US" w:eastAsia="zh-CN"/>
              </w:rPr>
              <w:t>0</w:t>
            </w:r>
          </w:p>
        </w:tc>
        <w:tc>
          <w:tcPr>
            <w:tcW w:w="1603" w:type="dxa"/>
            <w:noWrap w:val="0"/>
            <w:vAlign w:val="center"/>
          </w:tcPr>
          <w:p>
            <w:pPr>
              <w:ind w:left="0" w:leftChars="0" w:right="0" w:rightChars="0" w:firstLine="0" w:firstLineChars="0"/>
              <w:jc w:val="center"/>
              <w:rPr>
                <w:rFonts w:hint="eastAsia" w:ascii="Times New Roman" w:hAnsi="Times New Roman" w:eastAsia="宋体" w:cs="Times New Roman"/>
                <w:snapToGrid w:val="0"/>
                <w:color w:val="000000"/>
                <w:kern w:val="0"/>
                <w:sz w:val="21"/>
                <w:szCs w:val="21"/>
                <w:lang w:val="en-US" w:eastAsia="zh-CN" w:bidi="ar-SA"/>
              </w:rPr>
            </w:pPr>
            <w:r>
              <w:rPr>
                <w:rFonts w:hint="eastAsia" w:cs="Times New Roman"/>
                <w:snapToGrid w:val="0"/>
                <w:color w:val="000000"/>
                <w:kern w:val="0"/>
                <w:sz w:val="21"/>
                <w:szCs w:val="21"/>
                <w:lang w:val="en-US" w:eastAsia="zh-CN"/>
              </w:rPr>
              <w:t>0</w:t>
            </w:r>
          </w:p>
        </w:tc>
        <w:tc>
          <w:tcPr>
            <w:tcW w:w="1502" w:type="dxa"/>
            <w:noWrap w:val="0"/>
            <w:vAlign w:val="center"/>
          </w:tcPr>
          <w:p>
            <w:pPr>
              <w:ind w:left="0" w:leftChars="0" w:right="0" w:rightChars="0" w:firstLine="0" w:firstLineChars="0"/>
              <w:jc w:val="center"/>
              <w:rPr>
                <w:rFonts w:hint="default" w:cs="Times New Roman"/>
                <w:color w:val="000000"/>
                <w:kern w:val="0"/>
                <w:sz w:val="21"/>
                <w:szCs w:val="21"/>
                <w:lang w:val="en-US" w:eastAsia="zh-CN"/>
              </w:rPr>
            </w:pPr>
            <w:r>
              <w:rPr>
                <w:rFonts w:hint="eastAsia" w:cs="Times New Roman"/>
                <w:color w:val="000000"/>
                <w:kern w:val="0"/>
                <w:sz w:val="21"/>
                <w:szCs w:val="21"/>
                <w:lang w:val="en-US" w:eastAsia="zh-CN"/>
              </w:rPr>
              <w:t>0.5198</w:t>
            </w:r>
          </w:p>
        </w:tc>
        <w:tc>
          <w:tcPr>
            <w:tcW w:w="1557" w:type="dxa"/>
            <w:noWrap w:val="0"/>
            <w:vAlign w:val="center"/>
          </w:tcPr>
          <w:p>
            <w:pPr>
              <w:ind w:left="0" w:leftChars="0" w:right="0" w:rightChars="0" w:firstLine="0" w:firstLineChars="0"/>
              <w:jc w:val="center"/>
              <w:rPr>
                <w:rFonts w:hint="default" w:cs="Times New Roman"/>
                <w:snapToGrid w:val="0"/>
                <w:color w:val="000000"/>
                <w:kern w:val="0"/>
                <w:sz w:val="21"/>
                <w:szCs w:val="21"/>
                <w:lang w:val="en-US" w:eastAsia="zh-CN"/>
              </w:rPr>
            </w:pPr>
            <w:r>
              <w:rPr>
                <w:rFonts w:hint="eastAsia" w:cs="Times New Roman"/>
                <w:snapToGrid w:val="0"/>
                <w:color w:val="000000"/>
                <w:kern w:val="0"/>
                <w:sz w:val="21"/>
                <w:szCs w:val="21"/>
                <w:lang w:val="en-US" w:eastAsia="zh-CN"/>
              </w:rPr>
              <w:t>0</w:t>
            </w:r>
          </w:p>
        </w:tc>
        <w:tc>
          <w:tcPr>
            <w:tcW w:w="1640" w:type="dxa"/>
            <w:noWrap w:val="0"/>
            <w:vAlign w:val="center"/>
          </w:tcPr>
          <w:p>
            <w:pPr>
              <w:ind w:left="0" w:leftChars="0" w:right="0" w:rightChars="0" w:firstLine="0" w:firstLineChars="0"/>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0.5198</w:t>
            </w:r>
          </w:p>
        </w:tc>
        <w:tc>
          <w:tcPr>
            <w:tcW w:w="1625" w:type="dxa"/>
            <w:noWrap w:val="0"/>
            <w:vAlign w:val="center"/>
          </w:tcPr>
          <w:p>
            <w:pPr>
              <w:ind w:left="0" w:leftChars="0" w:right="0" w:rightChars="0" w:firstLine="0" w:firstLineChars="0"/>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+0.5198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p>
        </w:tc>
        <w:tc>
          <w:tcPr>
            <w:tcW w:w="1759"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废布袋</w:t>
            </w:r>
          </w:p>
        </w:tc>
        <w:tc>
          <w:tcPr>
            <w:tcW w:w="1683"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 w:val="21"/>
                <w:szCs w:val="21"/>
                <w:highlight w:val="none"/>
                <w:lang w:val="en-US" w:eastAsia="zh-CN" w:bidi="ar-SA"/>
              </w:rPr>
              <w:t>0</w:t>
            </w:r>
          </w:p>
        </w:tc>
        <w:tc>
          <w:tcPr>
            <w:tcW w:w="1253" w:type="dxa"/>
            <w:noWrap w:val="0"/>
            <w:vAlign w:val="center"/>
          </w:tcPr>
          <w:p>
            <w:pPr>
              <w:ind w:left="0" w:leftChars="0" w:right="0" w:rightChars="0" w:firstLine="0" w:firstLineChars="0"/>
              <w:jc w:val="center"/>
              <w:rPr>
                <w:rFonts w:hint="eastAsia" w:ascii="Times New Roman" w:hAnsi="Times New Roman" w:eastAsia="宋体" w:cs="Times New Roman"/>
                <w:snapToGrid w:val="0"/>
                <w:color w:val="000000"/>
                <w:kern w:val="0"/>
                <w:sz w:val="21"/>
                <w:szCs w:val="21"/>
                <w:lang w:val="en-US" w:eastAsia="zh-CN" w:bidi="ar-SA"/>
              </w:rPr>
            </w:pPr>
            <w:r>
              <w:rPr>
                <w:rFonts w:hint="eastAsia" w:cs="Times New Roman"/>
                <w:snapToGrid w:val="0"/>
                <w:color w:val="000000"/>
                <w:kern w:val="0"/>
                <w:sz w:val="21"/>
                <w:szCs w:val="21"/>
                <w:lang w:val="en-US" w:eastAsia="zh-CN"/>
              </w:rPr>
              <w:t>0</w:t>
            </w:r>
          </w:p>
        </w:tc>
        <w:tc>
          <w:tcPr>
            <w:tcW w:w="1603" w:type="dxa"/>
            <w:noWrap w:val="0"/>
            <w:vAlign w:val="center"/>
          </w:tcPr>
          <w:p>
            <w:pPr>
              <w:ind w:left="0" w:leftChars="0" w:right="0" w:rightChars="0" w:firstLine="0" w:firstLineChars="0"/>
              <w:jc w:val="center"/>
              <w:rPr>
                <w:rFonts w:hint="eastAsia" w:ascii="Times New Roman" w:hAnsi="Times New Roman" w:eastAsia="宋体" w:cs="Times New Roman"/>
                <w:snapToGrid w:val="0"/>
                <w:color w:val="000000"/>
                <w:kern w:val="0"/>
                <w:sz w:val="21"/>
                <w:szCs w:val="21"/>
                <w:lang w:val="en-US" w:eastAsia="zh-CN" w:bidi="ar-SA"/>
              </w:rPr>
            </w:pPr>
            <w:r>
              <w:rPr>
                <w:rFonts w:hint="eastAsia" w:cs="Times New Roman"/>
                <w:snapToGrid w:val="0"/>
                <w:color w:val="000000"/>
                <w:kern w:val="0"/>
                <w:sz w:val="21"/>
                <w:szCs w:val="21"/>
                <w:lang w:val="en-US" w:eastAsia="zh-CN"/>
              </w:rPr>
              <w:t>0</w:t>
            </w:r>
          </w:p>
        </w:tc>
        <w:tc>
          <w:tcPr>
            <w:tcW w:w="1502" w:type="dxa"/>
            <w:noWrap w:val="0"/>
            <w:vAlign w:val="center"/>
          </w:tcPr>
          <w:p>
            <w:pPr>
              <w:ind w:left="0" w:leftChars="0" w:right="0" w:rightChars="0" w:firstLine="0" w:firstLineChars="0"/>
              <w:jc w:val="center"/>
              <w:rPr>
                <w:rFonts w:hint="default" w:cs="Times New Roman"/>
                <w:color w:val="000000"/>
                <w:kern w:val="0"/>
                <w:sz w:val="21"/>
                <w:szCs w:val="21"/>
                <w:lang w:val="en-US" w:eastAsia="zh-CN"/>
              </w:rPr>
            </w:pPr>
            <w:r>
              <w:rPr>
                <w:rFonts w:hint="eastAsia" w:cs="Times New Roman"/>
                <w:color w:val="000000"/>
                <w:kern w:val="0"/>
                <w:sz w:val="21"/>
                <w:szCs w:val="21"/>
                <w:lang w:val="en-US" w:eastAsia="zh-CN"/>
              </w:rPr>
              <w:t>0.05</w:t>
            </w:r>
          </w:p>
        </w:tc>
        <w:tc>
          <w:tcPr>
            <w:tcW w:w="1557" w:type="dxa"/>
            <w:noWrap w:val="0"/>
            <w:vAlign w:val="center"/>
          </w:tcPr>
          <w:p>
            <w:pPr>
              <w:ind w:left="0" w:leftChars="0" w:right="0" w:rightChars="0" w:firstLine="0" w:firstLineChars="0"/>
              <w:jc w:val="center"/>
              <w:rPr>
                <w:rFonts w:hint="default" w:cs="Times New Roman"/>
                <w:snapToGrid w:val="0"/>
                <w:color w:val="000000"/>
                <w:kern w:val="0"/>
                <w:sz w:val="21"/>
                <w:szCs w:val="21"/>
                <w:lang w:val="en-US" w:eastAsia="zh-CN"/>
              </w:rPr>
            </w:pPr>
            <w:r>
              <w:rPr>
                <w:rFonts w:hint="eastAsia" w:cs="Times New Roman"/>
                <w:snapToGrid w:val="0"/>
                <w:color w:val="000000"/>
                <w:kern w:val="0"/>
                <w:sz w:val="21"/>
                <w:szCs w:val="21"/>
                <w:lang w:val="en-US" w:eastAsia="zh-CN"/>
              </w:rPr>
              <w:t>0</w:t>
            </w:r>
          </w:p>
        </w:tc>
        <w:tc>
          <w:tcPr>
            <w:tcW w:w="1640" w:type="dxa"/>
            <w:noWrap w:val="0"/>
            <w:vAlign w:val="center"/>
          </w:tcPr>
          <w:p>
            <w:pPr>
              <w:ind w:left="0" w:leftChars="0" w:right="0" w:rightChars="0" w:firstLine="0" w:firstLineChars="0"/>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0.05</w:t>
            </w:r>
          </w:p>
        </w:tc>
        <w:tc>
          <w:tcPr>
            <w:tcW w:w="1625" w:type="dxa"/>
            <w:noWrap w:val="0"/>
            <w:vAlign w:val="center"/>
          </w:tcPr>
          <w:p>
            <w:pPr>
              <w:ind w:left="0" w:leftChars="0" w:right="0" w:rightChars="0" w:firstLine="0" w:firstLineChars="0"/>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restart"/>
            <w:noWrap w:val="0"/>
            <w:vAlign w:val="center"/>
          </w:tcPr>
          <w:p>
            <w:pPr>
              <w:pStyle w:val="25"/>
              <w:spacing w:beforeLines="0" w:afterLines="0" w:line="240" w:lineRule="auto"/>
              <w:ind w:left="0" w:leftChars="0" w:right="0" w:rightChars="0" w:firstLine="0" w:firstLineChars="0"/>
              <w:jc w:val="center"/>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危险废物</w:t>
            </w:r>
          </w:p>
        </w:tc>
        <w:tc>
          <w:tcPr>
            <w:tcW w:w="1759"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含油废液</w:t>
            </w:r>
          </w:p>
        </w:tc>
        <w:tc>
          <w:tcPr>
            <w:tcW w:w="1683"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0"/>
                <w:sz w:val="21"/>
                <w:szCs w:val="21"/>
              </w:rPr>
            </w:pPr>
            <w:r>
              <w:rPr>
                <w:rFonts w:hint="eastAsia" w:ascii="Times New Roman" w:hAnsi="Times New Roman" w:eastAsia="宋体" w:cs="Times New Roman"/>
                <w:color w:val="000000"/>
                <w:kern w:val="0"/>
                <w:sz w:val="21"/>
                <w:szCs w:val="21"/>
                <w:lang w:val="en-US" w:eastAsia="zh-CN" w:bidi="ar-SA"/>
              </w:rPr>
              <w:t>0</w:t>
            </w:r>
          </w:p>
        </w:tc>
        <w:tc>
          <w:tcPr>
            <w:tcW w:w="125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0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502"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0.</w:t>
            </w:r>
            <w:r>
              <w:rPr>
                <w:rFonts w:hint="eastAsia" w:cs="Times New Roman"/>
                <w:color w:val="000000"/>
                <w:kern w:val="0"/>
                <w:sz w:val="21"/>
                <w:szCs w:val="21"/>
                <w:lang w:val="en-US" w:eastAsia="zh-CN"/>
              </w:rPr>
              <w:t>27</w:t>
            </w:r>
          </w:p>
        </w:tc>
        <w:tc>
          <w:tcPr>
            <w:tcW w:w="1557"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40"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0.27</w:t>
            </w:r>
          </w:p>
        </w:tc>
        <w:tc>
          <w:tcPr>
            <w:tcW w:w="1625"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r>
              <w:rPr>
                <w:rFonts w:hint="eastAsia" w:cs="Times New Roman"/>
                <w:color w:val="000000"/>
                <w:kern w:val="0"/>
                <w:sz w:val="21"/>
                <w:szCs w:val="21"/>
                <w:lang w:val="en-US" w:eastAsia="zh-CN"/>
              </w:rPr>
              <w:t>0.27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p>
        </w:tc>
        <w:tc>
          <w:tcPr>
            <w:tcW w:w="1759"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val="0"/>
                <w:bCs w:val="0"/>
                <w:color w:val="000000"/>
                <w:kern w:val="0"/>
                <w:sz w:val="21"/>
                <w:szCs w:val="21"/>
              </w:rPr>
              <w:t>废包装桶</w:t>
            </w:r>
          </w:p>
        </w:tc>
        <w:tc>
          <w:tcPr>
            <w:tcW w:w="1683"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0"/>
                <w:sz w:val="21"/>
                <w:szCs w:val="21"/>
                <w:lang w:val="en-US"/>
              </w:rPr>
            </w:pPr>
            <w:r>
              <w:rPr>
                <w:rFonts w:hint="eastAsia" w:ascii="Times New Roman" w:hAnsi="Times New Roman" w:eastAsia="宋体" w:cs="Times New Roman"/>
                <w:color w:val="000000"/>
                <w:kern w:val="0"/>
                <w:sz w:val="21"/>
                <w:szCs w:val="21"/>
                <w:lang w:val="en-US" w:eastAsia="zh-CN" w:bidi="ar-SA"/>
              </w:rPr>
              <w:t>0</w:t>
            </w:r>
          </w:p>
        </w:tc>
        <w:tc>
          <w:tcPr>
            <w:tcW w:w="125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0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502"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0.0</w:t>
            </w:r>
            <w:r>
              <w:rPr>
                <w:rFonts w:hint="eastAsia" w:cs="Times New Roman"/>
                <w:color w:val="000000"/>
                <w:kern w:val="0"/>
                <w:sz w:val="21"/>
                <w:szCs w:val="21"/>
                <w:lang w:val="en-US" w:eastAsia="zh-CN"/>
              </w:rPr>
              <w:t>875</w:t>
            </w:r>
          </w:p>
        </w:tc>
        <w:tc>
          <w:tcPr>
            <w:tcW w:w="1557"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40"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0.</w:t>
            </w:r>
            <w:r>
              <w:rPr>
                <w:rFonts w:hint="eastAsia" w:ascii="Times New Roman" w:hAnsi="Times New Roman" w:eastAsia="宋体" w:cs="Times New Roman"/>
                <w:color w:val="000000"/>
                <w:kern w:val="0"/>
                <w:sz w:val="21"/>
                <w:szCs w:val="21"/>
                <w:lang w:val="en-US" w:eastAsia="zh-CN"/>
              </w:rPr>
              <w:t>0</w:t>
            </w:r>
            <w:r>
              <w:rPr>
                <w:rFonts w:hint="eastAsia" w:cs="Times New Roman"/>
                <w:color w:val="000000"/>
                <w:kern w:val="0"/>
                <w:sz w:val="21"/>
                <w:szCs w:val="21"/>
                <w:lang w:val="en-US" w:eastAsia="zh-CN"/>
              </w:rPr>
              <w:t>875</w:t>
            </w:r>
          </w:p>
        </w:tc>
        <w:tc>
          <w:tcPr>
            <w:tcW w:w="1625"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r>
              <w:rPr>
                <w:rFonts w:hint="default" w:ascii="Times New Roman" w:hAnsi="Times New Roman" w:eastAsia="宋体" w:cs="Times New Roman"/>
                <w:color w:val="000000"/>
                <w:kern w:val="0"/>
                <w:sz w:val="21"/>
                <w:szCs w:val="21"/>
              </w:rPr>
              <w:t>0.</w:t>
            </w:r>
            <w:r>
              <w:rPr>
                <w:rFonts w:hint="eastAsia" w:ascii="Times New Roman" w:hAnsi="Times New Roman" w:eastAsia="宋体" w:cs="Times New Roman"/>
                <w:color w:val="000000"/>
                <w:kern w:val="0"/>
                <w:sz w:val="21"/>
                <w:szCs w:val="21"/>
                <w:lang w:val="en-US" w:eastAsia="zh-CN"/>
              </w:rPr>
              <w:t>0</w:t>
            </w:r>
            <w:r>
              <w:rPr>
                <w:rFonts w:hint="eastAsia" w:cs="Times New Roman"/>
                <w:color w:val="000000"/>
                <w:kern w:val="0"/>
                <w:sz w:val="21"/>
                <w:szCs w:val="21"/>
                <w:lang w:val="en-US" w:eastAsia="zh-CN"/>
              </w:rPr>
              <w:t>875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p>
        </w:tc>
        <w:tc>
          <w:tcPr>
            <w:tcW w:w="175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val="0"/>
                <w:bCs w:val="0"/>
                <w:color w:val="000000"/>
                <w:kern w:val="0"/>
                <w:sz w:val="21"/>
                <w:szCs w:val="21"/>
                <w:highlight w:val="none"/>
              </w:rPr>
              <w:t>废活性炭</w:t>
            </w:r>
          </w:p>
        </w:tc>
        <w:tc>
          <w:tcPr>
            <w:tcW w:w="1683"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0"/>
                <w:sz w:val="21"/>
                <w:szCs w:val="21"/>
                <w:lang w:val="en-US"/>
              </w:rPr>
            </w:pPr>
            <w:r>
              <w:rPr>
                <w:rFonts w:hint="eastAsia" w:ascii="Times New Roman" w:hAnsi="Times New Roman" w:eastAsia="宋体" w:cs="Times New Roman"/>
                <w:color w:val="000000"/>
                <w:kern w:val="0"/>
                <w:sz w:val="21"/>
                <w:szCs w:val="21"/>
                <w:highlight w:val="none"/>
                <w:lang w:val="en-US" w:eastAsia="zh-CN" w:bidi="ar-SA"/>
              </w:rPr>
              <w:t>0</w:t>
            </w:r>
          </w:p>
        </w:tc>
        <w:tc>
          <w:tcPr>
            <w:tcW w:w="1253" w:type="dxa"/>
            <w:noWrap w:val="0"/>
            <w:vAlign w:val="center"/>
          </w:tcPr>
          <w:p>
            <w:pPr>
              <w:ind w:left="0" w:leftChars="0" w:right="0" w:rightChars="0" w:firstLine="0" w:firstLineChars="0"/>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0</w:t>
            </w:r>
          </w:p>
        </w:tc>
        <w:tc>
          <w:tcPr>
            <w:tcW w:w="1603" w:type="dxa"/>
            <w:noWrap w:val="0"/>
            <w:vAlign w:val="center"/>
          </w:tcPr>
          <w:p>
            <w:pPr>
              <w:ind w:left="0" w:leftChars="0" w:right="0" w:rightChars="0" w:firstLine="0" w:firstLineChars="0"/>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0</w:t>
            </w:r>
          </w:p>
        </w:tc>
        <w:tc>
          <w:tcPr>
            <w:tcW w:w="1502"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3.8498</w:t>
            </w:r>
          </w:p>
        </w:tc>
        <w:tc>
          <w:tcPr>
            <w:tcW w:w="1557"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40"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3.8498</w:t>
            </w:r>
          </w:p>
        </w:tc>
        <w:tc>
          <w:tcPr>
            <w:tcW w:w="1625"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r>
              <w:rPr>
                <w:rFonts w:hint="eastAsia" w:cs="Times New Roman"/>
                <w:color w:val="000000"/>
                <w:kern w:val="0"/>
                <w:sz w:val="21"/>
                <w:szCs w:val="21"/>
                <w:lang w:val="en-US" w:eastAsia="zh-CN"/>
              </w:rPr>
              <w:t>3.8498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p>
        </w:tc>
        <w:tc>
          <w:tcPr>
            <w:tcW w:w="1759"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 w:val="0"/>
                <w:bCs w:val="0"/>
                <w:color w:val="000000"/>
                <w:kern w:val="0"/>
                <w:sz w:val="21"/>
                <w:szCs w:val="21"/>
              </w:rPr>
              <w:t>废劳保用品</w:t>
            </w:r>
          </w:p>
        </w:tc>
        <w:tc>
          <w:tcPr>
            <w:tcW w:w="1683"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0"/>
                <w:sz w:val="21"/>
                <w:szCs w:val="21"/>
                <w:lang w:val="en-US"/>
              </w:rPr>
            </w:pPr>
            <w:r>
              <w:rPr>
                <w:rFonts w:hint="eastAsia" w:ascii="Times New Roman" w:hAnsi="Times New Roman" w:eastAsia="宋体" w:cs="Times New Roman"/>
                <w:color w:val="000000"/>
                <w:kern w:val="0"/>
                <w:sz w:val="21"/>
                <w:szCs w:val="21"/>
                <w:lang w:val="en-US" w:eastAsia="zh-CN" w:bidi="ar-SA"/>
              </w:rPr>
              <w:t>0</w:t>
            </w:r>
          </w:p>
        </w:tc>
        <w:tc>
          <w:tcPr>
            <w:tcW w:w="125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0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502"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rPr>
              <w:t>0.</w:t>
            </w:r>
            <w:r>
              <w:rPr>
                <w:rFonts w:hint="eastAsia" w:ascii="Times New Roman" w:hAnsi="Times New Roman" w:eastAsia="宋体" w:cs="Times New Roman"/>
                <w:color w:val="000000"/>
                <w:kern w:val="0"/>
                <w:sz w:val="21"/>
                <w:szCs w:val="21"/>
                <w:lang w:val="en-US" w:eastAsia="zh-CN"/>
              </w:rPr>
              <w:t>2</w:t>
            </w:r>
          </w:p>
        </w:tc>
        <w:tc>
          <w:tcPr>
            <w:tcW w:w="1557"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40"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rPr>
              <w:t>0.</w:t>
            </w:r>
            <w:r>
              <w:rPr>
                <w:rFonts w:hint="eastAsia" w:ascii="Times New Roman" w:hAnsi="Times New Roman" w:eastAsia="宋体" w:cs="Times New Roman"/>
                <w:color w:val="000000"/>
                <w:kern w:val="0"/>
                <w:sz w:val="21"/>
                <w:szCs w:val="21"/>
                <w:lang w:val="en-US" w:eastAsia="zh-CN"/>
              </w:rPr>
              <w:t>2</w:t>
            </w:r>
          </w:p>
        </w:tc>
        <w:tc>
          <w:tcPr>
            <w:tcW w:w="1625"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val="en-US" w:eastAsia="zh-CN"/>
              </w:rPr>
              <w:t>+</w:t>
            </w:r>
            <w:r>
              <w:rPr>
                <w:rFonts w:hint="default" w:ascii="Times New Roman" w:hAnsi="Times New Roman" w:eastAsia="宋体" w:cs="Times New Roman"/>
                <w:color w:val="000000"/>
                <w:kern w:val="0"/>
                <w:sz w:val="21"/>
                <w:szCs w:val="21"/>
              </w:rPr>
              <w:t>0.</w:t>
            </w:r>
            <w:r>
              <w:rPr>
                <w:rFonts w:hint="eastAsia" w:ascii="Times New Roman" w:hAnsi="Times New Roman" w:eastAsia="宋体" w:cs="Times New Roman"/>
                <w:color w:val="000000"/>
                <w:kern w:val="0"/>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p>
        </w:tc>
        <w:tc>
          <w:tcPr>
            <w:tcW w:w="1759" w:type="dxa"/>
            <w:gridSpan w:val="2"/>
            <w:noWrap w:val="0"/>
            <w:vAlign w:val="center"/>
          </w:tcPr>
          <w:p>
            <w:pPr>
              <w:widowControl/>
              <w:ind w:left="0" w:leftChars="0" w:right="0" w:rightChars="0" w:firstLine="0" w:firstLineChars="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废润滑油</w:t>
            </w:r>
          </w:p>
        </w:tc>
        <w:tc>
          <w:tcPr>
            <w:tcW w:w="1683" w:type="dxa"/>
            <w:noWrap w:val="0"/>
            <w:vAlign w:val="center"/>
          </w:tcPr>
          <w:p>
            <w:pPr>
              <w:ind w:left="0" w:leftChars="0" w:right="0" w:rightChars="0" w:firstLine="0" w:firstLineChars="0"/>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0</w:t>
            </w:r>
          </w:p>
        </w:tc>
        <w:tc>
          <w:tcPr>
            <w:tcW w:w="1253" w:type="dxa"/>
            <w:noWrap w:val="0"/>
            <w:vAlign w:val="center"/>
          </w:tcPr>
          <w:p>
            <w:pPr>
              <w:ind w:left="0" w:leftChars="0" w:right="0" w:rightChars="0" w:firstLine="0" w:firstLineChars="0"/>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0</w:t>
            </w:r>
          </w:p>
        </w:tc>
        <w:tc>
          <w:tcPr>
            <w:tcW w:w="1603" w:type="dxa"/>
            <w:noWrap w:val="0"/>
            <w:vAlign w:val="center"/>
          </w:tcPr>
          <w:p>
            <w:pPr>
              <w:ind w:left="0" w:leftChars="0" w:right="0" w:rightChars="0" w:firstLine="0" w:firstLineChars="0"/>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0</w:t>
            </w:r>
          </w:p>
        </w:tc>
        <w:tc>
          <w:tcPr>
            <w:tcW w:w="1502"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0.00</w:t>
            </w:r>
            <w:r>
              <w:rPr>
                <w:rFonts w:hint="eastAsia" w:ascii="Times New Roman" w:hAnsi="Times New Roman" w:eastAsia="宋体" w:cs="Times New Roman"/>
                <w:color w:val="000000"/>
                <w:kern w:val="0"/>
                <w:sz w:val="21"/>
                <w:szCs w:val="21"/>
                <w:lang w:val="en-US" w:eastAsia="zh-CN"/>
              </w:rPr>
              <w:t>18</w:t>
            </w:r>
          </w:p>
        </w:tc>
        <w:tc>
          <w:tcPr>
            <w:tcW w:w="1557"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40"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0.00</w:t>
            </w:r>
            <w:r>
              <w:rPr>
                <w:rFonts w:hint="eastAsia" w:ascii="Times New Roman" w:hAnsi="Times New Roman" w:eastAsia="宋体" w:cs="Times New Roman"/>
                <w:color w:val="000000"/>
                <w:kern w:val="0"/>
                <w:sz w:val="21"/>
                <w:szCs w:val="21"/>
                <w:lang w:val="en-US" w:eastAsia="zh-CN"/>
              </w:rPr>
              <w:t>18</w:t>
            </w:r>
          </w:p>
        </w:tc>
        <w:tc>
          <w:tcPr>
            <w:tcW w:w="1625"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w:t>
            </w:r>
            <w:r>
              <w:rPr>
                <w:rFonts w:hint="default" w:ascii="Times New Roman" w:hAnsi="Times New Roman" w:eastAsia="宋体" w:cs="Times New Roman"/>
                <w:color w:val="000000"/>
                <w:kern w:val="0"/>
                <w:sz w:val="21"/>
                <w:szCs w:val="21"/>
              </w:rPr>
              <w:t>0.00</w:t>
            </w:r>
            <w:r>
              <w:rPr>
                <w:rFonts w:hint="eastAsia" w:ascii="Times New Roman" w:hAnsi="Times New Roman" w:eastAsia="宋体" w:cs="Times New Roman"/>
                <w:color w:val="000000"/>
                <w:kern w:val="0"/>
                <w:sz w:val="21"/>
                <w:szCs w:val="21"/>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p>
        </w:tc>
        <w:tc>
          <w:tcPr>
            <w:tcW w:w="1759" w:type="dxa"/>
            <w:gridSpan w:val="2"/>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废</w:t>
            </w:r>
            <w:r>
              <w:rPr>
                <w:rFonts w:hint="eastAsia" w:ascii="Times New Roman" w:hAnsi="Times New Roman" w:eastAsia="宋体" w:cs="Times New Roman"/>
                <w:color w:val="000000"/>
                <w:kern w:val="0"/>
                <w:sz w:val="21"/>
                <w:szCs w:val="21"/>
                <w:lang w:val="en-US" w:eastAsia="zh-CN"/>
              </w:rPr>
              <w:t>润滑</w:t>
            </w:r>
            <w:r>
              <w:rPr>
                <w:rFonts w:hint="default" w:ascii="Times New Roman" w:hAnsi="Times New Roman" w:eastAsia="宋体" w:cs="Times New Roman"/>
                <w:color w:val="000000"/>
                <w:kern w:val="0"/>
                <w:sz w:val="21"/>
                <w:szCs w:val="21"/>
              </w:rPr>
              <w:t>油桶</w:t>
            </w:r>
          </w:p>
        </w:tc>
        <w:tc>
          <w:tcPr>
            <w:tcW w:w="168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25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03"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502"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0.00</w:t>
            </w:r>
            <w:r>
              <w:rPr>
                <w:rFonts w:hint="default" w:ascii="Times New Roman" w:hAnsi="Times New Roman" w:eastAsia="宋体" w:cs="Times New Roman"/>
                <w:color w:val="000000"/>
                <w:kern w:val="0"/>
                <w:sz w:val="21"/>
                <w:szCs w:val="21"/>
                <w:lang w:val="en-US" w:eastAsia="zh-CN"/>
              </w:rPr>
              <w:t>05</w:t>
            </w:r>
          </w:p>
        </w:tc>
        <w:tc>
          <w:tcPr>
            <w:tcW w:w="1557" w:type="dxa"/>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r>
              <w:rPr>
                <w:rFonts w:hint="default" w:ascii="Times New Roman" w:hAnsi="Times New Roman" w:eastAsia="宋体" w:cs="Times New Roman"/>
                <w:snapToGrid w:val="0"/>
                <w:color w:val="000000"/>
                <w:spacing w:val="0"/>
                <w:kern w:val="0"/>
                <w:sz w:val="21"/>
                <w:szCs w:val="21"/>
              </w:rPr>
              <w:t>0</w:t>
            </w:r>
          </w:p>
        </w:tc>
        <w:tc>
          <w:tcPr>
            <w:tcW w:w="1640"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0.00</w:t>
            </w:r>
            <w:r>
              <w:rPr>
                <w:rFonts w:hint="default" w:ascii="Times New Roman" w:hAnsi="Times New Roman" w:eastAsia="宋体" w:cs="Times New Roman"/>
                <w:color w:val="000000"/>
                <w:kern w:val="0"/>
                <w:sz w:val="21"/>
                <w:szCs w:val="21"/>
                <w:lang w:val="en-US" w:eastAsia="zh-CN"/>
              </w:rPr>
              <w:t>05</w:t>
            </w:r>
          </w:p>
        </w:tc>
        <w:tc>
          <w:tcPr>
            <w:tcW w:w="1625"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w:t>
            </w:r>
            <w:r>
              <w:rPr>
                <w:rFonts w:hint="default" w:ascii="Times New Roman" w:hAnsi="Times New Roman" w:eastAsia="宋体" w:cs="Times New Roman"/>
                <w:color w:val="000000"/>
                <w:kern w:val="0"/>
                <w:sz w:val="21"/>
                <w:szCs w:val="21"/>
              </w:rPr>
              <w:t>0.00</w:t>
            </w:r>
            <w:r>
              <w:rPr>
                <w:rFonts w:hint="default" w:ascii="Times New Roman" w:hAnsi="Times New Roman" w:eastAsia="宋体" w:cs="Times New Roman"/>
                <w:color w:val="000000"/>
                <w:kern w:val="0"/>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68" w:type="dxa"/>
            <w:vMerge w:val="continue"/>
            <w:noWrap w:val="0"/>
            <w:vAlign w:val="center"/>
          </w:tcPr>
          <w:p>
            <w:pPr>
              <w:pStyle w:val="25"/>
              <w:spacing w:beforeLines="0" w:afterLines="0" w:line="240" w:lineRule="auto"/>
              <w:ind w:left="0" w:leftChars="0" w:right="0" w:rightChars="0" w:firstLine="0" w:firstLineChars="0"/>
              <w:rPr>
                <w:rFonts w:hint="default" w:ascii="Times New Roman" w:hAnsi="Times New Roman" w:eastAsia="宋体" w:cs="Times New Roman"/>
                <w:snapToGrid w:val="0"/>
                <w:color w:val="000000"/>
                <w:spacing w:val="0"/>
                <w:kern w:val="0"/>
                <w:sz w:val="21"/>
                <w:szCs w:val="21"/>
              </w:rPr>
            </w:pPr>
          </w:p>
        </w:tc>
        <w:tc>
          <w:tcPr>
            <w:tcW w:w="1759" w:type="dxa"/>
            <w:gridSpan w:val="2"/>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清洗废液</w:t>
            </w:r>
          </w:p>
        </w:tc>
        <w:tc>
          <w:tcPr>
            <w:tcW w:w="1683" w:type="dxa"/>
            <w:noWrap w:val="0"/>
            <w:vAlign w:val="center"/>
          </w:tcPr>
          <w:p>
            <w:pPr>
              <w:pStyle w:val="25"/>
              <w:spacing w:beforeLines="0" w:afterLines="0" w:line="240" w:lineRule="auto"/>
              <w:ind w:left="0" w:leftChars="0" w:right="0" w:rightChars="0" w:firstLine="0" w:firstLineChars="0"/>
              <w:rPr>
                <w:rFonts w:hint="eastAsia" w:ascii="Times New Roman" w:hAnsi="Times New Roman" w:eastAsia="宋体" w:cs="Times New Roman"/>
                <w:snapToGrid w:val="0"/>
                <w:color w:val="000000"/>
                <w:spacing w:val="0"/>
                <w:kern w:val="0"/>
                <w:sz w:val="21"/>
                <w:szCs w:val="21"/>
                <w:lang w:val="en-US" w:eastAsia="zh-CN"/>
              </w:rPr>
            </w:pPr>
            <w:r>
              <w:rPr>
                <w:rFonts w:hint="eastAsia" w:ascii="Times New Roman" w:eastAsia="宋体" w:cs="Times New Roman"/>
                <w:snapToGrid w:val="0"/>
                <w:color w:val="000000"/>
                <w:spacing w:val="0"/>
                <w:kern w:val="0"/>
                <w:sz w:val="21"/>
                <w:szCs w:val="21"/>
                <w:lang w:val="en-US" w:eastAsia="zh-CN"/>
              </w:rPr>
              <w:t>0</w:t>
            </w:r>
          </w:p>
        </w:tc>
        <w:tc>
          <w:tcPr>
            <w:tcW w:w="1253" w:type="dxa"/>
            <w:noWrap w:val="0"/>
            <w:vAlign w:val="center"/>
          </w:tcPr>
          <w:p>
            <w:pPr>
              <w:pStyle w:val="25"/>
              <w:spacing w:beforeLines="0" w:afterLines="0" w:line="240" w:lineRule="auto"/>
              <w:ind w:left="0" w:leftChars="0" w:right="0" w:rightChars="0" w:firstLine="0" w:firstLineChars="0"/>
              <w:rPr>
                <w:rFonts w:hint="eastAsia" w:ascii="Times New Roman" w:hAnsi="Times New Roman" w:eastAsia="宋体" w:cs="Times New Roman"/>
                <w:snapToGrid w:val="0"/>
                <w:color w:val="000000"/>
                <w:spacing w:val="0"/>
                <w:kern w:val="0"/>
                <w:sz w:val="21"/>
                <w:szCs w:val="21"/>
                <w:lang w:val="en-US" w:eastAsia="zh-CN"/>
              </w:rPr>
            </w:pPr>
            <w:r>
              <w:rPr>
                <w:rFonts w:hint="eastAsia" w:ascii="Times New Roman" w:eastAsia="宋体" w:cs="Times New Roman"/>
                <w:snapToGrid w:val="0"/>
                <w:color w:val="000000"/>
                <w:spacing w:val="0"/>
                <w:kern w:val="0"/>
                <w:sz w:val="21"/>
                <w:szCs w:val="21"/>
                <w:lang w:val="en-US" w:eastAsia="zh-CN"/>
              </w:rPr>
              <w:t>0</w:t>
            </w:r>
          </w:p>
        </w:tc>
        <w:tc>
          <w:tcPr>
            <w:tcW w:w="1603" w:type="dxa"/>
            <w:noWrap w:val="0"/>
            <w:vAlign w:val="center"/>
          </w:tcPr>
          <w:p>
            <w:pPr>
              <w:pStyle w:val="25"/>
              <w:spacing w:beforeLines="0" w:afterLines="0" w:line="240" w:lineRule="auto"/>
              <w:ind w:left="0" w:leftChars="0" w:right="0" w:rightChars="0" w:firstLine="0" w:firstLineChars="0"/>
              <w:rPr>
                <w:rFonts w:hint="eastAsia" w:ascii="Times New Roman" w:hAnsi="Times New Roman" w:eastAsia="宋体" w:cs="Times New Roman"/>
                <w:snapToGrid w:val="0"/>
                <w:color w:val="000000"/>
                <w:spacing w:val="0"/>
                <w:kern w:val="0"/>
                <w:sz w:val="21"/>
                <w:szCs w:val="21"/>
                <w:lang w:val="en-US" w:eastAsia="zh-CN"/>
              </w:rPr>
            </w:pPr>
            <w:r>
              <w:rPr>
                <w:rFonts w:hint="eastAsia" w:ascii="Times New Roman" w:eastAsia="宋体" w:cs="Times New Roman"/>
                <w:snapToGrid w:val="0"/>
                <w:color w:val="000000"/>
                <w:spacing w:val="0"/>
                <w:kern w:val="0"/>
                <w:sz w:val="21"/>
                <w:szCs w:val="21"/>
                <w:lang w:val="en-US" w:eastAsia="zh-CN"/>
              </w:rPr>
              <w:t>0</w:t>
            </w:r>
          </w:p>
        </w:tc>
        <w:tc>
          <w:tcPr>
            <w:tcW w:w="1502"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5</w:t>
            </w:r>
          </w:p>
        </w:tc>
        <w:tc>
          <w:tcPr>
            <w:tcW w:w="1557" w:type="dxa"/>
            <w:noWrap w:val="0"/>
            <w:vAlign w:val="center"/>
          </w:tcPr>
          <w:p>
            <w:pPr>
              <w:pStyle w:val="25"/>
              <w:spacing w:beforeLines="0" w:afterLines="0" w:line="240" w:lineRule="auto"/>
              <w:ind w:left="0" w:leftChars="0" w:right="0" w:rightChars="0" w:firstLine="0" w:firstLineChars="0"/>
              <w:rPr>
                <w:rFonts w:hint="eastAsia" w:ascii="Times New Roman" w:hAnsi="Times New Roman" w:eastAsia="宋体" w:cs="Times New Roman"/>
                <w:snapToGrid w:val="0"/>
                <w:color w:val="000000"/>
                <w:spacing w:val="0"/>
                <w:kern w:val="0"/>
                <w:sz w:val="21"/>
                <w:szCs w:val="21"/>
                <w:lang w:val="en-US" w:eastAsia="zh-CN"/>
              </w:rPr>
            </w:pPr>
            <w:r>
              <w:rPr>
                <w:rFonts w:hint="eastAsia" w:ascii="Times New Roman" w:eastAsia="宋体" w:cs="Times New Roman"/>
                <w:snapToGrid w:val="0"/>
                <w:color w:val="000000"/>
                <w:spacing w:val="0"/>
                <w:kern w:val="0"/>
                <w:sz w:val="21"/>
                <w:szCs w:val="21"/>
                <w:lang w:val="en-US" w:eastAsia="zh-CN"/>
              </w:rPr>
              <w:t>0</w:t>
            </w:r>
          </w:p>
        </w:tc>
        <w:tc>
          <w:tcPr>
            <w:tcW w:w="1640"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5</w:t>
            </w:r>
          </w:p>
        </w:tc>
        <w:tc>
          <w:tcPr>
            <w:tcW w:w="1625" w:type="dxa"/>
            <w:noWrap w:val="0"/>
            <w:vAlign w:val="center"/>
          </w:tcPr>
          <w:p>
            <w:pPr>
              <w:ind w:left="0" w:leftChars="0" w:right="0" w:rightChars="0" w:firstLine="0" w:firstLineChars="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+5</w:t>
            </w:r>
          </w:p>
        </w:tc>
      </w:tr>
    </w:tbl>
    <w:p>
      <w:pPr>
        <w:pStyle w:val="25"/>
        <w:keepNext w:val="0"/>
        <w:keepLines w:val="0"/>
        <w:pageBreakBefore w:val="0"/>
        <w:widowControl w:val="0"/>
        <w:kinsoku/>
        <w:wordWrap/>
        <w:overflowPunct/>
        <w:topLinePunct w:val="0"/>
        <w:autoSpaceDE/>
        <w:autoSpaceDN/>
        <w:bidi w:val="0"/>
        <w:adjustRightInd w:val="0"/>
        <w:snapToGrid w:val="0"/>
        <w:spacing w:beforeLines="0" w:afterLines="0" w:line="240" w:lineRule="auto"/>
        <w:jc w:val="left"/>
        <w:textAlignment w:val="baseline"/>
        <w:rPr>
          <w:rFonts w:hAnsi="宋体"/>
          <w:snapToGrid w:val="0"/>
          <w:color w:val="000000"/>
          <w:spacing w:val="-6"/>
          <w:kern w:val="21"/>
          <w:szCs w:val="21"/>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p>
    <w:p/>
    <w:p>
      <w:pPr>
        <w:sectPr>
          <w:footerReference r:id="rId6" w:type="default"/>
          <w:pgSz w:w="16838" w:h="11906" w:orient="landscape"/>
          <w:pgMar w:top="1474" w:right="1417" w:bottom="1474" w:left="1417" w:header="851" w:footer="851" w:gutter="0"/>
          <w:pgBorders>
            <w:top w:val="none" w:sz="0" w:space="0"/>
            <w:left w:val="none" w:sz="0" w:space="0"/>
            <w:bottom w:val="none" w:sz="0" w:space="0"/>
            <w:right w:val="none" w:sz="0" w:space="0"/>
          </w:pgBorders>
          <w:pgNumType w:fmt="decimal"/>
          <w:cols w:space="720" w:num="1"/>
          <w:docGrid w:linePitch="312" w:charSpace="0"/>
        </w:sectPr>
      </w:pPr>
    </w:p>
    <w:p>
      <w:pPr>
        <w:adjustRightInd w:val="0"/>
        <w:snapToGrid w:val="0"/>
        <w:spacing w:line="500" w:lineRule="exact"/>
        <w:ind w:firstLine="482" w:firstLineChars="200"/>
        <w:jc w:val="left"/>
        <w:outlineLvl w:val="9"/>
        <w:rPr>
          <w:rFonts w:hint="default" w:ascii="Times New Roman" w:hAnsi="Times New Roman" w:eastAsia="宋体" w:cs="Times New Roman"/>
          <w:b/>
          <w:bCs/>
          <w:sz w:val="24"/>
          <w:szCs w:val="24"/>
          <w:lang w:val="en-US" w:eastAsia="zh-CN"/>
        </w:rPr>
      </w:pPr>
      <w:bookmarkStart w:id="59" w:name="_Toc8184"/>
      <w:r>
        <w:rPr>
          <w:rFonts w:hint="default" w:ascii="Times New Roman" w:hAnsi="Times New Roman" w:eastAsia="宋体" w:cs="Times New Roman"/>
          <w:b/>
          <w:bCs/>
          <w:sz w:val="24"/>
          <w:szCs w:val="24"/>
        </w:rPr>
        <w:t>附图</w:t>
      </w:r>
      <w:bookmarkEnd w:id="59"/>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val="en-US" w:eastAsia="zh-CN"/>
        </w:rPr>
        <w:t>附件</w:t>
      </w:r>
    </w:p>
    <w:p>
      <w:pPr>
        <w:adjustRightInd w:val="0"/>
        <w:snapToGrid w:val="0"/>
        <w:spacing w:line="500" w:lineRule="exact"/>
        <w:ind w:firstLine="480" w:firstLineChars="200"/>
        <w:jc w:val="left"/>
        <w:outlineLvl w:val="9"/>
        <w:rPr>
          <w:rFonts w:hint="default" w:ascii="Times New Roman" w:hAnsi="Times New Roman" w:eastAsia="宋体" w:cs="Times New Roman"/>
          <w:sz w:val="24"/>
          <w:szCs w:val="24"/>
        </w:rPr>
      </w:pPr>
      <w:bookmarkStart w:id="60" w:name="_Toc30680"/>
      <w:bookmarkStart w:id="61" w:name="_Toc21245"/>
      <w:bookmarkStart w:id="62" w:name="_Toc11607"/>
      <w:bookmarkStart w:id="63" w:name="_Toc271"/>
      <w:r>
        <w:rPr>
          <w:rFonts w:hint="default" w:ascii="Times New Roman" w:hAnsi="Times New Roman" w:eastAsia="宋体" w:cs="Times New Roman"/>
          <w:sz w:val="24"/>
          <w:szCs w:val="24"/>
        </w:rPr>
        <w:t>附图1   建设项目地理位置图</w:t>
      </w:r>
    </w:p>
    <w:p>
      <w:pPr>
        <w:adjustRightInd w:val="0"/>
        <w:snapToGrid w:val="0"/>
        <w:spacing w:line="500" w:lineRule="exact"/>
        <w:ind w:firstLine="480" w:firstLineChars="200"/>
        <w:jc w:val="left"/>
        <w:outlineLvl w:val="9"/>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附图2   建设项目周边环境概况图</w:t>
      </w:r>
    </w:p>
    <w:p>
      <w:pPr>
        <w:adjustRightInd w:val="0"/>
        <w:snapToGrid w:val="0"/>
        <w:spacing w:line="500" w:lineRule="exact"/>
        <w:ind w:firstLine="480" w:firstLineChars="200"/>
        <w:jc w:val="left"/>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附图3-1  建设项目厂区平面布置图</w:t>
      </w:r>
    </w:p>
    <w:p>
      <w:pPr>
        <w:adjustRightInd w:val="0"/>
        <w:snapToGrid w:val="0"/>
        <w:spacing w:line="500" w:lineRule="exact"/>
        <w:ind w:firstLine="480" w:firstLineChars="200"/>
        <w:jc w:val="left"/>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附图3-2  建设项目车间平面布置图</w:t>
      </w:r>
    </w:p>
    <w:p>
      <w:pPr>
        <w:adjustRightInd w:val="0"/>
        <w:snapToGrid w:val="0"/>
        <w:spacing w:line="500" w:lineRule="exact"/>
        <w:ind w:firstLine="480" w:firstLineChars="200"/>
        <w:jc w:val="left"/>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附图4   生态空间保护目标图</w:t>
      </w:r>
    </w:p>
    <w:p>
      <w:pPr>
        <w:adjustRightInd w:val="0"/>
        <w:snapToGrid w:val="0"/>
        <w:spacing w:line="500" w:lineRule="exact"/>
        <w:ind w:firstLine="480" w:firstLineChars="200"/>
        <w:jc w:val="left"/>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附图5   海安市环境管控单元图</w:t>
      </w:r>
    </w:p>
    <w:p>
      <w:pPr>
        <w:adjustRightInd w:val="0"/>
        <w:snapToGrid w:val="0"/>
        <w:spacing w:line="500" w:lineRule="exact"/>
        <w:ind w:firstLine="480" w:firstLineChars="200"/>
        <w:jc w:val="left"/>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附图6   声功能区域规划图</w:t>
      </w:r>
    </w:p>
    <w:p>
      <w:pPr>
        <w:adjustRightInd w:val="0"/>
        <w:snapToGrid w:val="0"/>
        <w:spacing w:line="500" w:lineRule="exact"/>
        <w:ind w:firstLine="480" w:firstLineChars="200"/>
        <w:jc w:val="left"/>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附图7   海安市水系图</w:t>
      </w:r>
    </w:p>
    <w:p>
      <w:pPr>
        <w:adjustRightInd w:val="0"/>
        <w:snapToGrid w:val="0"/>
        <w:spacing w:line="500" w:lineRule="exact"/>
        <w:ind w:firstLine="480" w:firstLineChars="200"/>
        <w:jc w:val="left"/>
        <w:outlineLvl w:val="9"/>
        <w:rPr>
          <w:rFonts w:hint="default" w:ascii="Times New Roman" w:hAnsi="Times New Roman" w:eastAsia="宋体" w:cs="Times New Roman"/>
          <w:sz w:val="24"/>
          <w:szCs w:val="24"/>
          <w:lang w:val="en-US"/>
        </w:rPr>
      </w:pPr>
      <w:r>
        <w:rPr>
          <w:rFonts w:hint="eastAsia"/>
          <w:sz w:val="24"/>
          <w:szCs w:val="24"/>
          <w:lang w:val="en-US" w:eastAsia="zh-CN"/>
        </w:rPr>
        <w:t>附图8   海安市“三区三线”划分图</w:t>
      </w:r>
    </w:p>
    <w:p>
      <w:pPr>
        <w:keepNext w:val="0"/>
        <w:keepLines w:val="0"/>
        <w:pageBreakBefore w:val="0"/>
        <w:widowControl w:val="0"/>
        <w:kinsoku/>
        <w:wordWrap/>
        <w:overflowPunct/>
        <w:topLinePunct w:val="0"/>
        <w:autoSpaceDE/>
        <w:autoSpaceDN/>
        <w:bidi w:val="0"/>
        <w:adjustRightInd w:val="0"/>
        <w:snapToGrid w:val="0"/>
        <w:spacing w:line="434" w:lineRule="exact"/>
        <w:ind w:firstLine="480" w:firstLineChars="200"/>
        <w:jc w:val="left"/>
        <w:textAlignment w:val="auto"/>
        <w:outlineLvl w:val="9"/>
        <w:rPr>
          <w:rFonts w:hint="default" w:ascii="Times New Roman" w:hAnsi="Times New Roman" w:eastAsia="宋体" w:cs="Times New Roman"/>
          <w:color w:val="FF0000"/>
          <w:sz w:val="24"/>
          <w:szCs w:val="24"/>
        </w:rPr>
      </w:pPr>
    </w:p>
    <w:bookmarkEnd w:id="60"/>
    <w:bookmarkEnd w:id="61"/>
    <w:bookmarkEnd w:id="62"/>
    <w:bookmarkEnd w:id="63"/>
    <w:p>
      <w:pPr>
        <w:adjustRightInd w:val="0"/>
        <w:snapToGrid w:val="0"/>
        <w:spacing w:line="500" w:lineRule="exact"/>
        <w:ind w:firstLine="480" w:firstLineChars="200"/>
        <w:jc w:val="left"/>
        <w:outlineLvl w:val="9"/>
        <w:rPr>
          <w:rFonts w:hint="eastAsia" w:ascii="Times New Roman" w:hAnsi="Times New Roman" w:eastAsia="宋体" w:cs="Times New Roman"/>
          <w:sz w:val="24"/>
          <w:szCs w:val="24"/>
          <w:lang w:val="en-US" w:eastAsia="zh-CN"/>
        </w:rPr>
      </w:pPr>
      <w:bookmarkStart w:id="64" w:name="_Toc24596"/>
      <w:bookmarkStart w:id="65" w:name="_Toc17805"/>
      <w:bookmarkStart w:id="66" w:name="_Toc27281"/>
      <w:bookmarkStart w:id="67" w:name="_Toc32010"/>
      <w:r>
        <w:rPr>
          <w:rFonts w:hint="default" w:ascii="Times New Roman" w:hAnsi="Times New Roman" w:cs="Times New Roman"/>
          <w:sz w:val="24"/>
          <w:szCs w:val="24"/>
        </w:rPr>
        <w:t>附件</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 xml:space="preserve">   </w:t>
      </w:r>
      <w:r>
        <w:rPr>
          <w:rFonts w:hint="eastAsia" w:cs="Times New Roman"/>
          <w:sz w:val="24"/>
          <w:szCs w:val="24"/>
          <w:lang w:val="en-US" w:eastAsia="zh-CN"/>
        </w:rPr>
        <w:t>预审意见</w:t>
      </w:r>
      <w:bookmarkEnd w:id="64"/>
      <w:bookmarkEnd w:id="65"/>
      <w:bookmarkEnd w:id="66"/>
      <w:bookmarkEnd w:id="67"/>
    </w:p>
    <w:p>
      <w:pPr>
        <w:adjustRightInd w:val="0"/>
        <w:snapToGrid w:val="0"/>
        <w:spacing w:line="500" w:lineRule="exact"/>
        <w:ind w:firstLine="480" w:firstLineChars="200"/>
        <w:jc w:val="left"/>
        <w:outlineLvl w:val="9"/>
        <w:rPr>
          <w:rFonts w:hint="default" w:ascii="Times New Roman" w:hAnsi="Times New Roman" w:cs="Times New Roman"/>
          <w:sz w:val="24"/>
          <w:szCs w:val="24"/>
        </w:rPr>
      </w:pPr>
      <w:bookmarkStart w:id="68" w:name="_Toc14377"/>
      <w:bookmarkStart w:id="69" w:name="_Toc14425"/>
      <w:bookmarkStart w:id="70" w:name="_Toc30413"/>
      <w:bookmarkStart w:id="71" w:name="_Toc19915"/>
      <w:r>
        <w:rPr>
          <w:rFonts w:hint="default" w:ascii="Times New Roman" w:hAnsi="Times New Roman" w:cs="Times New Roman"/>
          <w:sz w:val="24"/>
          <w:szCs w:val="24"/>
        </w:rPr>
        <w:t>附件</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 xml:space="preserve">   </w:t>
      </w:r>
      <w:r>
        <w:rPr>
          <w:rFonts w:hint="eastAsia" w:cs="Times New Roman"/>
          <w:sz w:val="24"/>
          <w:szCs w:val="24"/>
          <w:lang w:val="en-US" w:eastAsia="zh-CN"/>
        </w:rPr>
        <w:t>备案证</w:t>
      </w:r>
    </w:p>
    <w:p>
      <w:pPr>
        <w:adjustRightInd w:val="0"/>
        <w:snapToGrid w:val="0"/>
        <w:spacing w:line="500" w:lineRule="exact"/>
        <w:ind w:firstLine="480" w:firstLineChars="200"/>
        <w:jc w:val="left"/>
        <w:outlineLvl w:val="9"/>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 xml:space="preserve">附件3   </w:t>
      </w:r>
      <w:r>
        <w:rPr>
          <w:rFonts w:hint="eastAsia" w:cs="Times New Roman"/>
          <w:sz w:val="24"/>
          <w:szCs w:val="24"/>
          <w:lang w:val="en-US" w:eastAsia="zh-CN"/>
        </w:rPr>
        <w:t>营业执照</w:t>
      </w:r>
      <w:bookmarkEnd w:id="68"/>
      <w:bookmarkEnd w:id="69"/>
      <w:bookmarkEnd w:id="70"/>
      <w:bookmarkEnd w:id="71"/>
      <w:r>
        <w:rPr>
          <w:rFonts w:hint="eastAsia" w:cs="Times New Roman"/>
          <w:sz w:val="24"/>
          <w:szCs w:val="24"/>
          <w:lang w:val="en-US" w:eastAsia="zh-CN"/>
        </w:rPr>
        <w:t>及法人身份证</w:t>
      </w:r>
    </w:p>
    <w:p>
      <w:pPr>
        <w:adjustRightInd w:val="0"/>
        <w:snapToGrid w:val="0"/>
        <w:spacing w:line="500" w:lineRule="exact"/>
        <w:ind w:firstLine="480" w:firstLineChars="200"/>
        <w:jc w:val="left"/>
        <w:outlineLvl w:val="9"/>
        <w:rPr>
          <w:rFonts w:hint="default" w:ascii="Times New Roman" w:hAnsi="Times New Roman" w:eastAsia="宋体" w:cs="Times New Roman"/>
          <w:sz w:val="24"/>
          <w:szCs w:val="24"/>
          <w:lang w:val="en-US" w:eastAsia="zh-CN"/>
        </w:rPr>
      </w:pPr>
      <w:bookmarkStart w:id="72" w:name="_Toc2577"/>
      <w:bookmarkStart w:id="73" w:name="_Toc24216"/>
      <w:bookmarkStart w:id="74" w:name="_Toc13197"/>
      <w:bookmarkStart w:id="75" w:name="_Toc28779"/>
      <w:r>
        <w:rPr>
          <w:rFonts w:hint="default" w:ascii="Times New Roman" w:hAnsi="Times New Roman" w:cs="Times New Roman"/>
          <w:sz w:val="24"/>
          <w:szCs w:val="24"/>
        </w:rPr>
        <w:t xml:space="preserve">附件4   </w:t>
      </w:r>
      <w:bookmarkEnd w:id="72"/>
      <w:bookmarkEnd w:id="73"/>
      <w:bookmarkEnd w:id="74"/>
      <w:bookmarkEnd w:id="75"/>
      <w:bookmarkStart w:id="76" w:name="_Toc15698"/>
      <w:bookmarkStart w:id="77" w:name="_Toc4450"/>
      <w:bookmarkStart w:id="78" w:name="_Toc29059"/>
      <w:bookmarkStart w:id="79" w:name="_Toc26675"/>
      <w:r>
        <w:rPr>
          <w:rFonts w:hint="eastAsia" w:cs="Times New Roman"/>
          <w:sz w:val="24"/>
          <w:szCs w:val="24"/>
          <w:lang w:val="en-US" w:eastAsia="zh-CN"/>
        </w:rPr>
        <w:t>购房合同</w:t>
      </w:r>
    </w:p>
    <w:p>
      <w:pPr>
        <w:adjustRightInd w:val="0"/>
        <w:snapToGrid w:val="0"/>
        <w:spacing w:line="500" w:lineRule="exact"/>
        <w:ind w:firstLine="480" w:firstLineChars="200"/>
        <w:rPr>
          <w:snapToGrid w:val="0"/>
          <w:color w:val="auto"/>
          <w:kern w:val="0"/>
          <w:sz w:val="24"/>
          <w:szCs w:val="24"/>
          <w:highlight w:val="none"/>
        </w:rPr>
      </w:pPr>
      <w:r>
        <w:rPr>
          <w:rFonts w:hint="default" w:ascii="Times New Roman" w:hAnsi="Times New Roman" w:cs="Times New Roman"/>
          <w:sz w:val="24"/>
          <w:szCs w:val="24"/>
        </w:rPr>
        <w:t xml:space="preserve">附件5   </w:t>
      </w:r>
      <w:bookmarkEnd w:id="76"/>
      <w:bookmarkEnd w:id="77"/>
      <w:bookmarkEnd w:id="78"/>
      <w:bookmarkEnd w:id="79"/>
      <w:r>
        <w:rPr>
          <w:rFonts w:hint="eastAsia" w:cs="Times New Roman"/>
          <w:sz w:val="24"/>
          <w:szCs w:val="24"/>
          <w:lang w:val="en-US" w:eastAsia="zh-CN"/>
        </w:rPr>
        <w:t>规划蓝图</w:t>
      </w:r>
    </w:p>
    <w:p>
      <w:pPr>
        <w:adjustRightInd w:val="0"/>
        <w:snapToGrid w:val="0"/>
        <w:spacing w:line="500" w:lineRule="exact"/>
        <w:ind w:firstLine="480" w:firstLineChars="200"/>
        <w:rPr>
          <w:rFonts w:hint="default" w:eastAsia="宋体"/>
          <w:snapToGrid w:val="0"/>
          <w:color w:val="auto"/>
          <w:kern w:val="0"/>
          <w:sz w:val="24"/>
          <w:szCs w:val="24"/>
          <w:highlight w:val="none"/>
          <w:lang w:val="en-US" w:eastAsia="zh-CN"/>
        </w:rPr>
      </w:pPr>
      <w:bookmarkStart w:id="80" w:name="_Toc14876"/>
      <w:bookmarkStart w:id="81" w:name="_Toc18948"/>
      <w:bookmarkStart w:id="82" w:name="_Toc31785"/>
      <w:bookmarkStart w:id="83" w:name="_Toc19526"/>
      <w:r>
        <w:rPr>
          <w:rFonts w:hint="default" w:ascii="Times New Roman" w:hAnsi="Times New Roman" w:cs="Times New Roman"/>
          <w:sz w:val="24"/>
          <w:szCs w:val="24"/>
        </w:rPr>
        <w:t>附件</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 xml:space="preserve">   </w:t>
      </w:r>
      <w:bookmarkEnd w:id="80"/>
      <w:bookmarkEnd w:id="81"/>
      <w:bookmarkEnd w:id="82"/>
      <w:bookmarkEnd w:id="83"/>
      <w:r>
        <w:rPr>
          <w:rFonts w:hint="eastAsia" w:cs="Times New Roman"/>
          <w:sz w:val="24"/>
          <w:szCs w:val="24"/>
          <w:lang w:val="en-US" w:eastAsia="zh-CN"/>
        </w:rPr>
        <w:t>应急事故池租赁使用协议</w:t>
      </w:r>
    </w:p>
    <w:p>
      <w:pPr>
        <w:adjustRightInd w:val="0"/>
        <w:snapToGrid w:val="0"/>
        <w:spacing w:line="500" w:lineRule="exact"/>
        <w:ind w:firstLine="480" w:firstLineChars="200"/>
        <w:rPr>
          <w:snapToGrid w:val="0"/>
          <w:color w:val="auto"/>
          <w:kern w:val="0"/>
          <w:sz w:val="24"/>
          <w:szCs w:val="24"/>
          <w:highlight w:val="none"/>
        </w:rPr>
      </w:pPr>
      <w:r>
        <w:rPr>
          <w:snapToGrid w:val="0"/>
          <w:color w:val="auto"/>
          <w:kern w:val="0"/>
          <w:sz w:val="24"/>
          <w:szCs w:val="24"/>
          <w:highlight w:val="none"/>
        </w:rPr>
        <w:t>附件</w:t>
      </w:r>
      <w:r>
        <w:rPr>
          <w:rFonts w:hint="eastAsia"/>
          <w:snapToGrid w:val="0"/>
          <w:color w:val="auto"/>
          <w:kern w:val="0"/>
          <w:sz w:val="24"/>
          <w:szCs w:val="24"/>
          <w:highlight w:val="none"/>
          <w:lang w:val="en-US" w:eastAsia="zh-CN"/>
        </w:rPr>
        <w:t>7</w:t>
      </w:r>
      <w:r>
        <w:rPr>
          <w:snapToGrid w:val="0"/>
          <w:color w:val="auto"/>
          <w:kern w:val="0"/>
          <w:sz w:val="24"/>
          <w:szCs w:val="24"/>
          <w:highlight w:val="none"/>
        </w:rPr>
        <w:t xml:space="preserve"> </w:t>
      </w:r>
      <w:r>
        <w:rPr>
          <w:rFonts w:hint="eastAsia"/>
          <w:snapToGrid w:val="0"/>
          <w:color w:val="auto"/>
          <w:kern w:val="0"/>
          <w:sz w:val="24"/>
          <w:szCs w:val="24"/>
          <w:highlight w:val="none"/>
          <w:lang w:val="en-US" w:eastAsia="zh-CN"/>
        </w:rPr>
        <w:t xml:space="preserve"> </w:t>
      </w:r>
      <w:r>
        <w:rPr>
          <w:snapToGrid w:val="0"/>
          <w:color w:val="auto"/>
          <w:kern w:val="0"/>
          <w:sz w:val="24"/>
          <w:szCs w:val="24"/>
          <w:highlight w:val="none"/>
        </w:rPr>
        <w:t xml:space="preserve"> </w:t>
      </w:r>
      <w:r>
        <w:rPr>
          <w:rFonts w:hint="eastAsia" w:cs="Times New Roman"/>
          <w:sz w:val="24"/>
          <w:szCs w:val="24"/>
          <w:lang w:val="en-US" w:eastAsia="zh-CN"/>
        </w:rPr>
        <w:t>技术服务合同</w:t>
      </w:r>
    </w:p>
    <w:p>
      <w:pPr>
        <w:adjustRightInd w:val="0"/>
        <w:snapToGrid w:val="0"/>
        <w:spacing w:line="500" w:lineRule="exact"/>
        <w:ind w:firstLine="480" w:firstLineChars="200"/>
        <w:jc w:val="left"/>
        <w:outlineLvl w:val="9"/>
        <w:rPr>
          <w:rFonts w:hint="eastAsia" w:cs="Times New Roman"/>
          <w:sz w:val="24"/>
          <w:szCs w:val="24"/>
          <w:lang w:val="en-US" w:eastAsia="zh-CN"/>
        </w:rPr>
      </w:pPr>
      <w:bookmarkStart w:id="84" w:name="_Toc2413"/>
      <w:bookmarkStart w:id="85" w:name="_Toc1252"/>
      <w:bookmarkStart w:id="86" w:name="_Toc8993"/>
      <w:bookmarkStart w:id="87" w:name="_Toc22026"/>
      <w:r>
        <w:rPr>
          <w:rFonts w:hint="default" w:ascii="Times New Roman" w:hAnsi="Times New Roman" w:cs="Times New Roman"/>
          <w:sz w:val="24"/>
          <w:szCs w:val="24"/>
        </w:rPr>
        <w:t>附件</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 xml:space="preserve">   </w:t>
      </w:r>
      <w:bookmarkEnd w:id="84"/>
      <w:bookmarkEnd w:id="85"/>
      <w:bookmarkEnd w:id="86"/>
      <w:bookmarkEnd w:id="87"/>
      <w:bookmarkStart w:id="88" w:name="_Toc31625"/>
      <w:bookmarkStart w:id="89" w:name="_Toc2163"/>
      <w:bookmarkStart w:id="90" w:name="_Toc6542"/>
      <w:bookmarkStart w:id="91" w:name="_Toc20439"/>
      <w:r>
        <w:rPr>
          <w:rFonts w:hint="eastAsia" w:cs="Times New Roman"/>
          <w:sz w:val="24"/>
          <w:szCs w:val="24"/>
          <w:lang w:val="en-US" w:eastAsia="zh-CN"/>
        </w:rPr>
        <w:t>委托书</w:t>
      </w:r>
    </w:p>
    <w:p>
      <w:pPr>
        <w:adjustRightInd w:val="0"/>
        <w:snapToGrid w:val="0"/>
        <w:spacing w:line="500" w:lineRule="exact"/>
        <w:ind w:firstLine="480" w:firstLineChars="200"/>
        <w:jc w:val="left"/>
        <w:outlineLvl w:val="9"/>
        <w:rPr>
          <w:rFonts w:hint="default" w:ascii="Times New Roman" w:hAnsi="Times New Roman" w:cs="Times New Roman"/>
          <w:sz w:val="24"/>
          <w:szCs w:val="24"/>
        </w:rPr>
      </w:pPr>
      <w:r>
        <w:rPr>
          <w:rFonts w:hint="default" w:ascii="Times New Roman" w:hAnsi="Times New Roman" w:cs="Times New Roman"/>
          <w:sz w:val="24"/>
          <w:szCs w:val="24"/>
        </w:rPr>
        <w:t>附件</w:t>
      </w:r>
      <w:r>
        <w:rPr>
          <w:rFonts w:hint="eastAsia" w:ascii="Times New Roman" w:hAnsi="Times New Roman" w:cs="Times New Roman"/>
          <w:sz w:val="24"/>
          <w:szCs w:val="24"/>
          <w:lang w:val="en-US" w:eastAsia="zh-CN"/>
        </w:rPr>
        <w:t xml:space="preserve">9 </w:t>
      </w:r>
      <w:r>
        <w:rPr>
          <w:rFonts w:hint="default" w:ascii="Times New Roman" w:hAnsi="Times New Roman" w:cs="Times New Roman"/>
          <w:sz w:val="24"/>
          <w:szCs w:val="24"/>
        </w:rPr>
        <w:t xml:space="preserve">  </w:t>
      </w:r>
      <w:bookmarkEnd w:id="88"/>
      <w:bookmarkEnd w:id="89"/>
      <w:bookmarkEnd w:id="90"/>
      <w:bookmarkEnd w:id="91"/>
      <w:r>
        <w:rPr>
          <w:rFonts w:hint="eastAsia" w:cs="Times New Roman"/>
          <w:sz w:val="24"/>
          <w:szCs w:val="24"/>
          <w:lang w:val="en-US" w:eastAsia="zh-CN"/>
        </w:rPr>
        <w:t>建设单位承诺书</w:t>
      </w:r>
    </w:p>
    <w:p>
      <w:pPr>
        <w:adjustRightInd w:val="0"/>
        <w:snapToGrid w:val="0"/>
        <w:spacing w:line="500" w:lineRule="exact"/>
        <w:ind w:firstLine="480" w:firstLineChars="200"/>
        <w:jc w:val="left"/>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附件1</w:t>
      </w:r>
      <w:r>
        <w:rPr>
          <w:rFonts w:hint="eastAsia" w:cs="Times New Roman"/>
          <w:sz w:val="24"/>
          <w:szCs w:val="24"/>
          <w:lang w:val="en-US" w:eastAsia="zh-CN"/>
        </w:rPr>
        <w:t>0</w:t>
      </w:r>
      <w:r>
        <w:rPr>
          <w:rFonts w:hint="default" w:ascii="Times New Roman" w:hAnsi="Times New Roman" w:eastAsia="宋体" w:cs="Times New Roman"/>
          <w:sz w:val="24"/>
          <w:szCs w:val="24"/>
        </w:rPr>
        <w:t xml:space="preserve">  </w:t>
      </w:r>
      <w:r>
        <w:rPr>
          <w:rFonts w:hint="eastAsia" w:cs="Times New Roman"/>
          <w:sz w:val="24"/>
          <w:szCs w:val="24"/>
          <w:lang w:val="en-US" w:eastAsia="zh-CN"/>
        </w:rPr>
        <w:t>污水接管承诺书</w:t>
      </w:r>
    </w:p>
    <w:p>
      <w:pPr>
        <w:adjustRightInd w:val="0"/>
        <w:snapToGrid w:val="0"/>
        <w:spacing w:line="500" w:lineRule="exact"/>
        <w:ind w:firstLine="480" w:firstLineChars="200"/>
        <w:jc w:val="left"/>
        <w:outlineLvl w:val="9"/>
        <w:rPr>
          <w:rFonts w:hint="default" w:ascii="Times New Roman" w:hAnsi="Times New Roman" w:cs="Times New Roman"/>
          <w:sz w:val="24"/>
          <w:szCs w:val="24"/>
        </w:rPr>
      </w:pPr>
      <w:r>
        <w:rPr>
          <w:rFonts w:hint="eastAsia" w:cs="Times New Roman"/>
          <w:sz w:val="24"/>
          <w:szCs w:val="24"/>
          <w:lang w:val="en-US" w:eastAsia="zh-CN"/>
        </w:rPr>
        <w:t xml:space="preserve">附件11 </w:t>
      </w:r>
      <w:r>
        <w:rPr>
          <w:rFonts w:hint="default" w:ascii="Times New Roman" w:hAnsi="Times New Roman" w:cs="Times New Roman"/>
          <w:sz w:val="24"/>
          <w:szCs w:val="24"/>
        </w:rPr>
        <w:t>危险废物处置承诺书</w:t>
      </w:r>
    </w:p>
    <w:p>
      <w:pPr>
        <w:adjustRightInd w:val="0"/>
        <w:snapToGrid w:val="0"/>
        <w:spacing w:line="500" w:lineRule="exact"/>
        <w:ind w:firstLine="480" w:firstLineChars="200"/>
        <w:jc w:val="left"/>
        <w:outlineLvl w:val="9"/>
        <w:rPr>
          <w:rFonts w:hint="eastAsia" w:ascii="Times New Roman" w:hAnsi="Times New Roman" w:cs="Times New Roman"/>
          <w:sz w:val="24"/>
          <w:szCs w:val="24"/>
          <w:lang w:val="en-US" w:eastAsia="zh-CN"/>
        </w:rPr>
      </w:pPr>
      <w:r>
        <w:rPr>
          <w:rFonts w:hint="default" w:ascii="Times New Roman" w:hAnsi="Times New Roman" w:eastAsia="宋体" w:cs="Times New Roman"/>
          <w:sz w:val="24"/>
          <w:szCs w:val="24"/>
        </w:rPr>
        <w:t>附件1</w:t>
      </w:r>
      <w:r>
        <w:rPr>
          <w:rFonts w:hint="eastAsia" w:cs="Times New Roman"/>
          <w:sz w:val="24"/>
          <w:szCs w:val="24"/>
          <w:lang w:val="en-US" w:eastAsia="zh-CN"/>
        </w:rPr>
        <w:t>2</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水性</w:t>
      </w:r>
      <w:r>
        <w:rPr>
          <w:rFonts w:hint="eastAsia" w:cs="Times New Roman"/>
          <w:sz w:val="24"/>
          <w:szCs w:val="24"/>
          <w:lang w:val="en-US" w:eastAsia="zh-CN"/>
        </w:rPr>
        <w:t>油墨、白乳胶、热熔胶</w:t>
      </w:r>
      <w:r>
        <w:rPr>
          <w:rFonts w:hint="eastAsia" w:ascii="Times New Roman" w:hAnsi="Times New Roman" w:cs="Times New Roman"/>
          <w:sz w:val="24"/>
          <w:szCs w:val="24"/>
          <w:lang w:val="en-US" w:eastAsia="zh-CN"/>
        </w:rPr>
        <w:t>检测报告及MSDS成分报告</w:t>
      </w:r>
    </w:p>
    <w:p>
      <w:pPr>
        <w:adjustRightInd w:val="0"/>
        <w:snapToGrid w:val="0"/>
        <w:spacing w:line="500" w:lineRule="exact"/>
        <w:ind w:firstLine="480" w:firstLineChars="200"/>
        <w:jc w:val="left"/>
        <w:outlineLvl w:val="9"/>
        <w:rPr>
          <w:rFonts w:hint="default" w:ascii="Times New Roman" w:hAnsi="Times New Roman" w:eastAsia="宋体" w:cs="Times New Roman"/>
          <w:sz w:val="24"/>
          <w:szCs w:val="24"/>
          <w:lang w:val="en-US" w:eastAsia="zh-CN"/>
        </w:rPr>
      </w:pPr>
      <w:r>
        <w:rPr>
          <w:rFonts w:hint="eastAsia" w:cs="Times New Roman"/>
          <w:sz w:val="24"/>
          <w:szCs w:val="24"/>
          <w:lang w:val="en-US" w:eastAsia="zh-CN"/>
        </w:rPr>
        <w:t xml:space="preserve">附件13  </w:t>
      </w:r>
      <w:r>
        <w:rPr>
          <w:rFonts w:hint="eastAsia" w:ascii="Times New Roman" w:hAnsi="Times New Roman" w:eastAsia="宋体" w:cs="Times New Roman"/>
          <w:sz w:val="24"/>
          <w:szCs w:val="24"/>
          <w:lang w:val="en-US" w:eastAsia="zh-CN"/>
        </w:rPr>
        <w:t>噪声检测报告</w:t>
      </w:r>
    </w:p>
    <w:p>
      <w:pPr>
        <w:adjustRightInd w:val="0"/>
        <w:snapToGrid w:val="0"/>
        <w:spacing w:line="500" w:lineRule="exact"/>
        <w:ind w:firstLine="480" w:firstLineChars="200"/>
        <w:jc w:val="left"/>
        <w:outlineLvl w:val="9"/>
        <w:rPr>
          <w:rFonts w:hint="default" w:cs="Times New Roman"/>
          <w:sz w:val="24"/>
          <w:szCs w:val="24"/>
          <w:lang w:val="en-US" w:eastAsia="zh-CN"/>
        </w:rPr>
      </w:pPr>
      <w:r>
        <w:rPr>
          <w:rFonts w:hint="eastAsia" w:cs="Times New Roman"/>
          <w:sz w:val="24"/>
          <w:szCs w:val="24"/>
          <w:lang w:val="en-US" w:eastAsia="zh-CN"/>
        </w:rPr>
        <w:t>附件14  公示截图</w:t>
      </w:r>
    </w:p>
    <w:p>
      <w:pPr>
        <w:pStyle w:val="4"/>
        <w:rPr>
          <w:rFonts w:hint="default"/>
          <w:lang w:val="en-US" w:eastAsia="zh-CN"/>
        </w:rPr>
      </w:pPr>
      <w:r>
        <w:rPr>
          <w:rFonts w:hint="eastAsia" w:cs="Times New Roman"/>
          <w:sz w:val="24"/>
          <w:szCs w:val="24"/>
          <w:lang w:val="en-US" w:eastAsia="zh-CN"/>
        </w:rPr>
        <w:t xml:space="preserve">   </w:t>
      </w:r>
    </w:p>
    <w:p>
      <w:pPr>
        <w:rPr>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h" w:date="2024-01-24T14:54:50Z" w:initials="ad">
    <w:p w14:paraId="7EE31535">
      <w:pPr>
        <w:widowControl w:val="0"/>
        <w:jc w:val="left"/>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园区的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E315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D3AD4"/>
    <w:multiLevelType w:val="singleLevel"/>
    <w:tmpl w:val="B4FD3AD4"/>
    <w:lvl w:ilvl="0" w:tentative="0">
      <w:start w:val="1"/>
      <w:numFmt w:val="decimal"/>
      <w:lvlText w:val="表3-%1 "/>
      <w:lvlJc w:val="left"/>
      <w:pPr>
        <w:tabs>
          <w:tab w:val="left" w:pos="420"/>
        </w:tabs>
        <w:ind w:left="425" w:hanging="425"/>
      </w:pPr>
      <w:rPr>
        <w:rFonts w:hint="default" w:ascii="Times New Roman" w:hAnsi="Times New Roman" w:eastAsia="宋体" w:cs="Times New Roman"/>
        <w:b/>
        <w:bCs/>
        <w:color w:val="auto"/>
        <w:sz w:val="24"/>
        <w:szCs w:val="24"/>
      </w:rPr>
    </w:lvl>
  </w:abstractNum>
  <w:abstractNum w:abstractNumId="1">
    <w:nsid w:val="FBBC5BBC"/>
    <w:multiLevelType w:val="singleLevel"/>
    <w:tmpl w:val="FBBC5BBC"/>
    <w:lvl w:ilvl="0" w:tentative="0">
      <w:start w:val="1"/>
      <w:numFmt w:val="upperLetter"/>
      <w:suff w:val="space"/>
      <w:lvlText w:val="%1."/>
      <w:lvlJc w:val="left"/>
    </w:lvl>
  </w:abstractNum>
  <w:abstractNum w:abstractNumId="2">
    <w:nsid w:val="23C42439"/>
    <w:multiLevelType w:val="singleLevel"/>
    <w:tmpl w:val="23C42439"/>
    <w:lvl w:ilvl="0" w:tentative="0">
      <w:start w:val="4"/>
      <w:numFmt w:val="decimal"/>
      <w:suff w:val="nothing"/>
      <w:lvlText w:val="%1、"/>
      <w:lvlJc w:val="left"/>
      <w:rPr>
        <w:rFonts w:hint="default"/>
        <w:b/>
        <w:bCs/>
        <w:sz w:val="24"/>
        <w:szCs w:val="24"/>
      </w:rPr>
    </w:lvl>
  </w:abstractNum>
  <w:abstractNum w:abstractNumId="3">
    <w:nsid w:val="2D8A630C"/>
    <w:multiLevelType w:val="singleLevel"/>
    <w:tmpl w:val="2D8A630C"/>
    <w:lvl w:ilvl="0" w:tentative="0">
      <w:start w:val="1"/>
      <w:numFmt w:val="decimal"/>
      <w:suff w:val="nothing"/>
      <w:lvlText w:val="%1、"/>
      <w:lvlJc w:val="left"/>
    </w:lvl>
  </w:abstractNum>
  <w:abstractNum w:abstractNumId="4">
    <w:nsid w:val="779F86A2"/>
    <w:multiLevelType w:val="singleLevel"/>
    <w:tmpl w:val="779F86A2"/>
    <w:lvl w:ilvl="0" w:tentative="0">
      <w:start w:val="1"/>
      <w:numFmt w:val="decimal"/>
      <w:suff w:val="nothing"/>
      <w:lvlText w:val="%1、"/>
      <w:lvlJc w:val="left"/>
      <w:pPr>
        <w:ind w:left="420" w:leftChars="0" w:firstLine="0" w:firstLineChars="0"/>
      </w:pPr>
      <w:rPr>
        <w:rFonts w:hint="default"/>
        <w:sz w:val="24"/>
        <w:szCs w:val="24"/>
      </w:r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h">
    <w15:presenceInfo w15:providerId="None" w15:userId="d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zZDkzOTc2NjI2Zjk1OTIxZWM0OTMyYTQzOWJhZjAifQ=="/>
  </w:docVars>
  <w:rsids>
    <w:rsidRoot w:val="0005307F"/>
    <w:rsid w:val="00044EF2"/>
    <w:rsid w:val="0005307F"/>
    <w:rsid w:val="00142C5F"/>
    <w:rsid w:val="001F6368"/>
    <w:rsid w:val="00270BE1"/>
    <w:rsid w:val="004611E5"/>
    <w:rsid w:val="004A3C7C"/>
    <w:rsid w:val="0058548E"/>
    <w:rsid w:val="00686CE3"/>
    <w:rsid w:val="007F2FB7"/>
    <w:rsid w:val="0089183F"/>
    <w:rsid w:val="00AB5FF4"/>
    <w:rsid w:val="00AF27DC"/>
    <w:rsid w:val="00B1277A"/>
    <w:rsid w:val="00D4484D"/>
    <w:rsid w:val="00D926A1"/>
    <w:rsid w:val="00DA2753"/>
    <w:rsid w:val="00DB6731"/>
    <w:rsid w:val="00F2251A"/>
    <w:rsid w:val="00FB0AB1"/>
    <w:rsid w:val="025850F6"/>
    <w:rsid w:val="03784976"/>
    <w:rsid w:val="050C7ADE"/>
    <w:rsid w:val="056C0DBF"/>
    <w:rsid w:val="05B9677F"/>
    <w:rsid w:val="06FB26BB"/>
    <w:rsid w:val="07AC77A4"/>
    <w:rsid w:val="08011B10"/>
    <w:rsid w:val="0A556AD0"/>
    <w:rsid w:val="0B010E74"/>
    <w:rsid w:val="0B161F7E"/>
    <w:rsid w:val="0C0226D3"/>
    <w:rsid w:val="0C43470C"/>
    <w:rsid w:val="0C9C64B3"/>
    <w:rsid w:val="0CEC11E8"/>
    <w:rsid w:val="0D7438C6"/>
    <w:rsid w:val="0D9E6A24"/>
    <w:rsid w:val="0DAB10A3"/>
    <w:rsid w:val="0DB735A4"/>
    <w:rsid w:val="0E1928B2"/>
    <w:rsid w:val="0E65744C"/>
    <w:rsid w:val="0F704608"/>
    <w:rsid w:val="110B2C3A"/>
    <w:rsid w:val="13076D7C"/>
    <w:rsid w:val="13A2336F"/>
    <w:rsid w:val="169A7F07"/>
    <w:rsid w:val="177F5168"/>
    <w:rsid w:val="178317C6"/>
    <w:rsid w:val="17A7186B"/>
    <w:rsid w:val="17C920E8"/>
    <w:rsid w:val="19410B0E"/>
    <w:rsid w:val="1C161DDD"/>
    <w:rsid w:val="1C257CDA"/>
    <w:rsid w:val="1C984119"/>
    <w:rsid w:val="1C9902AC"/>
    <w:rsid w:val="1D7E7C3A"/>
    <w:rsid w:val="1DD20D42"/>
    <w:rsid w:val="1DF3687A"/>
    <w:rsid w:val="1F553F35"/>
    <w:rsid w:val="1F8B4890"/>
    <w:rsid w:val="1FA92F69"/>
    <w:rsid w:val="20D9774D"/>
    <w:rsid w:val="21110DC5"/>
    <w:rsid w:val="21222FD3"/>
    <w:rsid w:val="21986F0B"/>
    <w:rsid w:val="222320BB"/>
    <w:rsid w:val="2426102C"/>
    <w:rsid w:val="254F1F39"/>
    <w:rsid w:val="25B07065"/>
    <w:rsid w:val="27534E5C"/>
    <w:rsid w:val="28784950"/>
    <w:rsid w:val="29BB473E"/>
    <w:rsid w:val="2B382E97"/>
    <w:rsid w:val="2B481888"/>
    <w:rsid w:val="2B9F0378"/>
    <w:rsid w:val="2BEA6A1F"/>
    <w:rsid w:val="2D35408E"/>
    <w:rsid w:val="2D5B7DA4"/>
    <w:rsid w:val="2DF624BB"/>
    <w:rsid w:val="2F520F27"/>
    <w:rsid w:val="2FC811E9"/>
    <w:rsid w:val="31BE00D2"/>
    <w:rsid w:val="32D124A0"/>
    <w:rsid w:val="33954147"/>
    <w:rsid w:val="33B65F28"/>
    <w:rsid w:val="37A74075"/>
    <w:rsid w:val="37B07303"/>
    <w:rsid w:val="387F3FB0"/>
    <w:rsid w:val="38F65CAD"/>
    <w:rsid w:val="395A6876"/>
    <w:rsid w:val="3A153462"/>
    <w:rsid w:val="3C321BB1"/>
    <w:rsid w:val="3DE5087F"/>
    <w:rsid w:val="3ED04B3B"/>
    <w:rsid w:val="40540B86"/>
    <w:rsid w:val="407231D7"/>
    <w:rsid w:val="40857CE9"/>
    <w:rsid w:val="408B4299"/>
    <w:rsid w:val="4198777E"/>
    <w:rsid w:val="43DB4E02"/>
    <w:rsid w:val="44335F7E"/>
    <w:rsid w:val="47256FC8"/>
    <w:rsid w:val="490425DD"/>
    <w:rsid w:val="49AF724A"/>
    <w:rsid w:val="4B983D0E"/>
    <w:rsid w:val="4BCE1FDE"/>
    <w:rsid w:val="4E710F72"/>
    <w:rsid w:val="4E863794"/>
    <w:rsid w:val="4FE91898"/>
    <w:rsid w:val="50AF7B2F"/>
    <w:rsid w:val="50D029BF"/>
    <w:rsid w:val="513B2E22"/>
    <w:rsid w:val="52BB7741"/>
    <w:rsid w:val="53163E96"/>
    <w:rsid w:val="533F0210"/>
    <w:rsid w:val="55006BAB"/>
    <w:rsid w:val="57672F12"/>
    <w:rsid w:val="59F206FE"/>
    <w:rsid w:val="5A0709DC"/>
    <w:rsid w:val="5AB0697E"/>
    <w:rsid w:val="5B5C09F2"/>
    <w:rsid w:val="5CF078CA"/>
    <w:rsid w:val="5D176FDF"/>
    <w:rsid w:val="5D30024A"/>
    <w:rsid w:val="5DC4175D"/>
    <w:rsid w:val="5E2A6A47"/>
    <w:rsid w:val="5E372BB2"/>
    <w:rsid w:val="5E3B0C54"/>
    <w:rsid w:val="5E4268F0"/>
    <w:rsid w:val="5E4955C2"/>
    <w:rsid w:val="5FBA204D"/>
    <w:rsid w:val="605E7E78"/>
    <w:rsid w:val="630E7856"/>
    <w:rsid w:val="642A77A1"/>
    <w:rsid w:val="64947D42"/>
    <w:rsid w:val="650E0D2B"/>
    <w:rsid w:val="657D062D"/>
    <w:rsid w:val="66265826"/>
    <w:rsid w:val="67EE7BB7"/>
    <w:rsid w:val="6949691B"/>
    <w:rsid w:val="6AA10900"/>
    <w:rsid w:val="6AAE7F0E"/>
    <w:rsid w:val="6AE82164"/>
    <w:rsid w:val="6B122706"/>
    <w:rsid w:val="6B64206D"/>
    <w:rsid w:val="6B7C2DE2"/>
    <w:rsid w:val="6CB70040"/>
    <w:rsid w:val="6D3B2A1F"/>
    <w:rsid w:val="6DBC30CE"/>
    <w:rsid w:val="6DF130DE"/>
    <w:rsid w:val="6E296D1B"/>
    <w:rsid w:val="6E7F693B"/>
    <w:rsid w:val="6EE42C42"/>
    <w:rsid w:val="6F5A2F04"/>
    <w:rsid w:val="70AB1552"/>
    <w:rsid w:val="70F77B7B"/>
    <w:rsid w:val="718F5296"/>
    <w:rsid w:val="721D07CE"/>
    <w:rsid w:val="728177DA"/>
    <w:rsid w:val="732C6966"/>
    <w:rsid w:val="735F3AE2"/>
    <w:rsid w:val="736D1458"/>
    <w:rsid w:val="7423420D"/>
    <w:rsid w:val="74E00A52"/>
    <w:rsid w:val="75750A98"/>
    <w:rsid w:val="75AA2009"/>
    <w:rsid w:val="76AA40C6"/>
    <w:rsid w:val="76EC2F36"/>
    <w:rsid w:val="770148A0"/>
    <w:rsid w:val="77B42434"/>
    <w:rsid w:val="78097210"/>
    <w:rsid w:val="7836110C"/>
    <w:rsid w:val="78B1551C"/>
    <w:rsid w:val="78CA10FB"/>
    <w:rsid w:val="79251591"/>
    <w:rsid w:val="79C55100"/>
    <w:rsid w:val="7AAD65DE"/>
    <w:rsid w:val="7B0F39F5"/>
    <w:rsid w:val="7B287D70"/>
    <w:rsid w:val="7B7B492E"/>
    <w:rsid w:val="7C7B6471"/>
    <w:rsid w:val="7CAF4890"/>
    <w:rsid w:val="7DEC556A"/>
    <w:rsid w:val="7E466959"/>
    <w:rsid w:val="7F0B34DE"/>
    <w:rsid w:val="7F4C10A2"/>
    <w:rsid w:val="7FE15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30"/>
    <w:autoRedefine/>
    <w:qFormat/>
    <w:uiPriority w:val="0"/>
    <w:pPr>
      <w:keepNext/>
      <w:keepLines/>
      <w:spacing w:before="260" w:after="260" w:line="416" w:lineRule="auto"/>
      <w:outlineLvl w:val="2"/>
    </w:pPr>
    <w:rPr>
      <w:rFonts w:eastAsiaTheme="majorEastAsia"/>
      <w:b/>
      <w:bCs/>
      <w:sz w:val="32"/>
      <w:szCs w:val="32"/>
    </w:rPr>
  </w:style>
  <w:style w:type="paragraph" w:styleId="5">
    <w:name w:val="heading 4"/>
    <w:basedOn w:val="1"/>
    <w:next w:val="1"/>
    <w:link w:val="29"/>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autoRedefine/>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200" w:firstLineChars="200"/>
    </w:pPr>
    <w:rPr>
      <w:sz w:val="28"/>
      <w:szCs w:val="20"/>
    </w:rPr>
  </w:style>
  <w:style w:type="paragraph" w:styleId="7">
    <w:name w:val="Body Text First Indent 2"/>
    <w:basedOn w:val="1"/>
    <w:next w:val="1"/>
    <w:qFormat/>
    <w:uiPriority w:val="0"/>
    <w:pPr>
      <w:ind w:firstLine="420" w:firstLineChars="200"/>
    </w:pPr>
    <w:rPr>
      <w:kern w:val="2"/>
      <w:sz w:val="21"/>
    </w:rPr>
  </w:style>
  <w:style w:type="paragraph" w:styleId="8">
    <w:name w:val="annotation text"/>
    <w:basedOn w:val="1"/>
    <w:autoRedefine/>
    <w:qFormat/>
    <w:uiPriority w:val="99"/>
    <w:pPr>
      <w:jc w:val="left"/>
    </w:pPr>
    <w:rPr>
      <w:kern w:val="0"/>
      <w:szCs w:val="20"/>
    </w:rPr>
  </w:style>
  <w:style w:type="paragraph" w:styleId="9">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10">
    <w:name w:val="Body Text Indent"/>
    <w:basedOn w:val="1"/>
    <w:autoRedefine/>
    <w:qFormat/>
    <w:uiPriority w:val="99"/>
    <w:pPr>
      <w:widowControl/>
      <w:spacing w:after="120"/>
      <w:ind w:left="420" w:leftChars="200"/>
      <w:jc w:val="left"/>
    </w:pPr>
    <w:rPr>
      <w:rFonts w:ascii="Times New Roman" w:hAnsi="Times New Roman" w:eastAsia="宋体"/>
      <w:kern w:val="0"/>
      <w:sz w:val="20"/>
      <w:szCs w:val="20"/>
    </w:rPr>
  </w:style>
  <w:style w:type="paragraph" w:styleId="11">
    <w:name w:val="footer"/>
    <w:basedOn w:val="1"/>
    <w:autoRedefine/>
    <w:qFormat/>
    <w:uiPriority w:val="99"/>
    <w:pPr>
      <w:tabs>
        <w:tab w:val="center" w:pos="4153"/>
        <w:tab w:val="right" w:pos="8306"/>
      </w:tabs>
      <w:snapToGrid w:val="0"/>
      <w:jc w:val="left"/>
    </w:pPr>
    <w:rPr>
      <w:kern w:val="0"/>
      <w:sz w:val="18"/>
      <w:szCs w:val="20"/>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autoRedefine/>
    <w:qFormat/>
    <w:uiPriority w:val="0"/>
    <w:rPr>
      <w:szCs w:val="20"/>
    </w:rPr>
  </w:style>
  <w:style w:type="paragraph" w:styleId="14">
    <w:name w:val="index 1"/>
    <w:basedOn w:val="1"/>
    <w:next w:val="1"/>
    <w:autoRedefine/>
    <w:qFormat/>
    <w:uiPriority w:val="0"/>
    <w:pPr>
      <w:widowControl/>
      <w:adjustRightInd w:val="0"/>
      <w:snapToGrid w:val="0"/>
      <w:spacing w:line="0" w:lineRule="atLeast"/>
      <w:jc w:val="center"/>
    </w:pPr>
    <w:rPr>
      <w:kern w:val="0"/>
      <w:szCs w:val="24"/>
      <w:lang w:eastAsia="en-US" w:bidi="en-US"/>
    </w:rPr>
  </w:style>
  <w:style w:type="paragraph" w:styleId="15">
    <w:name w:val="Body Text 2"/>
    <w:basedOn w:val="1"/>
    <w:autoRedefine/>
    <w:unhideWhenUsed/>
    <w:qFormat/>
    <w:uiPriority w:val="99"/>
    <w:pPr>
      <w:spacing w:after="120" w:line="480" w:lineRule="auto"/>
    </w:pPr>
  </w:style>
  <w:style w:type="paragraph" w:styleId="16">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7">
    <w:name w:val="Body Text First Indent"/>
    <w:basedOn w:val="9"/>
    <w:autoRedefine/>
    <w:qFormat/>
    <w:uiPriority w:val="0"/>
    <w:pPr>
      <w:widowControl w:val="0"/>
      <w:snapToGrid/>
      <w:spacing w:before="0" w:after="120" w:line="240" w:lineRule="auto"/>
      <w:ind w:right="0" w:firstLine="420" w:firstLineChars="100"/>
    </w:pPr>
    <w:rPr>
      <w:kern w:val="2"/>
      <w:sz w:val="21"/>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basedOn w:val="20"/>
    <w:autoRedefine/>
    <w:qFormat/>
    <w:uiPriority w:val="0"/>
    <w:rPr>
      <w:color w:val="0000FF"/>
      <w:u w:val="single"/>
    </w:rPr>
  </w:style>
  <w:style w:type="character" w:styleId="23">
    <w:name w:val="annotation reference"/>
    <w:autoRedefine/>
    <w:qFormat/>
    <w:uiPriority w:val="0"/>
    <w:rPr>
      <w:sz w:val="21"/>
    </w:rPr>
  </w:style>
  <w:style w:type="paragraph" w:customStyle="1" w:styleId="24">
    <w:name w:val="正文 首行缩进:  2 字符"/>
    <w:basedOn w:val="1"/>
    <w:autoRedefine/>
    <w:qFormat/>
    <w:uiPriority w:val="99"/>
    <w:pPr>
      <w:ind w:firstLine="579" w:firstLineChars="200"/>
    </w:pPr>
    <w:rPr>
      <w:rFonts w:eastAsia="等线" w:cs="宋体"/>
      <w:szCs w:val="20"/>
    </w:rPr>
  </w:style>
  <w:style w:type="paragraph" w:customStyle="1" w:styleId="25">
    <w:name w:val="表格"/>
    <w:basedOn w:val="26"/>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26">
    <w:name w:val="表头"/>
    <w:basedOn w:val="27"/>
    <w:next w:val="1"/>
    <w:autoRedefine/>
    <w:qFormat/>
    <w:uiPriority w:val="0"/>
    <w:pPr>
      <w:adjustRightInd w:val="0"/>
      <w:spacing w:line="320" w:lineRule="atLeast"/>
      <w:ind w:firstLine="0" w:firstLineChars="0"/>
      <w:jc w:val="center"/>
      <w:textAlignment w:val="baseline"/>
    </w:pPr>
    <w:rPr>
      <w:rFonts w:eastAsia="黑体"/>
      <w:color w:val="000000"/>
      <w:spacing w:val="-10"/>
      <w:kern w:val="0"/>
      <w:sz w:val="21"/>
      <w:szCs w:val="20"/>
    </w:rPr>
  </w:style>
  <w:style w:type="paragraph" w:customStyle="1" w:styleId="27">
    <w:name w:val="文本"/>
    <w:basedOn w:val="6"/>
    <w:autoRedefine/>
    <w:qFormat/>
    <w:uiPriority w:val="0"/>
    <w:pPr>
      <w:adjustRightInd w:val="0"/>
      <w:snapToGrid w:val="0"/>
      <w:spacing w:line="360" w:lineRule="auto"/>
      <w:ind w:firstLine="1446" w:firstLineChars="200"/>
    </w:pPr>
    <w:rPr>
      <w:rFonts w:ascii="Times New Roman" w:hAnsi="Times New Roman"/>
      <w:sz w:val="24"/>
      <w:szCs w:val="24"/>
    </w:rPr>
  </w:style>
  <w:style w:type="character" w:customStyle="1" w:styleId="28">
    <w:name w:val="标题 1 字符"/>
    <w:basedOn w:val="20"/>
    <w:link w:val="2"/>
    <w:autoRedefine/>
    <w:qFormat/>
    <w:uiPriority w:val="0"/>
    <w:rPr>
      <w:rFonts w:ascii="Times New Roman" w:hAnsi="Times New Roman"/>
      <w:b/>
      <w:bCs/>
      <w:kern w:val="44"/>
      <w:sz w:val="44"/>
      <w:szCs w:val="44"/>
    </w:rPr>
  </w:style>
  <w:style w:type="character" w:customStyle="1" w:styleId="29">
    <w:name w:val="标题 4 字符"/>
    <w:basedOn w:val="20"/>
    <w:link w:val="5"/>
    <w:autoRedefine/>
    <w:semiHidden/>
    <w:qFormat/>
    <w:uiPriority w:val="0"/>
    <w:rPr>
      <w:rFonts w:asciiTheme="majorHAnsi" w:hAnsiTheme="majorHAnsi" w:eastAsiaTheme="majorEastAsia" w:cstheme="majorBidi"/>
      <w:b/>
      <w:bCs/>
      <w:kern w:val="2"/>
      <w:sz w:val="28"/>
      <w:szCs w:val="28"/>
    </w:rPr>
  </w:style>
  <w:style w:type="character" w:customStyle="1" w:styleId="30">
    <w:name w:val="标题 3 字符"/>
    <w:basedOn w:val="20"/>
    <w:link w:val="4"/>
    <w:autoRedefine/>
    <w:qFormat/>
    <w:uiPriority w:val="0"/>
    <w:rPr>
      <w:rFonts w:ascii="Times New Roman" w:hAnsi="Times New Roman" w:eastAsiaTheme="majorEastAsia"/>
      <w:b/>
      <w:bCs/>
      <w:kern w:val="2"/>
      <w:sz w:val="32"/>
      <w:szCs w:val="32"/>
    </w:rPr>
  </w:style>
  <w:style w:type="paragraph" w:customStyle="1" w:styleId="31">
    <w:name w:val="Table Paragraph"/>
    <w:basedOn w:val="1"/>
    <w:autoRedefine/>
    <w:qFormat/>
    <w:uiPriority w:val="1"/>
    <w:pPr>
      <w:jc w:val="left"/>
    </w:pPr>
    <w:rPr>
      <w:rFonts w:ascii="Calibri" w:hAnsi="Calibri" w:eastAsia="宋体" w:cs="Times New Roman"/>
      <w:kern w:val="0"/>
      <w:sz w:val="22"/>
      <w:szCs w:val="22"/>
      <w:lang w:eastAsia="en-US"/>
    </w:rPr>
  </w:style>
  <w:style w:type="paragraph" w:customStyle="1" w:styleId="32">
    <w:name w:val="报告书正文"/>
    <w:basedOn w:val="1"/>
    <w:autoRedefine/>
    <w:qFormat/>
    <w:uiPriority w:val="0"/>
    <w:pPr>
      <w:widowControl w:val="0"/>
      <w:adjustRightInd w:val="0"/>
      <w:snapToGrid w:val="0"/>
      <w:spacing w:line="360" w:lineRule="auto"/>
      <w:ind w:firstLine="425"/>
      <w:jc w:val="both"/>
      <w:textAlignment w:val="baseline"/>
    </w:pPr>
    <w:rPr>
      <w:rFonts w:ascii="Arial" w:hAnsi="Arial" w:eastAsia="宋体"/>
      <w:szCs w:val="24"/>
    </w:rPr>
  </w:style>
  <w:style w:type="paragraph" w:customStyle="1" w:styleId="33">
    <w:name w:val="图表"/>
    <w:basedOn w:val="1"/>
    <w:autoRedefine/>
    <w:qFormat/>
    <w:uiPriority w:val="0"/>
    <w:pPr>
      <w:adjustRightInd w:val="0"/>
      <w:snapToGrid w:val="0"/>
      <w:jc w:val="center"/>
    </w:pPr>
    <w:rPr>
      <w:color w:val="000000"/>
      <w:szCs w:val="21"/>
      <w:lang w:val="zh-CN"/>
    </w:rPr>
  </w:style>
  <w:style w:type="paragraph" w:customStyle="1" w:styleId="34">
    <w:name w:val="正文4号"/>
    <w:basedOn w:val="1"/>
    <w:autoRedefine/>
    <w:qFormat/>
    <w:uiPriority w:val="0"/>
    <w:pPr>
      <w:adjustRightInd w:val="0"/>
      <w:snapToGrid w:val="0"/>
      <w:spacing w:line="360" w:lineRule="auto"/>
      <w:ind w:firstLine="200" w:firstLineChars="200"/>
    </w:pPr>
    <w:rPr>
      <w:sz w:val="24"/>
    </w:rPr>
  </w:style>
  <w:style w:type="paragraph" w:customStyle="1" w:styleId="35">
    <w:name w:val="正文-lcc"/>
    <w:basedOn w:val="1"/>
    <w:autoRedefine/>
    <w:qFormat/>
    <w:uiPriority w:val="0"/>
    <w:pPr>
      <w:snapToGrid w:val="0"/>
      <w:spacing w:line="360" w:lineRule="auto"/>
      <w:ind w:firstLine="200" w:firstLineChars="200"/>
    </w:pPr>
    <w:rPr>
      <w:rFonts w:ascii="等线" w:hAnsi="等线" w:eastAsia="仿宋"/>
      <w:color w:val="000000"/>
      <w:sz w:val="24"/>
      <w:szCs w:val="20"/>
    </w:rPr>
  </w:style>
  <w:style w:type="paragraph" w:styleId="36">
    <w:name w:val="List Paragraph"/>
    <w:basedOn w:val="1"/>
    <w:autoRedefine/>
    <w:qFormat/>
    <w:uiPriority w:val="34"/>
    <w:pPr>
      <w:spacing w:line="360" w:lineRule="auto"/>
      <w:ind w:firstLine="420" w:firstLineChars="200"/>
    </w:pPr>
    <w:rPr>
      <w:sz w:val="24"/>
    </w:rPr>
  </w:style>
  <w:style w:type="paragraph" w:customStyle="1" w:styleId="37">
    <w:name w:val="列出段落1"/>
    <w:basedOn w:val="1"/>
    <w:autoRedefine/>
    <w:qFormat/>
    <w:uiPriority w:val="0"/>
    <w:pPr>
      <w:spacing w:line="360" w:lineRule="auto"/>
      <w:ind w:firstLine="420" w:firstLineChars="200"/>
    </w:pPr>
    <w:rPr>
      <w:sz w:val="24"/>
    </w:rPr>
  </w:style>
  <w:style w:type="paragraph" w:customStyle="1" w:styleId="38">
    <w:name w:val="Default"/>
    <w:basedOn w:val="39"/>
    <w:next w:val="40"/>
    <w:autoRedefine/>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9">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40">
    <w:name w:val="样式1"/>
    <w:basedOn w:val="13"/>
    <w:next w:val="1"/>
    <w:autoRedefine/>
    <w:qFormat/>
    <w:uiPriority w:val="0"/>
    <w:pPr>
      <w:widowControl/>
      <w:adjustRightInd w:val="0"/>
      <w:snapToGrid w:val="0"/>
      <w:jc w:val="center"/>
    </w:pPr>
    <w:rPr>
      <w:rFonts w:ascii="宋体" w:hAnsi="宋体"/>
      <w:spacing w:val="-12"/>
      <w:kern w:val="0"/>
      <w:szCs w:val="28"/>
      <w:lang w:eastAsia="en-US" w:bidi="en-US"/>
    </w:rPr>
  </w:style>
  <w:style w:type="paragraph" w:customStyle="1" w:styleId="41">
    <w:name w:val="a四级标题"/>
    <w:basedOn w:val="1"/>
    <w:autoRedefine/>
    <w:qFormat/>
    <w:uiPriority w:val="0"/>
    <w:pPr>
      <w:spacing w:line="360" w:lineRule="auto"/>
    </w:pPr>
    <w:rPr>
      <w:rFonts w:ascii="Times New Roman"/>
      <w:b/>
    </w:rPr>
  </w:style>
  <w:style w:type="paragraph" w:customStyle="1" w:styleId="42">
    <w:name w:val="表格文字2"/>
    <w:basedOn w:val="1"/>
    <w:autoRedefine/>
    <w:qFormat/>
    <w:uiPriority w:val="0"/>
    <w:pPr>
      <w:keepNext w:val="0"/>
      <w:keepLines w:val="0"/>
      <w:widowControl w:val="0"/>
      <w:suppressLineNumbers w:val="0"/>
      <w:tabs>
        <w:tab w:val="left" w:pos="277"/>
        <w:tab w:val="left" w:pos="600"/>
        <w:tab w:val="left" w:pos="780"/>
        <w:tab w:val="left" w:pos="2517"/>
      </w:tabs>
      <w:adjustRightInd w:val="0"/>
      <w:spacing w:before="0" w:beforeAutospacing="0" w:after="0" w:afterAutospacing="0" w:line="240" w:lineRule="auto"/>
      <w:ind w:left="0" w:right="0" w:firstLine="0" w:firstLineChars="0"/>
      <w:jc w:val="center"/>
    </w:pPr>
    <w:rPr>
      <w:rFonts w:hint="default" w:ascii="Times New Roman" w:hAnsi="Times New Roman" w:eastAsia="宋体" w:cs="Times New Roman"/>
      <w:kern w:val="0"/>
      <w:sz w:val="21"/>
      <w:szCs w:val="21"/>
      <w:lang w:val="en-US" w:eastAsia="zh-CN" w:bidi="ar"/>
    </w:rPr>
  </w:style>
  <w:style w:type="paragraph" w:customStyle="1" w:styleId="43">
    <w:name w:val="谏壁正文chen"/>
    <w:basedOn w:val="1"/>
    <w:autoRedefine/>
    <w:qFormat/>
    <w:uiPriority w:val="99"/>
    <w:pPr>
      <w:spacing w:line="360" w:lineRule="auto"/>
      <w:ind w:firstLine="200" w:firstLineChars="200"/>
    </w:pPr>
    <w:rPr>
      <w:sz w:val="24"/>
      <w:szCs w:val="24"/>
    </w:rPr>
  </w:style>
  <w:style w:type="paragraph" w:customStyle="1" w:styleId="44">
    <w:name w:val="Body Text 21"/>
    <w:basedOn w:val="1"/>
    <w:autoRedefine/>
    <w:qFormat/>
    <w:uiPriority w:val="0"/>
    <w:pPr>
      <w:adjustRightInd w:val="0"/>
      <w:textAlignment w:val="baseline"/>
    </w:pPr>
    <w:rPr>
      <w:rFonts w:ascii="仿宋_GB2312" w:hAnsi="Calibri" w:eastAsia="仿宋体"/>
      <w:sz w:val="24"/>
      <w:szCs w:val="20"/>
    </w:rPr>
  </w:style>
  <w:style w:type="paragraph" w:customStyle="1" w:styleId="45">
    <w:name w:val="表格内容"/>
    <w:basedOn w:val="1"/>
    <w:autoRedefine/>
    <w:qFormat/>
    <w:uiPriority w:val="0"/>
    <w:pPr>
      <w:overflowPunct w:val="0"/>
      <w:spacing w:before="40" w:after="60" w:line="200" w:lineRule="atLeast"/>
      <w:textAlignment w:val="baseline"/>
    </w:pPr>
    <w:rPr>
      <w:rFonts w:ascii="Arial" w:hAnsi="Arial" w:eastAsia="仿宋_GB2312"/>
      <w:kern w:val="0"/>
      <w:szCs w:val="20"/>
    </w:rPr>
  </w:style>
  <w:style w:type="paragraph" w:customStyle="1" w:styleId="46">
    <w:name w:val="小四表格"/>
    <w:basedOn w:val="1"/>
    <w:autoRedefine/>
    <w:qFormat/>
    <w:uiPriority w:val="0"/>
    <w:pPr>
      <w:keepNext/>
      <w:widowControl w:val="0"/>
      <w:autoSpaceDE w:val="0"/>
      <w:autoSpaceDN w:val="0"/>
      <w:snapToGrid/>
      <w:spacing w:after="0" w:line="480" w:lineRule="atLeast"/>
      <w:jc w:val="center"/>
    </w:pPr>
    <w:rPr>
      <w:rFonts w:ascii="Times New Roman" w:hAnsi="Times New Roman" w:eastAsia="宋体"/>
      <w:color w:val="000000"/>
      <w:kern w:val="2"/>
      <w:sz w:val="24"/>
      <w:szCs w:val="20"/>
    </w:rPr>
  </w:style>
  <w:style w:type="paragraph" w:customStyle="1" w:styleId="47">
    <w:name w:val="表内容"/>
    <w:basedOn w:val="1"/>
    <w:autoRedefine/>
    <w:qFormat/>
    <w:uiPriority w:val="0"/>
    <w:pPr>
      <w:widowControl/>
      <w:jc w:val="center"/>
    </w:pPr>
    <w:rPr>
      <w:rFonts w:ascii="宋体" w:hAnsi="宋体" w:eastAsia="宋体"/>
      <w:kern w:val="0"/>
      <w:sz w:val="18"/>
      <w:szCs w:val="20"/>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paragraph" w:customStyle="1" w:styleId="49">
    <w:name w:val="！正文"/>
    <w:autoRedefine/>
    <w:qFormat/>
    <w:uiPriority w:val="99"/>
    <w:pPr>
      <w:widowControl/>
      <w:adjustRightInd/>
      <w:snapToGrid/>
      <w:spacing w:line="460" w:lineRule="exact"/>
      <w:ind w:firstLine="200" w:firstLineChars="200"/>
      <w:jc w:val="both"/>
    </w:pPr>
    <w:rPr>
      <w:rFonts w:ascii="Times New Roman"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1" Type="http://schemas.microsoft.com/office/2011/relationships/people" Target="people.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28.png"/><Relationship Id="rId46" Type="http://schemas.openxmlformats.org/officeDocument/2006/relationships/image" Target="media/image27.png"/><Relationship Id="rId45" Type="http://schemas.openxmlformats.org/officeDocument/2006/relationships/image" Target="media/image26.png"/><Relationship Id="rId44" Type="http://schemas.openxmlformats.org/officeDocument/2006/relationships/image" Target="media/image25.png"/><Relationship Id="rId43" Type="http://schemas.openxmlformats.org/officeDocument/2006/relationships/image" Target="media/image24.png"/><Relationship Id="rId42" Type="http://schemas.openxmlformats.org/officeDocument/2006/relationships/image" Target="media/image23.png"/><Relationship Id="rId41" Type="http://schemas.openxmlformats.org/officeDocument/2006/relationships/image" Target="media/image22.png"/><Relationship Id="rId40" Type="http://schemas.openxmlformats.org/officeDocument/2006/relationships/image" Target="media/image21.png"/><Relationship Id="rId4" Type="http://schemas.microsoft.com/office/2011/relationships/commentsExtended" Target="commentsExtended.xml"/><Relationship Id="rId39" Type="http://schemas.openxmlformats.org/officeDocument/2006/relationships/image" Target="media/image20.png"/><Relationship Id="rId38" Type="http://schemas.openxmlformats.org/officeDocument/2006/relationships/image" Target="media/image19.wmf"/><Relationship Id="rId37" Type="http://schemas.openxmlformats.org/officeDocument/2006/relationships/oleObject" Target="embeddings/oleObject12.bin"/><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1.bin"/><Relationship Id="rId3" Type="http://schemas.openxmlformats.org/officeDocument/2006/relationships/comments" Target="comments.xml"/><Relationship Id="rId29" Type="http://schemas.openxmlformats.org/officeDocument/2006/relationships/image" Target="media/image12.png"/><Relationship Id="rId28" Type="http://schemas.openxmlformats.org/officeDocument/2006/relationships/image" Target="media/image11.emf"/><Relationship Id="rId27" Type="http://schemas.openxmlformats.org/officeDocument/2006/relationships/oleObject" Target="embeddings/oleObject10.bin"/><Relationship Id="rId26" Type="http://schemas.openxmlformats.org/officeDocument/2006/relationships/image" Target="media/image10.png"/><Relationship Id="rId25" Type="http://schemas.openxmlformats.org/officeDocument/2006/relationships/image" Target="media/image9.e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48224</Words>
  <Characters>56176</Characters>
  <Lines>13</Lines>
  <Paragraphs>18</Paragraphs>
  <TotalTime>72</TotalTime>
  <ScaleCrop>false</ScaleCrop>
  <LinksUpToDate>false</LinksUpToDate>
  <CharactersWithSpaces>56725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2023-04-06T09:03:00Z</dcterms:created>
  <dc:creator>jjl</dc:creator>
  <cp:lastModifiedBy>dh</cp:lastModifiedBy>
  <cp:lastPrinted>2023-12-11T00:40:00Z</cp:lastPrinted>
  <dcterms:modified xsi:type="dcterms:W3CDTF">2024-02-02T08:45:00Z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BC17E5C3DA664920B9B514F846FEA0D0_13</vt:lpwstr>
  </property>
</Properties>
</file>