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20"/>
          <w:tab w:val="left" w:pos="6940"/>
        </w:tabs>
        <w:spacing w:line="6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tabs>
          <w:tab w:val="left" w:pos="6720"/>
          <w:tab w:val="left" w:pos="6940"/>
        </w:tabs>
        <w:spacing w:line="640" w:lineRule="exact"/>
        <w:jc w:val="left"/>
        <w:rPr>
          <w:rFonts w:hint="eastAsia" w:ascii="黑体" w:hAnsi="黑体" w:eastAsia="黑体" w:cs="黑体"/>
          <w:sz w:val="32"/>
          <w:szCs w:val="32"/>
          <w:lang w:val="en-US" w:eastAsia="zh-CN"/>
        </w:rPr>
      </w:pPr>
    </w:p>
    <w:p>
      <w:pPr>
        <w:tabs>
          <w:tab w:val="left" w:pos="6720"/>
          <w:tab w:val="left" w:pos="6940"/>
        </w:tabs>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海安市行政审批中介网上超市</w:t>
      </w:r>
    </w:p>
    <w:p>
      <w:pPr>
        <w:tabs>
          <w:tab w:val="left" w:pos="6720"/>
          <w:tab w:val="left" w:pos="6940"/>
        </w:tabs>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运行管理规则（试行）</w:t>
      </w:r>
    </w:p>
    <w:p>
      <w:pPr>
        <w:spacing w:line="560" w:lineRule="exact"/>
        <w:jc w:val="center"/>
        <w:rPr>
          <w:rFonts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20" w:lineRule="exact"/>
        <w:jc w:val="center"/>
        <w:rPr>
          <w:rFonts w:ascii="仿宋_GB2312" w:hAnsi="仿宋_GB2312" w:eastAsia="仿宋_GB2312" w:cs="仿宋_GB2312"/>
          <w:sz w:val="32"/>
          <w:szCs w:val="32"/>
        </w:rPr>
      </w:pPr>
      <w:r>
        <w:rPr>
          <w:rFonts w:hint="eastAsia" w:ascii="黑体" w:hAnsi="黑体" w:eastAsia="黑体" w:cs="黑体"/>
          <w:sz w:val="32"/>
          <w:szCs w:val="32"/>
        </w:rPr>
        <w:t>第一章  总则</w:t>
      </w:r>
    </w:p>
    <w:p>
      <w:pPr>
        <w:keepNext w:val="0"/>
        <w:keepLines w:val="0"/>
        <w:pageBreakBefore w:val="0"/>
        <w:kinsoku/>
        <w:wordWrap/>
        <w:overflowPunct/>
        <w:topLinePunct w:val="0"/>
        <w:autoSpaceDE/>
        <w:autoSpaceDN/>
        <w:bidi w:val="0"/>
        <w:adjustRightInd/>
        <w:snapToGrid/>
        <w:spacing w:line="520"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为贯彻落实《江苏省优化营商环境条例》、《关于进一步规范行政审批中介服务的通知》（苏协调办〔2020〕6号）及</w:t>
      </w:r>
      <w:r>
        <w:rPr>
          <w:rFonts w:hint="eastAsia" w:ascii="仿宋_GB2312" w:hAnsi="仿宋_GB2312" w:eastAsia="仿宋_GB2312" w:cs="仿宋_GB2312"/>
          <w:color w:val="000000"/>
          <w:kern w:val="0"/>
          <w:sz w:val="32"/>
          <w:szCs w:val="32"/>
          <w:shd w:val="clear" w:color="auto" w:fill="FFFFFF"/>
        </w:rPr>
        <w:t>《市委办公室市政府办公室关于加强行政审批中介服务机构监督管理工作的意见》（海办〔2023〕21号）</w:t>
      </w:r>
      <w:r>
        <w:rPr>
          <w:rFonts w:hint="eastAsia" w:ascii="仿宋_GB2312" w:hAnsi="仿宋_GB2312" w:eastAsia="仿宋_GB2312" w:cs="仿宋_GB2312"/>
          <w:sz w:val="32"/>
          <w:szCs w:val="32"/>
        </w:rPr>
        <w:t>等文件精神，推进中介服务提质增效，保障行政审批中介网上超市高效有序运行，制定本规则。</w:t>
      </w:r>
    </w:p>
    <w:p>
      <w:pPr>
        <w:keepNext w:val="0"/>
        <w:keepLines w:val="0"/>
        <w:pageBreakBefore w:val="0"/>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本规则所称行政审批中介网上超市，是指依托江苏省政务服务网建立的，为涉审中介项目业主和中介机构免费提供选取和承接中介服务的网上综合信息平台（以下简称“平台”）。</w:t>
      </w:r>
    </w:p>
    <w:p>
      <w:pPr>
        <w:keepNext w:val="0"/>
        <w:keepLines w:val="0"/>
        <w:pageBreakBefore w:val="0"/>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333333"/>
          <w:sz w:val="32"/>
          <w:szCs w:val="32"/>
        </w:rPr>
        <w:t>本规则所称中介服务，是指海安市公布的</w:t>
      </w:r>
      <w:r>
        <w:rPr>
          <w:rFonts w:hint="eastAsia" w:ascii="仿宋_GB2312" w:hAnsi="仿宋_GB2312" w:eastAsia="仿宋_GB2312" w:cs="仿宋_GB2312"/>
          <w:kern w:val="0"/>
          <w:sz w:val="32"/>
          <w:szCs w:val="32"/>
        </w:rPr>
        <w:t>涉审中介服务事项清单（以下简称“清单”）范围内的中介服务，包括各类技术审查、论证、设计、评估、评价、勘察(测)、检测(验)、鉴证（定）、咨询等。</w:t>
      </w:r>
    </w:p>
    <w:p>
      <w:pPr>
        <w:keepNext w:val="0"/>
        <w:keepLines w:val="0"/>
        <w:pageBreakBefore w:val="0"/>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本规则所称项目业主，是指购买中介服务的各级国家机关、事业单位、社会组织和企业。</w:t>
      </w:r>
    </w:p>
    <w:p>
      <w:pPr>
        <w:keepNext w:val="0"/>
        <w:keepLines w:val="0"/>
        <w:pageBreakBefore w:val="0"/>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第三条 </w:t>
      </w:r>
      <w:r>
        <w:rPr>
          <w:rFonts w:hint="eastAsia" w:ascii="仿宋_GB2312" w:hAnsi="仿宋_GB2312" w:eastAsia="仿宋_GB2312" w:cs="仿宋_GB2312"/>
          <w:kern w:val="0"/>
          <w:sz w:val="32"/>
          <w:szCs w:val="32"/>
        </w:rPr>
        <w:t>平台</w:t>
      </w:r>
      <w:r>
        <w:rPr>
          <w:rFonts w:hint="eastAsia" w:ascii="仿宋_GB2312" w:hAnsi="仿宋_GB2312" w:eastAsia="仿宋_GB2312" w:cs="仿宋_GB2312"/>
          <w:sz w:val="32"/>
          <w:szCs w:val="32"/>
        </w:rPr>
        <w:t>由南通</w:t>
      </w:r>
      <w:r>
        <w:rPr>
          <w:rFonts w:hint="eastAsia" w:ascii="仿宋_GB2312" w:hAnsi="仿宋_GB2312" w:eastAsia="仿宋_GB2312" w:cs="仿宋_GB2312"/>
          <w:kern w:val="0"/>
          <w:sz w:val="32"/>
          <w:szCs w:val="32"/>
        </w:rPr>
        <w:t>市级统筹建设，海安市负责本级运营维护，不再单独建设功能相同或相近的平台。</w:t>
      </w:r>
    </w:p>
    <w:p>
      <w:pPr>
        <w:keepNext w:val="0"/>
        <w:keepLines w:val="0"/>
        <w:pageBreakBefore w:val="0"/>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auto"/>
          <w:kern w:val="0"/>
          <w:sz w:val="32"/>
          <w:szCs w:val="32"/>
        </w:rPr>
        <w:t>项目业主使用财政性资金采购中介服务事项清单内的项目</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在依法依规完成采购后，</w:t>
      </w:r>
      <w:r>
        <w:rPr>
          <w:rFonts w:hint="eastAsia" w:ascii="仿宋_GB2312" w:hAnsi="仿宋_GB2312" w:eastAsia="仿宋_GB2312" w:cs="仿宋_GB2312"/>
          <w:kern w:val="0"/>
          <w:sz w:val="32"/>
          <w:szCs w:val="32"/>
        </w:rPr>
        <w:t>必须</w:t>
      </w:r>
      <w:r>
        <w:rPr>
          <w:rFonts w:hint="eastAsia" w:ascii="仿宋_GB2312" w:hAnsi="仿宋_GB2312" w:eastAsia="仿宋_GB2312" w:cs="仿宋_GB2312"/>
          <w:bCs/>
          <w:color w:val="000000" w:themeColor="text1"/>
          <w:kern w:val="0"/>
          <w:sz w:val="32"/>
          <w:szCs w:val="32"/>
          <w:lang w:val="en-US" w:eastAsia="zh-CN"/>
        </w:rPr>
        <w:t>在中介网上超市履行相关备案程序（采用“直接选取”的方式录入采购结果）并进行在线评价</w:t>
      </w:r>
      <w:r>
        <w:rPr>
          <w:rFonts w:hint="eastAsia" w:ascii="仿宋_GB2312" w:hAnsi="仿宋_GB2312" w:eastAsia="仿宋_GB2312" w:cs="仿宋_GB2312"/>
          <w:kern w:val="0"/>
          <w:sz w:val="32"/>
          <w:szCs w:val="32"/>
        </w:rPr>
        <w:t xml:space="preserve">，法律法规另有规定的除外。鼓励使用非财政性资金的项目业主，通过中介网上超市自主采购中介服务。 </w:t>
      </w:r>
    </w:p>
    <w:p>
      <w:pPr>
        <w:keepNext w:val="0"/>
        <w:keepLines w:val="0"/>
        <w:pageBreakBefore w:val="0"/>
        <w:widowControl/>
        <w:kinsoku/>
        <w:wordWrap/>
        <w:overflowPunct/>
        <w:topLinePunct w:val="0"/>
        <w:autoSpaceDE/>
        <w:autoSpaceDN/>
        <w:bidi w:val="0"/>
        <w:adjustRightInd/>
        <w:snapToGrid/>
        <w:spacing w:line="520" w:lineRule="exact"/>
        <w:ind w:firstLine="643"/>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20" w:lineRule="exact"/>
        <w:jc w:val="center"/>
        <w:rPr>
          <w:rFonts w:ascii="黑体" w:hAnsi="黑体" w:eastAsia="黑体" w:cs="黑体"/>
          <w:sz w:val="32"/>
          <w:szCs w:val="32"/>
        </w:rPr>
      </w:pPr>
      <w:r>
        <w:rPr>
          <w:rFonts w:hint="eastAsia" w:ascii="黑体" w:hAnsi="黑体" w:eastAsia="黑体" w:cs="黑体"/>
          <w:sz w:val="32"/>
          <w:szCs w:val="32"/>
        </w:rPr>
        <w:t>第二章  运行管理</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第五条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kern w:val="0"/>
          <w:sz w:val="32"/>
          <w:szCs w:val="32"/>
        </w:rPr>
        <w:t xml:space="preserve">海安市政务服务管理办公室（行政审批局）是平台主管部门，负责统筹协调平台建设管理工作，制定平台运行管理相关制度；负责进驻平台中介机构信息及平台发布信息的形式审查。 </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第六条</w:t>
      </w:r>
      <w:r>
        <w:rPr>
          <w:rFonts w:hint="eastAsia" w:ascii="仿宋_GB2312" w:hAnsi="仿宋_GB2312" w:eastAsia="仿宋_GB2312" w:cs="仿宋_GB2312"/>
          <w:kern w:val="0"/>
          <w:sz w:val="32"/>
          <w:szCs w:val="32"/>
        </w:rPr>
        <w:t xml:space="preserve"> 各审批部门在引用中介服务成果的同时，组织实施业务范围内中介服务成果及机构的评价工作。</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第七条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 xml:space="preserve">信用管理部门通过信用平台将中介服务机构信用数据推送至平台，并依托公共信用信息管理系统为平台提供公共信用信息查询服务。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代办帮办机构、代建单位以及项目推进服务机构应在项目靠前服务过程中，积极指导业主单位“第一时间”进驻平台，在线选取中介服务机构。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b/>
          <w:color w:val="333333"/>
          <w:sz w:val="32"/>
          <w:szCs w:val="32"/>
        </w:rPr>
        <w:t xml:space="preserve">第九条 </w:t>
      </w:r>
      <w:r>
        <w:rPr>
          <w:rFonts w:hint="eastAsia" w:ascii="仿宋_GB2312" w:hAnsi="仿宋_GB2312" w:eastAsia="仿宋_GB2312" w:cs="仿宋_GB2312"/>
          <w:color w:val="333333"/>
          <w:sz w:val="32"/>
          <w:szCs w:val="32"/>
        </w:rPr>
        <w:t>在平台开展业务的中介机构、项目业主发布信息须遵守《计算机信息网络国际联网安全保护管理办法》相关规定，且对各自在平台发布信息</w:t>
      </w:r>
      <w:r>
        <w:rPr>
          <w:rFonts w:hint="eastAsia" w:ascii="仿宋_GB2312" w:hAnsi="仿宋_GB2312" w:eastAsia="仿宋_GB2312" w:cs="仿宋_GB2312"/>
          <w:sz w:val="32"/>
          <w:szCs w:val="32"/>
        </w:rPr>
        <w:t>和提供材料的真实性、完整性、准确性和合法性负责。</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b/>
          <w:color w:val="000000" w:themeColor="text1"/>
          <w:sz w:val="32"/>
          <w:szCs w:val="32"/>
        </w:rPr>
        <w:t>第十条</w:t>
      </w:r>
      <w:r>
        <w:rPr>
          <w:rFonts w:hint="eastAsia" w:ascii="仿宋_GB2312" w:hAnsi="仿宋_GB2312" w:eastAsia="仿宋_GB2312" w:cs="仿宋_GB2312"/>
          <w:b/>
          <w:color w:val="000000" w:themeColor="text1"/>
          <w:sz w:val="32"/>
          <w:szCs w:val="32"/>
          <w:lang w:val="en-US" w:eastAsia="zh-CN"/>
        </w:rPr>
        <w:t xml:space="preserve"> </w:t>
      </w:r>
      <w:r>
        <w:rPr>
          <w:rFonts w:hint="eastAsia" w:ascii="仿宋_GB2312" w:hAnsi="仿宋_GB2312" w:eastAsia="仿宋_GB2312" w:cs="仿宋_GB2312"/>
          <w:color w:val="333333"/>
          <w:sz w:val="32"/>
          <w:szCs w:val="32"/>
        </w:rPr>
        <w:t>中介机构、项目业主按照市场交易规则自主</w:t>
      </w:r>
      <w:r>
        <w:rPr>
          <w:rFonts w:hint="eastAsia" w:ascii="仿宋_GB2312" w:hAnsi="仿宋_GB2312" w:eastAsia="仿宋_GB2312" w:cs="仿宋_GB2312"/>
          <w:color w:val="000000" w:themeColor="text1"/>
          <w:sz w:val="32"/>
          <w:szCs w:val="32"/>
        </w:rPr>
        <w:t>开展业务，由此引起的交易纠纷，由双方按照市场交易规则或法律等途径解决。</w:t>
      </w:r>
    </w:p>
    <w:p>
      <w:pPr>
        <w:keepNext w:val="0"/>
        <w:keepLines w:val="0"/>
        <w:pageBreakBefore w:val="0"/>
        <w:widowControl/>
        <w:kinsoku/>
        <w:wordWrap/>
        <w:overflowPunct/>
        <w:topLinePunct w:val="0"/>
        <w:autoSpaceDE/>
        <w:autoSpaceDN/>
        <w:bidi w:val="0"/>
        <w:adjustRightInd/>
        <w:snapToGrid/>
        <w:spacing w:line="520" w:lineRule="exact"/>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520" w:lineRule="exact"/>
        <w:jc w:val="center"/>
        <w:rPr>
          <w:rFonts w:ascii="黑体" w:hAnsi="黑体" w:eastAsia="黑体" w:cs="黑体"/>
          <w:sz w:val="32"/>
          <w:szCs w:val="32"/>
        </w:rPr>
      </w:pPr>
      <w:r>
        <w:rPr>
          <w:rFonts w:hint="eastAsia" w:ascii="黑体" w:hAnsi="黑体" w:eastAsia="黑体" w:cs="黑体"/>
          <w:sz w:val="32"/>
          <w:szCs w:val="32"/>
        </w:rPr>
        <w:t>第三章 中介机构入驻</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第十一条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平台面向中介机构“零门槛、零限制”开放，凡能承担清单内中介服务事项的中介机构（包括企业、事业单位、社会组织等），均可自愿申请入驻平台。涉及行业主管部门备案的中介服务事项，机构在进驻平台前需按规定履行相关手续。</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第十二条</w:t>
      </w:r>
      <w:r>
        <w:rPr>
          <w:rFonts w:hint="eastAsia" w:ascii="仿宋_GB2312" w:hAnsi="仿宋_GB2312" w:eastAsia="仿宋_GB2312" w:cs="仿宋_GB2312"/>
          <w:kern w:val="0"/>
          <w:sz w:val="32"/>
          <w:szCs w:val="32"/>
        </w:rPr>
        <w:t xml:space="preserve"> 入驻平台的中介服务机构应能承担清单内的中介服务事项，应具备相应中介服务事项所要求的资质和资格条件或者相应能力要求，且具备独立完成中介服务的能力。</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第十三条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 xml:space="preserve">中介机构自行在江苏政务服务网注册法人账号，登录海安市政务服务旗舰店中介超市平台，如实填报资质、人员等中介服务基本信息，按要求上传有关要件，并对照中介服务行业相关规定，对具备执业资质或能力，诚信服务作出承诺，自动完成入驻。 </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第十四条 </w:t>
      </w:r>
      <w:r>
        <w:rPr>
          <w:rFonts w:hint="eastAsia" w:ascii="仿宋_GB2312" w:hAnsi="仿宋_GB2312" w:eastAsia="仿宋_GB2312" w:cs="仿宋_GB2312"/>
          <w:kern w:val="0"/>
          <w:sz w:val="32"/>
          <w:szCs w:val="32"/>
        </w:rPr>
        <w:t>已入驻中介机构应根据机构运营情况即时更新平台机构信息，如实上传有关要件，自主完成信息更新。</w:t>
      </w:r>
    </w:p>
    <w:p>
      <w:pPr>
        <w:keepNext w:val="0"/>
        <w:keepLines w:val="0"/>
        <w:pageBreakBefore w:val="0"/>
        <w:widowControl/>
        <w:kinsoku/>
        <w:wordWrap/>
        <w:overflowPunct/>
        <w:topLinePunct w:val="0"/>
        <w:autoSpaceDE/>
        <w:autoSpaceDN/>
        <w:bidi w:val="0"/>
        <w:adjustRightInd/>
        <w:snapToGrid/>
        <w:spacing w:line="520" w:lineRule="exact"/>
        <w:rPr>
          <w:rFonts w:ascii="仿宋_GB2312" w:hAnsi="仿宋_GB2312" w:eastAsia="仿宋_GB2312" w:cs="仿宋_GB2312"/>
          <w:kern w:val="0"/>
          <w:sz w:val="32"/>
          <w:szCs w:val="32"/>
        </w:rPr>
      </w:pPr>
    </w:p>
    <w:p>
      <w:pPr>
        <w:keepNext w:val="0"/>
        <w:keepLines w:val="0"/>
        <w:pageBreakBefore w:val="0"/>
        <w:numPr>
          <w:ilvl w:val="0"/>
          <w:numId w:val="1"/>
        </w:numPr>
        <w:kinsoku/>
        <w:wordWrap/>
        <w:overflowPunct/>
        <w:topLinePunct w:val="0"/>
        <w:autoSpaceDE/>
        <w:autoSpaceDN/>
        <w:bidi w:val="0"/>
        <w:adjustRightInd/>
        <w:snapToGrid/>
        <w:spacing w:line="520" w:lineRule="exact"/>
        <w:jc w:val="center"/>
        <w:rPr>
          <w:rFonts w:ascii="黑体" w:hAnsi="黑体" w:eastAsia="黑体" w:cs="黑体"/>
          <w:sz w:val="32"/>
          <w:szCs w:val="32"/>
        </w:rPr>
      </w:pPr>
      <w:r>
        <w:rPr>
          <w:rFonts w:hint="eastAsia" w:ascii="黑体" w:hAnsi="黑体" w:eastAsia="黑体" w:cs="黑体"/>
          <w:sz w:val="32"/>
          <w:szCs w:val="32"/>
        </w:rPr>
        <w:t>中介服务需求发布</w:t>
      </w:r>
    </w:p>
    <w:p>
      <w:pPr>
        <w:keepNext w:val="0"/>
        <w:keepLines w:val="0"/>
        <w:pageBreakBefore w:val="0"/>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第十五条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Cs/>
          <w:kern w:val="0"/>
          <w:sz w:val="32"/>
          <w:szCs w:val="32"/>
        </w:rPr>
        <w:t>项目业主通过平台采购中介服务，原则上实行“一事一选”。</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第十六条 </w:t>
      </w:r>
      <w:r>
        <w:rPr>
          <w:rFonts w:hint="eastAsia" w:ascii="仿宋_GB2312" w:hAnsi="仿宋_GB2312" w:eastAsia="仿宋_GB2312" w:cs="仿宋_GB2312"/>
          <w:kern w:val="0"/>
          <w:sz w:val="32"/>
          <w:szCs w:val="32"/>
        </w:rPr>
        <w:t>项目业主通过平台填报和提交采购中介服务需求公告，公告可包括以下内容：</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（一）单位名称；</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（二）服务项目名称、内容、时限及预算资金、资金来源；</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（三）服务标的基本情况。涉及工程建设项目的，应当包含项目名称、建设地址、投资规模、项目建设内容等信息；</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（四）中介服务机构资质要求。包含资质的类别、专业、行业、服务范围、等级等内容；</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（五）公开选取中介机构的方式；</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（六）报名截止时间、公开选取时间；</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（七）采购方联系人及联系电话；</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（八）应回避的情形。</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第十七条 </w:t>
      </w:r>
      <w:r>
        <w:rPr>
          <w:rFonts w:hint="eastAsia" w:ascii="仿宋_GB2312" w:hAnsi="仿宋_GB2312" w:eastAsia="仿宋_GB2312" w:cs="仿宋_GB2312"/>
          <w:bCs/>
          <w:kern w:val="0"/>
          <w:sz w:val="32"/>
          <w:szCs w:val="32"/>
        </w:rPr>
        <w:t>平台根据项目业主发布的公告信息自动匹配，推送至符合条件的中介服务机构。需求公告自发布至报名截止时间由项目业主单位自行设置。</w:t>
      </w:r>
    </w:p>
    <w:p>
      <w:pPr>
        <w:keepNext w:val="0"/>
        <w:keepLines w:val="0"/>
        <w:pageBreakBefore w:val="0"/>
        <w:widowControl/>
        <w:kinsoku/>
        <w:wordWrap/>
        <w:overflowPunct/>
        <w:topLinePunct w:val="0"/>
        <w:autoSpaceDE/>
        <w:autoSpaceDN/>
        <w:bidi w:val="0"/>
        <w:adjustRightInd/>
        <w:snapToGrid/>
        <w:spacing w:line="520" w:lineRule="exact"/>
        <w:rPr>
          <w:rFonts w:ascii="仿宋_GB2312" w:hAnsi="仿宋_GB2312" w:eastAsia="仿宋_GB2312" w:cs="仿宋_GB2312"/>
          <w:bCs/>
          <w:kern w:val="0"/>
          <w:sz w:val="32"/>
          <w:szCs w:val="32"/>
        </w:rPr>
      </w:pPr>
    </w:p>
    <w:p>
      <w:pPr>
        <w:keepNext w:val="0"/>
        <w:keepLines w:val="0"/>
        <w:pageBreakBefore w:val="0"/>
        <w:kinsoku/>
        <w:wordWrap/>
        <w:overflowPunct/>
        <w:topLinePunct w:val="0"/>
        <w:autoSpaceDE/>
        <w:autoSpaceDN/>
        <w:bidi w:val="0"/>
        <w:adjustRightInd/>
        <w:snapToGrid/>
        <w:spacing w:line="520" w:lineRule="exact"/>
        <w:jc w:val="center"/>
        <w:rPr>
          <w:rFonts w:ascii="黑体" w:hAnsi="黑体" w:eastAsia="黑体" w:cs="黑体"/>
          <w:sz w:val="32"/>
          <w:szCs w:val="32"/>
        </w:rPr>
      </w:pPr>
      <w:r>
        <w:rPr>
          <w:rFonts w:hint="eastAsia" w:ascii="黑体" w:hAnsi="黑体" w:eastAsia="黑体" w:cs="黑体"/>
          <w:sz w:val="32"/>
          <w:szCs w:val="32"/>
        </w:rPr>
        <w:t>第五章  中介机构报名及选取</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第十八条</w:t>
      </w:r>
      <w:r>
        <w:rPr>
          <w:rFonts w:hint="eastAsia" w:ascii="仿宋_GB2312" w:hAnsi="仿宋_GB2312" w:eastAsia="仿宋_GB2312" w:cs="仿宋_GB2312"/>
          <w:kern w:val="0"/>
          <w:sz w:val="32"/>
          <w:szCs w:val="32"/>
        </w:rPr>
        <w:t xml:space="preserve"> 需求公告信息通过平台对外发布后，有参选意向的中介机构可自行登录平台进行报名，并根据项目业主要求，填报有关报名信息，确定自身满足需求公告的全部报名条件且不存在需回避情形。</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第十九条 </w:t>
      </w:r>
      <w:r>
        <w:rPr>
          <w:rFonts w:hint="eastAsia" w:ascii="仿宋_GB2312" w:hAnsi="仿宋_GB2312" w:eastAsia="仿宋_GB2312" w:cs="仿宋_GB2312"/>
          <w:kern w:val="0"/>
          <w:sz w:val="32"/>
          <w:szCs w:val="32"/>
        </w:rPr>
        <w:t>平台提供“直接选取”、“随机选取”、“综合比选”、“公开竞价”等多种中介机构选取方式。项目业主自主决定选取方式或确定中介机构。</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第二十条 </w:t>
      </w:r>
      <w:r>
        <w:rPr>
          <w:rFonts w:hint="eastAsia" w:ascii="仿宋_GB2312" w:hAnsi="仿宋_GB2312" w:eastAsia="仿宋_GB2312" w:cs="仿宋_GB2312"/>
          <w:kern w:val="0"/>
          <w:sz w:val="32"/>
          <w:szCs w:val="32"/>
        </w:rPr>
        <w:t>直接选取是由项目业主发布中介服务需求和条件，直接在符合条件的机构中选取。</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第二十一条 </w:t>
      </w:r>
      <w:r>
        <w:rPr>
          <w:rFonts w:hint="eastAsia" w:ascii="仿宋_GB2312" w:hAnsi="仿宋_GB2312" w:eastAsia="仿宋_GB2312" w:cs="仿宋_GB2312"/>
          <w:kern w:val="0"/>
          <w:sz w:val="32"/>
          <w:szCs w:val="32"/>
        </w:rPr>
        <w:t>随机选取是由项目业主在平台众多符合条件的报名机构中，通过系统随机抽取方式确定中选机构。</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第二十二条 </w:t>
      </w:r>
      <w:r>
        <w:rPr>
          <w:rFonts w:hint="eastAsia" w:ascii="仿宋_GB2312" w:hAnsi="仿宋_GB2312" w:eastAsia="仿宋_GB2312" w:cs="仿宋_GB2312"/>
          <w:kern w:val="0"/>
          <w:sz w:val="32"/>
          <w:szCs w:val="32"/>
        </w:rPr>
        <w:t>综合比选是由项目业主设定比选条件、指标，中介机构自主报名，业主根据设定的指标对报名机构进行综合比选，并确定中选机构。</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第二十三条 </w:t>
      </w:r>
      <w:r>
        <w:rPr>
          <w:rFonts w:hint="eastAsia" w:ascii="仿宋_GB2312" w:hAnsi="仿宋_GB2312" w:eastAsia="仿宋_GB2312" w:cs="仿宋_GB2312"/>
          <w:bCs/>
          <w:kern w:val="0"/>
          <w:sz w:val="32"/>
          <w:szCs w:val="32"/>
        </w:rPr>
        <w:t>公开竞价是由项目业主按照不高于相关收费标准的原则，确定中介服务初始价格和最低限价，在符合条件且报名参与竞争的中介机构中，通过网上竞价的方式，确定中选机构。</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第二十四条 </w:t>
      </w:r>
      <w:r>
        <w:rPr>
          <w:rFonts w:hint="eastAsia" w:ascii="仿宋_GB2312" w:hAnsi="仿宋_GB2312" w:eastAsia="仿宋_GB2312" w:cs="仿宋_GB2312"/>
          <w:bCs/>
          <w:kern w:val="0"/>
          <w:sz w:val="32"/>
          <w:szCs w:val="32"/>
        </w:rPr>
        <w:t>选取结果产生后，项目业主应在1个工作日内予以确认，并</w:t>
      </w:r>
      <w:r>
        <w:rPr>
          <w:rFonts w:hint="eastAsia" w:ascii="仿宋_GB2312" w:hAnsi="仿宋_GB2312" w:eastAsia="仿宋_GB2312" w:cs="仿宋_GB2312"/>
          <w:kern w:val="0"/>
          <w:sz w:val="32"/>
          <w:szCs w:val="32"/>
        </w:rPr>
        <w:t>自行通过平台打印网上中介超市公开选取中选通知书。 </w:t>
      </w:r>
    </w:p>
    <w:p>
      <w:pPr>
        <w:keepNext w:val="0"/>
        <w:keepLines w:val="0"/>
        <w:pageBreakBefore w:val="0"/>
        <w:widowControl/>
        <w:kinsoku/>
        <w:wordWrap/>
        <w:overflowPunct/>
        <w:topLinePunct w:val="0"/>
        <w:autoSpaceDE/>
        <w:autoSpaceDN/>
        <w:bidi w:val="0"/>
        <w:adjustRightInd/>
        <w:snapToGrid/>
        <w:spacing w:line="520" w:lineRule="exact"/>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520" w:lineRule="exact"/>
        <w:jc w:val="center"/>
        <w:rPr>
          <w:rFonts w:ascii="黑体" w:hAnsi="黑体" w:eastAsia="黑体" w:cs="黑体"/>
          <w:sz w:val="32"/>
          <w:szCs w:val="32"/>
        </w:rPr>
      </w:pPr>
      <w:r>
        <w:rPr>
          <w:rFonts w:hint="eastAsia" w:ascii="黑体" w:hAnsi="黑体" w:eastAsia="黑体" w:cs="黑体"/>
          <w:sz w:val="32"/>
          <w:szCs w:val="32"/>
        </w:rPr>
        <w:t>第六章  服务合同信息登记</w:t>
      </w:r>
    </w:p>
    <w:p>
      <w:pPr>
        <w:keepNext w:val="0"/>
        <w:keepLines w:val="0"/>
        <w:pageBreakBefore w:val="0"/>
        <w:widowControl/>
        <w:kinsoku/>
        <w:wordWrap/>
        <w:overflowPunct/>
        <w:topLinePunct w:val="0"/>
        <w:autoSpaceDE/>
        <w:autoSpaceDN/>
        <w:bidi w:val="0"/>
        <w:adjustRightInd/>
        <w:snapToGrid/>
        <w:spacing w:line="520" w:lineRule="exact"/>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color w:val="000000" w:themeColor="text1"/>
          <w:kern w:val="0"/>
          <w:sz w:val="32"/>
          <w:szCs w:val="32"/>
        </w:rPr>
        <w:t>第二十五条</w:t>
      </w:r>
      <w:r>
        <w:rPr>
          <w:rFonts w:hint="eastAsia" w:ascii="仿宋_GB2312" w:hAnsi="仿宋_GB2312" w:eastAsia="仿宋_GB2312" w:cs="仿宋_GB2312"/>
          <w:b/>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项目业主与中选机构签订合同之前，双方应当对各自条件进行实质性核对。</w:t>
      </w:r>
    </w:p>
    <w:p>
      <w:pPr>
        <w:keepNext w:val="0"/>
        <w:keepLines w:val="0"/>
        <w:pageBreakBefore w:val="0"/>
        <w:widowControl/>
        <w:kinsoku/>
        <w:wordWrap/>
        <w:overflowPunct/>
        <w:topLinePunct w:val="0"/>
        <w:autoSpaceDE/>
        <w:autoSpaceDN/>
        <w:bidi w:val="0"/>
        <w:adjustRightInd/>
        <w:snapToGrid/>
        <w:spacing w:line="52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第二十六条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项目业主与中选机构应在确认</w:t>
      </w:r>
      <w:r>
        <w:rPr>
          <w:rFonts w:hint="eastAsia" w:ascii="仿宋_GB2312" w:hAnsi="仿宋_GB2312" w:eastAsia="仿宋_GB2312" w:cs="仿宋_GB2312"/>
          <w:bCs/>
          <w:kern w:val="0"/>
          <w:sz w:val="32"/>
          <w:szCs w:val="32"/>
        </w:rPr>
        <w:t>选取结果</w:t>
      </w:r>
      <w:r>
        <w:rPr>
          <w:rFonts w:hint="eastAsia" w:ascii="仿宋_GB2312" w:hAnsi="仿宋_GB2312" w:eastAsia="仿宋_GB2312" w:cs="仿宋_GB2312"/>
          <w:kern w:val="0"/>
          <w:sz w:val="32"/>
          <w:szCs w:val="32"/>
        </w:rPr>
        <w:t>，且实质核对无误后签订合同，并由业主在平台进行合同信息登记，相关信息计入平台机构业绩。</w:t>
      </w:r>
    </w:p>
    <w:p>
      <w:pPr>
        <w:keepNext w:val="0"/>
        <w:keepLines w:val="0"/>
        <w:pageBreakBefore w:val="0"/>
        <w:widowControl/>
        <w:kinsoku/>
        <w:wordWrap/>
        <w:overflowPunct/>
        <w:topLinePunct w:val="0"/>
        <w:autoSpaceDE/>
        <w:autoSpaceDN/>
        <w:bidi w:val="0"/>
        <w:adjustRightInd/>
        <w:snapToGrid/>
        <w:spacing w:line="520" w:lineRule="exact"/>
        <w:ind w:firstLine="645"/>
        <w:rPr>
          <w:rFonts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jc w:val="center"/>
        <w:rPr>
          <w:rFonts w:ascii="仿宋_GB2312" w:hAnsi="仿宋_GB2312" w:eastAsia="仿宋_GB2312" w:cs="仿宋_GB2312"/>
          <w:kern w:val="0"/>
          <w:sz w:val="32"/>
          <w:szCs w:val="32"/>
        </w:rPr>
      </w:pPr>
      <w:r>
        <w:rPr>
          <w:rFonts w:hint="eastAsia" w:ascii="黑体" w:hAnsi="黑体" w:eastAsia="黑体" w:cs="黑体"/>
          <w:sz w:val="32"/>
          <w:szCs w:val="32"/>
        </w:rPr>
        <w:t>第七章 服务评价</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第二十七条 </w:t>
      </w:r>
      <w:r>
        <w:rPr>
          <w:rFonts w:hint="eastAsia" w:ascii="仿宋_GB2312" w:hAnsi="仿宋_GB2312" w:eastAsia="仿宋_GB2312" w:cs="仿宋_GB2312"/>
          <w:kern w:val="0"/>
          <w:sz w:val="32"/>
          <w:szCs w:val="32"/>
        </w:rPr>
        <w:t>中介机构考评实行“一事一评”，考评结果实行动态管理。</w:t>
      </w:r>
      <w:r>
        <w:rPr>
          <w:rFonts w:hint="eastAsia" w:ascii="仿宋_GB2312" w:hAnsi="仿宋_GB2312" w:eastAsia="仿宋_GB2312" w:cs="仿宋_GB2312"/>
          <w:bCs/>
          <w:kern w:val="0"/>
          <w:sz w:val="32"/>
          <w:szCs w:val="32"/>
        </w:rPr>
        <w:t>进驻平台的中介服务机构初始均默认为0星级，后续通过综合评价对机构进行星级评定，综合评价主要包含行政审批部门和项目业主对中介服务及中介机构的评价（详见附件）。</w:t>
      </w:r>
      <w:r>
        <w:rPr>
          <w:rFonts w:hint="eastAsia" w:ascii="仿宋_GB2312" w:hAnsi="仿宋_GB2312" w:eastAsia="仿宋_GB2312" w:cs="仿宋_GB2312"/>
          <w:kern w:val="0"/>
          <w:sz w:val="32"/>
          <w:szCs w:val="32"/>
        </w:rPr>
        <w:t>中介服务累计平均评分折算为中介服务事项服务星级，中介服务事项平均评分折算为中介服务机构星级，即时评即时公布。</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
          <w:bCs/>
          <w:kern w:val="0"/>
          <w:sz w:val="32"/>
          <w:szCs w:val="32"/>
        </w:rPr>
        <w:t>第二十八条</w:t>
      </w:r>
      <w:r>
        <w:rPr>
          <w:rFonts w:hint="eastAsia" w:ascii="仿宋_GB2312" w:hAnsi="仿宋_GB2312" w:eastAsia="仿宋_GB2312" w:cs="仿宋_GB2312"/>
          <w:bCs/>
          <w:kern w:val="0"/>
          <w:sz w:val="32"/>
          <w:szCs w:val="32"/>
        </w:rPr>
        <w:t xml:space="preserve"> 当项目业主通过平台上传最终电子版中介服务成果至相应行政审批部门报审时，即触发对中介服务的评价，平台通过短信即时通知审批部门和项目业主，各自在3个工作日内分别通过平台评价系统或业务办理系统进行线上打分，即时反馈。其中业主单位在进行中介服务评价的同时，</w:t>
      </w:r>
      <w:r>
        <w:rPr>
          <w:rFonts w:hint="eastAsia" w:ascii="仿宋_GB2312" w:hAnsi="仿宋_GB2312" w:eastAsia="仿宋_GB2312" w:cs="仿宋_GB2312"/>
          <w:bCs/>
          <w:color w:val="000000" w:themeColor="text1"/>
          <w:kern w:val="0"/>
          <w:sz w:val="32"/>
          <w:szCs w:val="32"/>
        </w:rPr>
        <w:t>可在评价系统实事求是反馈中介服务实际开展期限和实际支付中介费用，评价结果计入中介机构库。</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b/>
          <w:color w:val="000000" w:themeColor="text1"/>
          <w:kern w:val="0"/>
          <w:sz w:val="32"/>
          <w:szCs w:val="32"/>
        </w:rPr>
      </w:pPr>
      <w:r>
        <w:rPr>
          <w:rFonts w:hint="eastAsia" w:ascii="仿宋_GB2312" w:hAnsi="仿宋_GB2312" w:eastAsia="仿宋_GB2312" w:cs="仿宋_GB2312"/>
          <w:b/>
          <w:color w:val="000000" w:themeColor="text1"/>
          <w:kern w:val="0"/>
          <w:sz w:val="32"/>
          <w:szCs w:val="32"/>
        </w:rPr>
        <w:t xml:space="preserve">第二十九条 </w:t>
      </w:r>
      <w:r>
        <w:rPr>
          <w:rFonts w:hint="eastAsia" w:ascii="仿宋_GB2312" w:hAnsi="仿宋_GB2312" w:eastAsia="仿宋_GB2312" w:cs="仿宋_GB2312"/>
          <w:bCs/>
          <w:color w:val="000000" w:themeColor="text1"/>
          <w:kern w:val="0"/>
          <w:sz w:val="32"/>
          <w:szCs w:val="32"/>
        </w:rPr>
        <w:t>线下选取中介机构的服务成果参照第二十八条进行在线评价，如机构或项目业主尚未在平台注册的，仍需先行注册登记，并共同配合履行平台相关程序。</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第三十条</w:t>
      </w:r>
      <w:r>
        <w:rPr>
          <w:rFonts w:hint="eastAsia" w:ascii="仿宋_GB2312" w:hAnsi="仿宋_GB2312" w:eastAsia="仿宋_GB2312" w:cs="仿宋_GB2312"/>
          <w:kern w:val="0"/>
          <w:sz w:val="32"/>
          <w:szCs w:val="32"/>
        </w:rPr>
        <w:t xml:space="preserve"> 中介服务成果上传日起3个工作日内，参评对象不评价且无投诉的，视为弃权，平台评价系统默认该项评价为满分。</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第三十一条 </w:t>
      </w:r>
      <w:r>
        <w:rPr>
          <w:rFonts w:hint="eastAsia" w:ascii="仿宋_GB2312" w:hAnsi="仿宋_GB2312" w:eastAsia="仿宋_GB2312" w:cs="仿宋_GB2312"/>
          <w:kern w:val="0"/>
          <w:sz w:val="32"/>
          <w:szCs w:val="32"/>
        </w:rPr>
        <w:t>中介服务机构对考评结果有异议的，可书面（需提供事实、理由和依据）向平台主管部门申辩，平台主管部门视情况组织相关部门进行复核。</w:t>
      </w:r>
    </w:p>
    <w:p>
      <w:pPr>
        <w:keepNext w:val="0"/>
        <w:keepLines w:val="0"/>
        <w:pageBreakBefore w:val="0"/>
        <w:widowControl/>
        <w:kinsoku/>
        <w:wordWrap/>
        <w:overflowPunct/>
        <w:topLinePunct w:val="0"/>
        <w:autoSpaceDE/>
        <w:autoSpaceDN/>
        <w:bidi w:val="0"/>
        <w:adjustRightInd/>
        <w:snapToGrid/>
        <w:spacing w:line="520" w:lineRule="exact"/>
        <w:rPr>
          <w:rFonts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jc w:val="center"/>
        <w:rPr>
          <w:rFonts w:ascii="黑体" w:hAnsi="黑体" w:eastAsia="黑体" w:cs="黑体"/>
          <w:sz w:val="32"/>
          <w:szCs w:val="32"/>
        </w:rPr>
      </w:pPr>
      <w:r>
        <w:rPr>
          <w:rFonts w:hint="eastAsia" w:ascii="黑体" w:hAnsi="黑体" w:eastAsia="黑体" w:cs="黑体"/>
          <w:sz w:val="32"/>
          <w:szCs w:val="32"/>
        </w:rPr>
        <w:t>第八章  评价结果应用</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第三十二条 </w:t>
      </w:r>
      <w:r>
        <w:rPr>
          <w:rFonts w:hint="eastAsia" w:ascii="仿宋_GB2312" w:hAnsi="仿宋_GB2312" w:eastAsia="仿宋_GB2312" w:cs="仿宋_GB2312"/>
          <w:kern w:val="0"/>
          <w:sz w:val="32"/>
          <w:szCs w:val="32"/>
        </w:rPr>
        <w:t>机构库中介机构依据评分划定为5个等级。五星级评价分数为91-100分；四星级评价分数为81-90分；三星级评价分数为71-80分；二星级评价分数为61-70分；一星级评价分数为60分（含）以下。</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在平台开展过业务的中介机构，三星以上（含三星）列入正常管理。二星级以下（含二星）由行业主管部门实施重点监管，跟踪检查存在问题的整改情况，并在参与政府投资工程建设项目时从严把关。 </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第三十三条</w:t>
      </w:r>
      <w:r>
        <w:rPr>
          <w:rFonts w:hint="eastAsia" w:ascii="仿宋_GB2312" w:hAnsi="仿宋_GB2312" w:eastAsia="仿宋_GB2312" w:cs="仿宋_GB2312"/>
          <w:bCs/>
          <w:kern w:val="0"/>
          <w:sz w:val="32"/>
          <w:szCs w:val="32"/>
        </w:rPr>
        <w:t xml:space="preserve"> 依</w:t>
      </w:r>
      <w:r>
        <w:rPr>
          <w:rFonts w:hint="eastAsia" w:ascii="仿宋_GB2312" w:hAnsi="仿宋_GB2312" w:eastAsia="仿宋_GB2312" w:cs="仿宋_GB2312"/>
          <w:kern w:val="0"/>
          <w:sz w:val="32"/>
          <w:szCs w:val="32"/>
        </w:rPr>
        <w:t>据评分</w:t>
      </w:r>
      <w:r>
        <w:rPr>
          <w:rFonts w:hint="eastAsia" w:ascii="仿宋_GB2312" w:hAnsi="仿宋_GB2312" w:eastAsia="仿宋_GB2312" w:cs="仿宋_GB2312"/>
          <w:bCs/>
          <w:kern w:val="0"/>
          <w:sz w:val="32"/>
          <w:szCs w:val="32"/>
        </w:rPr>
        <w:t>结果对中介机构在中介超市的执业行为实行鼓励、提醒、函告、限制等奖励约束机制。</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（一）鼓励。对年度星级评定高的中介机构通过下列方式予以鼓励。</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1.通过新闻媒体、政务服务公众号等向社会公示表扬；</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2.鼓励项目业主优先选取星级评定高的中介机构；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3.推荐参加各类评优评先活动。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（二）提醒。年度评价排名靠后的中介机构，由市政务服务管理办公室查明扣分因素，提醒机构负责人，并做好提醒记录。</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（三）函告。中介机构存在下列行为之一的，由市政务服务管理办公室书面函告行业主管部门，由行业主管部门督促中介机构限期改正。</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1.由于中介机构原因导致服务期限超出合同约定时限，影响项目审批进度；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2.出具中介服务成果被相关行政审批部门认定不合格；</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3.未按合同履行职责被项目业主投诉并经查属实；</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4.以其他中介机构名义或允许其他中介机构以自身名义承揽业务；</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5.认为需要函告的其他情况。</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（四）限制。以公历1年为计算周期，中介机构具有下列行为之一的，从行为认定次月开始限制其在中介超市报价3个月。</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1.无故放弃中选结果（除不可抗力因素外）；</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2.在执业过程中存在违法发包、转包等行为；</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3.无故不参加提醒谈话2次；</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4.一个年度内被函告累计2次（含）以上；</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5.恶意竞价，中选后发现资质资格不符合要求；</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6.认为需要限制的其他情形。</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第三十四条</w:t>
      </w:r>
      <w:r>
        <w:rPr>
          <w:rFonts w:hint="eastAsia" w:ascii="仿宋_GB2312" w:hAnsi="仿宋_GB2312" w:eastAsia="仿宋_GB2312" w:cs="仿宋_GB2312"/>
          <w:bCs/>
          <w:kern w:val="0"/>
          <w:sz w:val="32"/>
          <w:szCs w:val="32"/>
        </w:rPr>
        <w:t xml:space="preserve"> 中介机构存在以下行为之一的，实行“一票否决”，从中介超市清退，自清退之日起3年内不得重新申请加入。</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（一）中介机构报备从业人员名单外的人员从事该中介机构经营业务，或中介机构瞒报从业人员与公职人员存在父母、配偶、子女及其配偶亲属关系情况的；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（二）严重违反执业规定和执业行为，被相关职能部门列入“黑名单”；</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（三）因服务质量差，造成3次及以上未通过相关行政审批部门审查或评审，严重影响项目审批进度；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（四）企业群众反映其不正当经营行为情节恶劣且经查实；</w:t>
      </w: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（五）连续2年星级评定在三星（不含三星）以下。</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第三十五条 </w:t>
      </w:r>
      <w:r>
        <w:rPr>
          <w:rFonts w:hint="eastAsia" w:ascii="仿宋_GB2312" w:hAnsi="仿宋_GB2312" w:eastAsia="仿宋_GB2312" w:cs="仿宋_GB2312"/>
          <w:kern w:val="0"/>
          <w:sz w:val="32"/>
          <w:szCs w:val="32"/>
        </w:rPr>
        <w:t>评价结果用于平台主管部门统计分析，为项目业主选取机构提供实时参考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同时纳入社会信用管理平台实施信用管理。行业主管部门可参照平台评价结果和社会信用情况，对中介服务资质证书进行年检或换证审核。</w:t>
      </w:r>
    </w:p>
    <w:p>
      <w:pPr>
        <w:keepNext w:val="0"/>
        <w:keepLines w:val="0"/>
        <w:pageBreakBefore w:val="0"/>
        <w:widowControl/>
        <w:kinsoku/>
        <w:wordWrap/>
        <w:overflowPunct/>
        <w:topLinePunct w:val="0"/>
        <w:autoSpaceDE/>
        <w:autoSpaceDN/>
        <w:bidi w:val="0"/>
        <w:adjustRightInd/>
        <w:snapToGrid/>
        <w:spacing w:line="520" w:lineRule="exact"/>
        <w:ind w:firstLine="643"/>
        <w:rPr>
          <w:rFonts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jc w:val="center"/>
        <w:rPr>
          <w:rFonts w:ascii="仿宋_GB2312" w:hAnsi="仿宋_GB2312" w:eastAsia="仿宋_GB2312" w:cs="仿宋_GB2312"/>
          <w:b/>
          <w:bCs/>
          <w:kern w:val="0"/>
          <w:sz w:val="32"/>
          <w:szCs w:val="32"/>
        </w:rPr>
      </w:pPr>
      <w:r>
        <w:rPr>
          <w:rFonts w:hint="eastAsia" w:ascii="黑体" w:hAnsi="黑体" w:eastAsia="黑体" w:cs="黑体"/>
          <w:sz w:val="32"/>
          <w:szCs w:val="32"/>
        </w:rPr>
        <w:t>第九章  附则</w:t>
      </w:r>
    </w:p>
    <w:p>
      <w:pPr>
        <w:keepNext w:val="0"/>
        <w:keepLines w:val="0"/>
        <w:pageBreakBefore w:val="0"/>
        <w:widowControl/>
        <w:kinsoku/>
        <w:wordWrap/>
        <w:overflowPunct/>
        <w:topLinePunct w:val="0"/>
        <w:autoSpaceDE/>
        <w:autoSpaceDN/>
        <w:bidi w:val="0"/>
        <w:adjustRightInd/>
        <w:snapToGrid/>
        <w:spacing w:line="520" w:lineRule="exact"/>
        <w:ind w:firstLine="643"/>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val="en-US" w:eastAsia="zh-CN"/>
        </w:rPr>
        <w:t>六</w:t>
      </w:r>
      <w:r>
        <w:rPr>
          <w:rFonts w:hint="eastAsia" w:ascii="仿宋_GB2312" w:hAnsi="仿宋_GB2312" w:eastAsia="仿宋_GB2312" w:cs="仿宋_GB2312"/>
          <w:b/>
          <w:kern w:val="0"/>
          <w:sz w:val="32"/>
          <w:szCs w:val="32"/>
        </w:rPr>
        <w:t xml:space="preserve">条 </w:t>
      </w:r>
      <w:r>
        <w:rPr>
          <w:rFonts w:hint="eastAsia" w:ascii="仿宋_GB2312" w:hAnsi="仿宋_GB2312" w:eastAsia="仿宋_GB2312" w:cs="仿宋_GB2312"/>
          <w:kern w:val="0"/>
          <w:sz w:val="32"/>
          <w:szCs w:val="32"/>
        </w:rPr>
        <w:t>本规则在实施过程中，法律、法规、规章、和上级人民政府另有规定的，从其规定。</w:t>
      </w:r>
    </w:p>
    <w:p>
      <w:pPr>
        <w:keepNext w:val="0"/>
        <w:keepLines w:val="0"/>
        <w:pageBreakBefore w:val="0"/>
        <w:widowControl/>
        <w:kinsoku/>
        <w:wordWrap/>
        <w:overflowPunct/>
        <w:topLinePunct w:val="0"/>
        <w:autoSpaceDE/>
        <w:autoSpaceDN/>
        <w:bidi w:val="0"/>
        <w:adjustRightInd/>
        <w:snapToGrid/>
        <w:spacing w:line="520" w:lineRule="exact"/>
        <w:ind w:firstLine="630" w:firstLineChars="196"/>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val="en-US" w:eastAsia="zh-CN"/>
        </w:rPr>
        <w:t>七</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sz w:val="32"/>
          <w:szCs w:val="32"/>
        </w:rPr>
        <w:t xml:space="preserve"> 中介执业行为规范和标准由行业主管部门另行制定。</w:t>
      </w:r>
    </w:p>
    <w:p>
      <w:pPr>
        <w:keepNext w:val="0"/>
        <w:keepLines w:val="0"/>
        <w:pageBreakBefore w:val="0"/>
        <w:widowControl/>
        <w:kinsoku/>
        <w:wordWrap/>
        <w:overflowPunct/>
        <w:topLinePunct w:val="0"/>
        <w:autoSpaceDE/>
        <w:autoSpaceDN/>
        <w:bidi w:val="0"/>
        <w:adjustRightInd/>
        <w:snapToGrid/>
        <w:spacing w:line="52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rPr>
        <w:t>第三十</w:t>
      </w:r>
      <w:r>
        <w:rPr>
          <w:rFonts w:hint="eastAsia" w:ascii="仿宋_GB2312" w:hAnsi="仿宋_GB2312" w:eastAsia="仿宋_GB2312" w:cs="仿宋_GB2312"/>
          <w:b/>
          <w:kern w:val="0"/>
          <w:sz w:val="32"/>
          <w:szCs w:val="32"/>
          <w:lang w:val="en-US" w:eastAsia="zh-CN"/>
        </w:rPr>
        <w:t>八</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kern w:val="0"/>
          <w:sz w:val="32"/>
          <w:szCs w:val="32"/>
          <w:lang w:val="en-US" w:eastAsia="zh-CN"/>
        </w:rPr>
        <w:t>本规则自发文之日起施行。</w:t>
      </w:r>
      <w:bookmarkStart w:id="0" w:name="_GoBack"/>
      <w:bookmarkEnd w:id="0"/>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kern w:val="0"/>
          <w:sz w:val="32"/>
          <w:szCs w:val="32"/>
        </w:rPr>
        <w:t>海安市行政审批中介服务评价标准</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firstLine="640" w:firstLineChars="200"/>
        <w:rPr>
          <w:rFonts w:ascii="仿宋_GB2312" w:hAnsi="仿宋_GB2312" w:eastAsia="仿宋_GB2312" w:cs="仿宋_GB2312"/>
          <w:color w:val="000000"/>
          <w:kern w:val="0"/>
          <w:sz w:val="32"/>
          <w:szCs w:val="32"/>
        </w:rPr>
      </w:pPr>
    </w:p>
    <w:p>
      <w:pPr>
        <w:tabs>
          <w:tab w:val="left" w:pos="7350"/>
        </w:tabs>
        <w:autoSpaceDE w:val="0"/>
        <w:autoSpaceDN w:val="0"/>
        <w:adjustRightInd w:val="0"/>
        <w:snapToGrid w:val="0"/>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80" w:lineRule="exact"/>
        <w:ind w:firstLine="1440" w:firstLineChars="450"/>
        <w:rPr>
          <w:rFonts w:ascii="仿宋_GB2312" w:hAnsi="仿宋_GB2312" w:eastAsia="仿宋_GB2312" w:cs="仿宋_GB2312"/>
          <w:sz w:val="32"/>
          <w:szCs w:val="32"/>
        </w:rPr>
      </w:pPr>
    </w:p>
    <w:p>
      <w:pPr>
        <w:widowControl/>
        <w:spacing w:line="580" w:lineRule="exact"/>
        <w:ind w:firstLine="1440" w:firstLineChars="450"/>
        <w:rPr>
          <w:rFonts w:ascii="仿宋_GB2312" w:hAnsi="仿宋_GB2312" w:eastAsia="仿宋_GB2312" w:cs="仿宋_GB2312"/>
          <w:sz w:val="32"/>
          <w:szCs w:val="32"/>
        </w:rPr>
      </w:pPr>
    </w:p>
    <w:p>
      <w:pPr>
        <w:widowControl/>
        <w:spacing w:line="580" w:lineRule="exact"/>
        <w:ind w:firstLine="1440" w:firstLineChars="450"/>
        <w:rPr>
          <w:rFonts w:ascii="仿宋_GB2312" w:hAnsi="仿宋_GB2312" w:eastAsia="仿宋_GB2312" w:cs="仿宋_GB2312"/>
          <w:sz w:val="32"/>
          <w:szCs w:val="32"/>
        </w:rPr>
      </w:pPr>
    </w:p>
    <w:p>
      <w:pPr>
        <w:widowControl/>
        <w:spacing w:line="580" w:lineRule="exact"/>
        <w:ind w:firstLine="1440" w:firstLineChars="450"/>
        <w:rPr>
          <w:rFonts w:ascii="仿宋_GB2312" w:hAnsi="仿宋_GB2312" w:eastAsia="仿宋_GB2312" w:cs="仿宋_GB2312"/>
          <w:sz w:val="32"/>
          <w:szCs w:val="32"/>
        </w:rPr>
      </w:pPr>
    </w:p>
    <w:p>
      <w:pPr>
        <w:widowControl/>
        <w:spacing w:line="580" w:lineRule="exact"/>
        <w:ind w:firstLine="1440" w:firstLineChars="450"/>
        <w:rPr>
          <w:rFonts w:ascii="仿宋_GB2312" w:hAnsi="仿宋_GB2312" w:eastAsia="仿宋_GB2312" w:cs="仿宋_GB2312"/>
          <w:sz w:val="32"/>
          <w:szCs w:val="32"/>
        </w:rPr>
        <w:sectPr>
          <w:footerReference r:id="rId3" w:type="default"/>
          <w:pgSz w:w="11906" w:h="16838"/>
          <w:pgMar w:top="2098" w:right="1474" w:bottom="1984" w:left="1587" w:header="851" w:footer="992" w:gutter="0"/>
          <w:pgNumType w:start="1"/>
          <w:cols w:space="425" w:num="1"/>
          <w:docGrid w:type="lines" w:linePitch="312" w:charSpace="0"/>
        </w:sectPr>
      </w:pPr>
    </w:p>
    <w:tbl>
      <w:tblPr>
        <w:tblStyle w:val="6"/>
        <w:tblW w:w="15608" w:type="dxa"/>
        <w:tblInd w:w="93" w:type="dxa"/>
        <w:tblLayout w:type="autofit"/>
        <w:tblCellMar>
          <w:top w:w="0" w:type="dxa"/>
          <w:left w:w="108" w:type="dxa"/>
          <w:bottom w:w="0" w:type="dxa"/>
          <w:right w:w="108" w:type="dxa"/>
        </w:tblCellMar>
      </w:tblPr>
      <w:tblGrid>
        <w:gridCol w:w="1291"/>
        <w:gridCol w:w="2268"/>
        <w:gridCol w:w="7229"/>
        <w:gridCol w:w="2410"/>
        <w:gridCol w:w="2410"/>
      </w:tblGrid>
      <w:tr>
        <w:tblPrEx>
          <w:tblCellMar>
            <w:top w:w="0" w:type="dxa"/>
            <w:left w:w="108" w:type="dxa"/>
            <w:bottom w:w="0" w:type="dxa"/>
            <w:right w:w="108" w:type="dxa"/>
          </w:tblCellMar>
        </w:tblPrEx>
        <w:trPr>
          <w:trHeight w:val="433" w:hRule="atLeast"/>
        </w:trPr>
        <w:tc>
          <w:tcPr>
            <w:tcW w:w="15608" w:type="dxa"/>
            <w:gridSpan w:val="5"/>
            <w:tcBorders>
              <w:top w:val="nil"/>
              <w:left w:val="nil"/>
              <w:bottom w:val="nil"/>
              <w:right w:val="nil"/>
            </w:tcBorders>
            <w:shd w:val="clear" w:color="auto" w:fill="auto"/>
            <w:noWrap/>
            <w:vAlign w:val="center"/>
          </w:tcPr>
          <w:p>
            <w:pPr>
              <w:widowControl/>
              <w:rPr>
                <w:rFonts w:ascii="方正仿宋_GBK" w:hAnsi="宋体" w:eastAsia="方正仿宋_GBK" w:cs="宋体"/>
                <w:color w:val="000000"/>
                <w:kern w:val="0"/>
                <w:sz w:val="28"/>
                <w:szCs w:val="28"/>
              </w:rPr>
            </w:pPr>
            <w:r>
              <w:rPr>
                <w:rFonts w:hint="eastAsia" w:ascii="方正黑体_GBK" w:hAnsi="方正黑体_GBK" w:eastAsia="方正黑体_GBK" w:cs="方正黑体_GBK"/>
                <w:color w:val="000000"/>
                <w:kern w:val="0"/>
                <w:sz w:val="28"/>
                <w:szCs w:val="28"/>
              </w:rPr>
              <w:t>附件</w:t>
            </w:r>
          </w:p>
        </w:tc>
      </w:tr>
      <w:tr>
        <w:tblPrEx>
          <w:tblCellMar>
            <w:top w:w="0" w:type="dxa"/>
            <w:left w:w="108" w:type="dxa"/>
            <w:bottom w:w="0" w:type="dxa"/>
            <w:right w:w="108" w:type="dxa"/>
          </w:tblCellMar>
        </w:tblPrEx>
        <w:trPr>
          <w:trHeight w:val="498" w:hRule="atLeast"/>
        </w:trPr>
        <w:tc>
          <w:tcPr>
            <w:tcW w:w="15608" w:type="dxa"/>
            <w:gridSpan w:val="5"/>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32"/>
                <w:szCs w:val="32"/>
              </w:rPr>
            </w:pPr>
            <w:r>
              <w:rPr>
                <w:rFonts w:hint="eastAsia" w:ascii="方正小标宋简体" w:hAnsi="方正小标宋简体" w:eastAsia="方正小标宋简体" w:cs="方正小标宋简体"/>
                <w:color w:val="000000"/>
                <w:kern w:val="0"/>
                <w:sz w:val="44"/>
                <w:szCs w:val="44"/>
              </w:rPr>
              <w:t>海安市行政审批中介服务评价标准</w:t>
            </w:r>
          </w:p>
        </w:tc>
      </w:tr>
      <w:tr>
        <w:tblPrEx>
          <w:tblCellMar>
            <w:top w:w="0" w:type="dxa"/>
            <w:left w:w="108" w:type="dxa"/>
            <w:bottom w:w="0" w:type="dxa"/>
            <w:right w:w="108" w:type="dxa"/>
          </w:tblCellMar>
        </w:tblPrEx>
        <w:trPr>
          <w:trHeight w:val="739"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参评对象</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评价内容</w:t>
            </w:r>
          </w:p>
        </w:tc>
        <w:tc>
          <w:tcPr>
            <w:tcW w:w="722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评价标准</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中介服务事项评价</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机构评价</w:t>
            </w:r>
          </w:p>
        </w:tc>
      </w:tr>
      <w:tr>
        <w:tblPrEx>
          <w:tblCellMar>
            <w:top w:w="0" w:type="dxa"/>
            <w:left w:w="108" w:type="dxa"/>
            <w:bottom w:w="0" w:type="dxa"/>
            <w:right w:w="108" w:type="dxa"/>
          </w:tblCellMar>
        </w:tblPrEx>
        <w:trPr>
          <w:trHeight w:val="1400" w:hRule="atLeast"/>
        </w:trPr>
        <w:tc>
          <w:tcPr>
            <w:tcW w:w="129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审批部门（60分）</w:t>
            </w:r>
          </w:p>
        </w:tc>
        <w:tc>
          <w:tcPr>
            <w:tcW w:w="22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成果质量（45分）</w:t>
            </w:r>
          </w:p>
        </w:tc>
        <w:tc>
          <w:tcPr>
            <w:tcW w:w="7229"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按单个项目服务成果记分，中介机构服务成果质量高、经受理后一次性通过审批的，得45分；中介机构服务成果经审批部门指导修改1次后通过审批的，得40分；修改2次后通过审批的，得35分；修改3次后通过审批的，得30分；修改3次以上的，该项不得分。</w:t>
            </w:r>
          </w:p>
        </w:tc>
        <w:tc>
          <w:tcPr>
            <w:tcW w:w="241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中介服务项目的累计平均分折算为该中介服务事项的星级。</w:t>
            </w:r>
          </w:p>
        </w:tc>
        <w:tc>
          <w:tcPr>
            <w:tcW w:w="241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根据中介服务事项的累计平均分折算为该机构的星级。</w:t>
            </w:r>
          </w:p>
        </w:tc>
      </w:tr>
      <w:tr>
        <w:tblPrEx>
          <w:tblCellMar>
            <w:top w:w="0" w:type="dxa"/>
            <w:left w:w="108" w:type="dxa"/>
            <w:bottom w:w="0" w:type="dxa"/>
            <w:right w:w="108" w:type="dxa"/>
          </w:tblCellMar>
        </w:tblPrEx>
        <w:trPr>
          <w:trHeight w:val="1639" w:hRule="atLeast"/>
        </w:trPr>
        <w:tc>
          <w:tcPr>
            <w:tcW w:w="1291"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ascii="仿宋_GB2312" w:hAnsi="仿宋_GB2312" w:eastAsia="仿宋_GB2312" w:cs="仿宋_GB2312"/>
                <w:color w:val="000000"/>
                <w:kern w:val="0"/>
                <w:szCs w:val="21"/>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材料规范（15分）</w:t>
            </w:r>
          </w:p>
        </w:tc>
        <w:tc>
          <w:tcPr>
            <w:tcW w:w="7229"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在审批过程中，如发现机构存在以下情形之一的，扣15分。（一）提供虚假材料、证照（伪造、篡改、转借、借用证照，挂靠）；（二）提交资质证照等资料与实际不符或未及时更新等；（三）出具虚假报告、结论、证明文件或其他资料；（四）超越资质范围承揽业务，资格条件或者能力不符合项目审批相关要求。</w:t>
            </w:r>
          </w:p>
        </w:tc>
        <w:tc>
          <w:tcPr>
            <w:tcW w:w="2410" w:type="dxa"/>
            <w:vMerge w:val="continue"/>
            <w:tcBorders>
              <w:top w:val="nil"/>
              <w:left w:val="single" w:color="auto" w:sz="4" w:space="0"/>
              <w:bottom w:val="single" w:color="000000" w:sz="4" w:space="0"/>
              <w:right w:val="single" w:color="auto" w:sz="4" w:space="0"/>
            </w:tcBorders>
            <w:vAlign w:val="center"/>
          </w:tcPr>
          <w:p>
            <w:pPr>
              <w:widowControl/>
              <w:spacing w:line="300" w:lineRule="exact"/>
              <w:rPr>
                <w:rFonts w:ascii="仿宋_GB2312" w:hAnsi="仿宋_GB2312" w:eastAsia="仿宋_GB2312" w:cs="仿宋_GB2312"/>
                <w:color w:val="000000"/>
                <w:kern w:val="0"/>
                <w:szCs w:val="21"/>
              </w:rPr>
            </w:pPr>
          </w:p>
        </w:tc>
        <w:tc>
          <w:tcPr>
            <w:tcW w:w="2410" w:type="dxa"/>
            <w:vMerge w:val="continue"/>
            <w:tcBorders>
              <w:top w:val="nil"/>
              <w:left w:val="single" w:color="auto" w:sz="4" w:space="0"/>
              <w:bottom w:val="single" w:color="000000" w:sz="4" w:space="0"/>
              <w:right w:val="single" w:color="auto" w:sz="4" w:space="0"/>
            </w:tcBorders>
            <w:vAlign w:val="center"/>
          </w:tcPr>
          <w:p>
            <w:pPr>
              <w:widowControl/>
              <w:spacing w:line="300" w:lineRule="exact"/>
              <w:rPr>
                <w:rFonts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trHeight w:val="1639" w:hRule="atLeast"/>
        </w:trPr>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业主单位(40分)</w:t>
            </w:r>
          </w:p>
        </w:tc>
        <w:tc>
          <w:tcPr>
            <w:tcW w:w="22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效能情况（20分）</w:t>
            </w:r>
          </w:p>
        </w:tc>
        <w:tc>
          <w:tcPr>
            <w:tcW w:w="7229"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以服务合同约定的时间为依据，在与业主单位签订的合同时间内完成服务，服务质量符合业主单位要求的，得20分；因客观原因，超期（合同约定期限）1-3个工作日完成中介服务的，得15分；超期4-6个工作日完成中介服务的，得10分；超期6个工作日外完成中介服务或因服务成果质量问题经多次修改导致服务超期的，不得分。</w:t>
            </w:r>
          </w:p>
        </w:tc>
        <w:tc>
          <w:tcPr>
            <w:tcW w:w="241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中介服务项目的累计平均分折算为该中介服务事项的星级。</w:t>
            </w:r>
          </w:p>
        </w:tc>
        <w:tc>
          <w:tcPr>
            <w:tcW w:w="241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根据中介服务事项的累计平均分折算为该机构的星级。</w:t>
            </w:r>
          </w:p>
        </w:tc>
      </w:tr>
      <w:tr>
        <w:tblPrEx>
          <w:tblCellMar>
            <w:top w:w="0" w:type="dxa"/>
            <w:left w:w="108" w:type="dxa"/>
            <w:bottom w:w="0" w:type="dxa"/>
            <w:right w:w="108" w:type="dxa"/>
          </w:tblCellMar>
        </w:tblPrEx>
        <w:trPr>
          <w:trHeight w:val="1085" w:hRule="atLeast"/>
        </w:trPr>
        <w:tc>
          <w:tcPr>
            <w:tcW w:w="129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Times New Roman"/>
                <w:color w:val="000000"/>
                <w:kern w:val="0"/>
                <w:sz w:val="22"/>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收费情况（10分）</w:t>
            </w:r>
          </w:p>
        </w:tc>
        <w:tc>
          <w:tcPr>
            <w:tcW w:w="7229"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能执行国家、省、市规定的收费标准及政策，合理收费或适当降低收费，优惠业主单位的得10分；擅自增设收费项目或“搭车”收费，以及不按合同收费的不得分。</w:t>
            </w:r>
          </w:p>
        </w:tc>
        <w:tc>
          <w:tcPr>
            <w:tcW w:w="2410" w:type="dxa"/>
            <w:vMerge w:val="continue"/>
            <w:tcBorders>
              <w:top w:val="nil"/>
              <w:left w:val="single" w:color="auto" w:sz="4" w:space="0"/>
              <w:bottom w:val="single" w:color="000000" w:sz="4" w:space="0"/>
              <w:right w:val="single" w:color="auto" w:sz="4" w:space="0"/>
            </w:tcBorders>
            <w:vAlign w:val="center"/>
          </w:tcPr>
          <w:p>
            <w:pPr>
              <w:widowControl/>
              <w:spacing w:line="300" w:lineRule="exact"/>
              <w:rPr>
                <w:rFonts w:ascii="Times New Roman" w:hAnsi="Times New Roman" w:eastAsia="方正仿宋_GBK" w:cs="Times New Roman"/>
                <w:color w:val="000000"/>
                <w:kern w:val="0"/>
                <w:sz w:val="22"/>
              </w:rPr>
            </w:pPr>
          </w:p>
        </w:tc>
        <w:tc>
          <w:tcPr>
            <w:tcW w:w="2410" w:type="dxa"/>
            <w:vMerge w:val="continue"/>
            <w:tcBorders>
              <w:top w:val="nil"/>
              <w:left w:val="single" w:color="auto" w:sz="4" w:space="0"/>
              <w:bottom w:val="single" w:color="000000" w:sz="4" w:space="0"/>
              <w:right w:val="single" w:color="auto" w:sz="4" w:space="0"/>
            </w:tcBorders>
            <w:vAlign w:val="center"/>
          </w:tcPr>
          <w:p>
            <w:pPr>
              <w:widowControl/>
              <w:spacing w:line="300" w:lineRule="exact"/>
              <w:rPr>
                <w:rFonts w:ascii="Times New Roman" w:hAnsi="Times New Roman" w:eastAsia="方正仿宋_GBK" w:cs="Times New Roman"/>
                <w:color w:val="000000"/>
                <w:kern w:val="0"/>
                <w:sz w:val="22"/>
              </w:rPr>
            </w:pPr>
          </w:p>
        </w:tc>
      </w:tr>
      <w:tr>
        <w:tblPrEx>
          <w:tblCellMar>
            <w:top w:w="0" w:type="dxa"/>
            <w:left w:w="108" w:type="dxa"/>
            <w:bottom w:w="0" w:type="dxa"/>
            <w:right w:w="108" w:type="dxa"/>
          </w:tblCellMar>
        </w:tblPrEx>
        <w:trPr>
          <w:trHeight w:val="1639" w:hRule="atLeast"/>
        </w:trPr>
        <w:tc>
          <w:tcPr>
            <w:tcW w:w="129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Times New Roman"/>
                <w:color w:val="000000"/>
                <w:kern w:val="0"/>
                <w:sz w:val="22"/>
              </w:rPr>
            </w:pPr>
          </w:p>
        </w:tc>
        <w:tc>
          <w:tcPr>
            <w:tcW w:w="22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服务情况（10分）</w:t>
            </w:r>
          </w:p>
        </w:tc>
        <w:tc>
          <w:tcPr>
            <w:tcW w:w="7229"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介服务机构能积极主动与业主沟通，一次告知相关要求，或积极根据业主要求开展中介服务的得10分；在开展中介服务中未落实一次告知，或中途提出多次不同要求，但能按合同要求完成服务的，得5分；在开展服务过程中推诿拖延，不积极沟通，超期履约且耽误业主工作推进的不得分。</w:t>
            </w:r>
          </w:p>
        </w:tc>
        <w:tc>
          <w:tcPr>
            <w:tcW w:w="2410" w:type="dxa"/>
            <w:vMerge w:val="continue"/>
            <w:tcBorders>
              <w:top w:val="nil"/>
              <w:left w:val="single" w:color="auto" w:sz="4" w:space="0"/>
              <w:bottom w:val="single" w:color="000000" w:sz="4" w:space="0"/>
              <w:right w:val="single" w:color="auto" w:sz="4" w:space="0"/>
            </w:tcBorders>
            <w:vAlign w:val="center"/>
          </w:tcPr>
          <w:p>
            <w:pPr>
              <w:widowControl/>
              <w:spacing w:line="300" w:lineRule="exact"/>
              <w:rPr>
                <w:rFonts w:ascii="Times New Roman" w:hAnsi="Times New Roman" w:eastAsia="方正仿宋_GBK" w:cs="Times New Roman"/>
                <w:color w:val="000000"/>
                <w:kern w:val="0"/>
                <w:sz w:val="22"/>
              </w:rPr>
            </w:pPr>
          </w:p>
        </w:tc>
        <w:tc>
          <w:tcPr>
            <w:tcW w:w="2410" w:type="dxa"/>
            <w:vMerge w:val="continue"/>
            <w:tcBorders>
              <w:top w:val="nil"/>
              <w:left w:val="single" w:color="auto" w:sz="4" w:space="0"/>
              <w:bottom w:val="single" w:color="000000" w:sz="4" w:space="0"/>
              <w:right w:val="single" w:color="auto" w:sz="4" w:space="0"/>
            </w:tcBorders>
            <w:vAlign w:val="center"/>
          </w:tcPr>
          <w:p>
            <w:pPr>
              <w:widowControl/>
              <w:spacing w:line="300" w:lineRule="exact"/>
              <w:rPr>
                <w:rFonts w:ascii="Times New Roman" w:hAnsi="Times New Roman" w:eastAsia="方正仿宋_GBK" w:cs="Times New Roman"/>
                <w:color w:val="000000"/>
                <w:kern w:val="0"/>
                <w:sz w:val="22"/>
              </w:rPr>
            </w:pPr>
          </w:p>
        </w:tc>
      </w:tr>
    </w:tbl>
    <w:p>
      <w:pPr>
        <w:widowControl/>
        <w:spacing w:line="300" w:lineRule="exact"/>
        <w:rPr>
          <w:rFonts w:ascii="Times New Roman" w:hAnsi="Times New Roman" w:eastAsia="方正仿宋_GBK" w:cs="Times New Roman"/>
          <w:sz w:val="32"/>
          <w:szCs w:val="32"/>
        </w:rPr>
      </w:pPr>
    </w:p>
    <w:sectPr>
      <w:footerReference r:id="rId4" w:type="default"/>
      <w:pgSz w:w="16838" w:h="11906" w:orient="landscape"/>
      <w:pgMar w:top="568" w:right="720" w:bottom="568"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文本框 1" o:spid="_x0000_s3074"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Oh/wgfs&#10;AQAA1QMAAA4AAAAAAAAAAQAgAAAAHgEAAGRycy9lMm9Eb2MueG1sUEsFBgAAAAAGAAYAWQEAAHwF&#10;AAAAAA==&#10;">
          <v:path/>
          <v:fill on="f" focussize="0,0"/>
          <v:stroke on="f" joinstyle="miter"/>
          <v:imagedata o:title=""/>
          <o:lock v:ext="edit"/>
          <v:textbox inset="0mm,0mm,0mm,0mm" style="mso-fit-shape-to-text:t;">
            <w:txbxContent>
              <w:sdt>
                <w:sdtPr>
                  <w:id w:val="621353487"/>
                </w:sdtPr>
                <w:sdtEndPr>
                  <w:rPr>
                    <w:rFonts w:hint="eastAsia" w:ascii="方正仿宋_GBK" w:hAnsi="方正仿宋_GBK" w:eastAsia="方正仿宋_GBK" w:cs="方正仿宋_GBK"/>
                    <w:sz w:val="28"/>
                    <w:szCs w:val="28"/>
                  </w:rPr>
                </w:sdtEndPr>
                <w:sdtContent>
                  <w:p>
                    <w:pPr>
                      <w:pStyle w:val="3"/>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lang w:val="zh-CN"/>
                      </w:rPr>
                      <w:t>10</w:t>
                    </w:r>
                    <w:r>
                      <w:rPr>
                        <w:rFonts w:ascii="Times New Roman" w:hAnsi="Times New Roman" w:eastAsia="方正仿宋_GBK" w:cs="Times New Roman"/>
                        <w:sz w:val="28"/>
                        <w:szCs w:val="28"/>
                        <w:lang w:val="zh-CN"/>
                      </w:rPr>
                      <w:fldChar w:fldCharType="end"/>
                    </w:r>
                    <w:r>
                      <w:rPr>
                        <w:rFonts w:hint="eastAsia" w:ascii="方正仿宋_GBK" w:hAnsi="方正仿宋_GBK" w:eastAsia="方正仿宋_GBK" w:cs="方正仿宋_GBK"/>
                        <w:sz w:val="28"/>
                        <w:szCs w:val="28"/>
                        <w:lang w:val="zh-CN"/>
                      </w:rPr>
                      <w:t>—</w:t>
                    </w:r>
                  </w:p>
                </w:sdtContent>
              </w:sd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3073"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AXU/1z&#10;7QEAANUDAAAOAAAAAAAAAAEAIAAAAB4BAABkcnMvZTJvRG9jLnhtbFBLBQYAAAAABgAGAFkBAAB9&#10;BQAAAAA=&#10;">
          <v:path/>
          <v:fill on="f" focussize="0,0"/>
          <v:stroke on="f" joinstyle="miter"/>
          <v:imagedata o:title=""/>
          <o:lock v:ext="edit"/>
          <v:textbox inset="0mm,0mm,0mm,0mm" style="mso-fit-shape-to-text:t;">
            <w:txbxContent>
              <w:p>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12</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B929F"/>
    <w:multiLevelType w:val="singleLevel"/>
    <w:tmpl w:val="19EB929F"/>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Y5YTc2ZmYyZmFhMDVlYjg5NThlM2QwM2Y4OWMyMDcifQ=="/>
  </w:docVars>
  <w:rsids>
    <w:rsidRoot w:val="00936E23"/>
    <w:rsid w:val="000014DB"/>
    <w:rsid w:val="000135E6"/>
    <w:rsid w:val="00042447"/>
    <w:rsid w:val="0004419D"/>
    <w:rsid w:val="00061455"/>
    <w:rsid w:val="00064743"/>
    <w:rsid w:val="00064CE0"/>
    <w:rsid w:val="000879DB"/>
    <w:rsid w:val="00087FE6"/>
    <w:rsid w:val="00096584"/>
    <w:rsid w:val="000A4543"/>
    <w:rsid w:val="000A60E4"/>
    <w:rsid w:val="000B62FD"/>
    <w:rsid w:val="000B73C6"/>
    <w:rsid w:val="000C0C10"/>
    <w:rsid w:val="000D7964"/>
    <w:rsid w:val="000E5676"/>
    <w:rsid w:val="00100EBB"/>
    <w:rsid w:val="001115D9"/>
    <w:rsid w:val="00115B8A"/>
    <w:rsid w:val="001177BA"/>
    <w:rsid w:val="0012464A"/>
    <w:rsid w:val="00125AF4"/>
    <w:rsid w:val="00126298"/>
    <w:rsid w:val="001266D9"/>
    <w:rsid w:val="001473DD"/>
    <w:rsid w:val="00171977"/>
    <w:rsid w:val="00173517"/>
    <w:rsid w:val="001979D0"/>
    <w:rsid w:val="001A1926"/>
    <w:rsid w:val="001C1559"/>
    <w:rsid w:val="001C1BCE"/>
    <w:rsid w:val="001D039B"/>
    <w:rsid w:val="001D081B"/>
    <w:rsid w:val="0020231E"/>
    <w:rsid w:val="0020384B"/>
    <w:rsid w:val="00224AAD"/>
    <w:rsid w:val="00230117"/>
    <w:rsid w:val="002412AE"/>
    <w:rsid w:val="002445DC"/>
    <w:rsid w:val="002470B3"/>
    <w:rsid w:val="0026489C"/>
    <w:rsid w:val="00271CD2"/>
    <w:rsid w:val="00277AAE"/>
    <w:rsid w:val="002802D2"/>
    <w:rsid w:val="00281B0B"/>
    <w:rsid w:val="00291FC9"/>
    <w:rsid w:val="002B1809"/>
    <w:rsid w:val="002C33AC"/>
    <w:rsid w:val="00303666"/>
    <w:rsid w:val="00313353"/>
    <w:rsid w:val="003156ED"/>
    <w:rsid w:val="00321807"/>
    <w:rsid w:val="00336462"/>
    <w:rsid w:val="00337D32"/>
    <w:rsid w:val="00350692"/>
    <w:rsid w:val="00356861"/>
    <w:rsid w:val="003700F6"/>
    <w:rsid w:val="003750CC"/>
    <w:rsid w:val="0038227E"/>
    <w:rsid w:val="00384080"/>
    <w:rsid w:val="0038593B"/>
    <w:rsid w:val="0039276B"/>
    <w:rsid w:val="00394DAE"/>
    <w:rsid w:val="00397C0E"/>
    <w:rsid w:val="003A1A4E"/>
    <w:rsid w:val="003B0B9F"/>
    <w:rsid w:val="003B3575"/>
    <w:rsid w:val="003C1F17"/>
    <w:rsid w:val="003C3506"/>
    <w:rsid w:val="003D2A9C"/>
    <w:rsid w:val="003D7D2D"/>
    <w:rsid w:val="003E6E67"/>
    <w:rsid w:val="004006F5"/>
    <w:rsid w:val="00404AEB"/>
    <w:rsid w:val="004102B8"/>
    <w:rsid w:val="00414353"/>
    <w:rsid w:val="004210AB"/>
    <w:rsid w:val="0042506B"/>
    <w:rsid w:val="00431C08"/>
    <w:rsid w:val="004356D1"/>
    <w:rsid w:val="004402A1"/>
    <w:rsid w:val="0044044E"/>
    <w:rsid w:val="00440B35"/>
    <w:rsid w:val="00441E4A"/>
    <w:rsid w:val="004577D5"/>
    <w:rsid w:val="00460BC2"/>
    <w:rsid w:val="004636AC"/>
    <w:rsid w:val="004722B3"/>
    <w:rsid w:val="00472822"/>
    <w:rsid w:val="00493430"/>
    <w:rsid w:val="004A1A62"/>
    <w:rsid w:val="004B1899"/>
    <w:rsid w:val="004B7013"/>
    <w:rsid w:val="004D2056"/>
    <w:rsid w:val="004F527B"/>
    <w:rsid w:val="00516CA2"/>
    <w:rsid w:val="005208F6"/>
    <w:rsid w:val="00533D04"/>
    <w:rsid w:val="005547E0"/>
    <w:rsid w:val="00564442"/>
    <w:rsid w:val="00573D95"/>
    <w:rsid w:val="00575959"/>
    <w:rsid w:val="005759C6"/>
    <w:rsid w:val="005764C1"/>
    <w:rsid w:val="00586F19"/>
    <w:rsid w:val="0059290A"/>
    <w:rsid w:val="005A1C84"/>
    <w:rsid w:val="005A5A8F"/>
    <w:rsid w:val="005C07E5"/>
    <w:rsid w:val="005E1C59"/>
    <w:rsid w:val="005E73DA"/>
    <w:rsid w:val="005F390C"/>
    <w:rsid w:val="005F404F"/>
    <w:rsid w:val="00604FEB"/>
    <w:rsid w:val="00606085"/>
    <w:rsid w:val="00613BCF"/>
    <w:rsid w:val="00613EBC"/>
    <w:rsid w:val="00626E0E"/>
    <w:rsid w:val="0063115D"/>
    <w:rsid w:val="00631E7E"/>
    <w:rsid w:val="0063340E"/>
    <w:rsid w:val="00633608"/>
    <w:rsid w:val="00635016"/>
    <w:rsid w:val="00651165"/>
    <w:rsid w:val="00671D61"/>
    <w:rsid w:val="006800BC"/>
    <w:rsid w:val="00685D31"/>
    <w:rsid w:val="00691531"/>
    <w:rsid w:val="006C6588"/>
    <w:rsid w:val="006D3B53"/>
    <w:rsid w:val="006E144D"/>
    <w:rsid w:val="006E592D"/>
    <w:rsid w:val="007060BF"/>
    <w:rsid w:val="00724B60"/>
    <w:rsid w:val="00731AC4"/>
    <w:rsid w:val="007363F6"/>
    <w:rsid w:val="007364A9"/>
    <w:rsid w:val="0073721B"/>
    <w:rsid w:val="00747FD2"/>
    <w:rsid w:val="0075175B"/>
    <w:rsid w:val="00763615"/>
    <w:rsid w:val="00765FCA"/>
    <w:rsid w:val="00775AEE"/>
    <w:rsid w:val="00794272"/>
    <w:rsid w:val="00795312"/>
    <w:rsid w:val="007A2889"/>
    <w:rsid w:val="007B4580"/>
    <w:rsid w:val="007B501F"/>
    <w:rsid w:val="007B598E"/>
    <w:rsid w:val="007D59EC"/>
    <w:rsid w:val="007E638C"/>
    <w:rsid w:val="008108C5"/>
    <w:rsid w:val="00810C2F"/>
    <w:rsid w:val="00827E8C"/>
    <w:rsid w:val="00837985"/>
    <w:rsid w:val="00844AFA"/>
    <w:rsid w:val="00854CBF"/>
    <w:rsid w:val="0085633E"/>
    <w:rsid w:val="00856E7B"/>
    <w:rsid w:val="00862FA7"/>
    <w:rsid w:val="00872CF7"/>
    <w:rsid w:val="00881180"/>
    <w:rsid w:val="00883E61"/>
    <w:rsid w:val="00886787"/>
    <w:rsid w:val="008867B2"/>
    <w:rsid w:val="0089329F"/>
    <w:rsid w:val="00893B80"/>
    <w:rsid w:val="008A43E3"/>
    <w:rsid w:val="008A54DD"/>
    <w:rsid w:val="008B1EEA"/>
    <w:rsid w:val="008C445C"/>
    <w:rsid w:val="008C6853"/>
    <w:rsid w:val="008E57B7"/>
    <w:rsid w:val="008E6C1B"/>
    <w:rsid w:val="008F5BCE"/>
    <w:rsid w:val="00910538"/>
    <w:rsid w:val="0091426C"/>
    <w:rsid w:val="00930379"/>
    <w:rsid w:val="009333FA"/>
    <w:rsid w:val="00936E23"/>
    <w:rsid w:val="00955508"/>
    <w:rsid w:val="009605E6"/>
    <w:rsid w:val="0096472C"/>
    <w:rsid w:val="009732B0"/>
    <w:rsid w:val="00976693"/>
    <w:rsid w:val="009770A5"/>
    <w:rsid w:val="009B745B"/>
    <w:rsid w:val="009C0BA8"/>
    <w:rsid w:val="009C17FF"/>
    <w:rsid w:val="009C1E9D"/>
    <w:rsid w:val="009C388E"/>
    <w:rsid w:val="009C78A9"/>
    <w:rsid w:val="009D21E9"/>
    <w:rsid w:val="009D39DF"/>
    <w:rsid w:val="009F06C6"/>
    <w:rsid w:val="009F3A88"/>
    <w:rsid w:val="009F50A8"/>
    <w:rsid w:val="009F5F47"/>
    <w:rsid w:val="00A02C90"/>
    <w:rsid w:val="00A1779B"/>
    <w:rsid w:val="00A317F1"/>
    <w:rsid w:val="00A33380"/>
    <w:rsid w:val="00A447A6"/>
    <w:rsid w:val="00A46FD2"/>
    <w:rsid w:val="00A5241B"/>
    <w:rsid w:val="00A55B14"/>
    <w:rsid w:val="00A73D91"/>
    <w:rsid w:val="00A76020"/>
    <w:rsid w:val="00A807D6"/>
    <w:rsid w:val="00A857CA"/>
    <w:rsid w:val="00A8648A"/>
    <w:rsid w:val="00A9158B"/>
    <w:rsid w:val="00A96895"/>
    <w:rsid w:val="00AA2F5B"/>
    <w:rsid w:val="00AB1D49"/>
    <w:rsid w:val="00AB3430"/>
    <w:rsid w:val="00AC0C15"/>
    <w:rsid w:val="00AC4612"/>
    <w:rsid w:val="00AC694A"/>
    <w:rsid w:val="00AC6A3E"/>
    <w:rsid w:val="00AC754F"/>
    <w:rsid w:val="00AD176B"/>
    <w:rsid w:val="00AD5C68"/>
    <w:rsid w:val="00AE3AA1"/>
    <w:rsid w:val="00AE6C06"/>
    <w:rsid w:val="00AF328F"/>
    <w:rsid w:val="00B163C4"/>
    <w:rsid w:val="00B26CCF"/>
    <w:rsid w:val="00B26FDB"/>
    <w:rsid w:val="00B3584F"/>
    <w:rsid w:val="00B46933"/>
    <w:rsid w:val="00B518A2"/>
    <w:rsid w:val="00B64542"/>
    <w:rsid w:val="00B651E3"/>
    <w:rsid w:val="00B7265A"/>
    <w:rsid w:val="00B82057"/>
    <w:rsid w:val="00B95A5D"/>
    <w:rsid w:val="00BA43BB"/>
    <w:rsid w:val="00BA7B04"/>
    <w:rsid w:val="00BA7D09"/>
    <w:rsid w:val="00BB323D"/>
    <w:rsid w:val="00BB35C1"/>
    <w:rsid w:val="00BB4F1E"/>
    <w:rsid w:val="00BC4334"/>
    <w:rsid w:val="00BF61FD"/>
    <w:rsid w:val="00C077B0"/>
    <w:rsid w:val="00C1519B"/>
    <w:rsid w:val="00C15521"/>
    <w:rsid w:val="00C30722"/>
    <w:rsid w:val="00C473F2"/>
    <w:rsid w:val="00C61C2B"/>
    <w:rsid w:val="00C66BD4"/>
    <w:rsid w:val="00C67AC9"/>
    <w:rsid w:val="00C766DF"/>
    <w:rsid w:val="00C914E4"/>
    <w:rsid w:val="00CA3CE7"/>
    <w:rsid w:val="00CC2AD4"/>
    <w:rsid w:val="00CC4627"/>
    <w:rsid w:val="00CD16D6"/>
    <w:rsid w:val="00CD1E44"/>
    <w:rsid w:val="00CF315D"/>
    <w:rsid w:val="00CF5DCE"/>
    <w:rsid w:val="00D04146"/>
    <w:rsid w:val="00D11EE0"/>
    <w:rsid w:val="00D31045"/>
    <w:rsid w:val="00D31883"/>
    <w:rsid w:val="00D34320"/>
    <w:rsid w:val="00D41B19"/>
    <w:rsid w:val="00D42F75"/>
    <w:rsid w:val="00D56AF2"/>
    <w:rsid w:val="00D616EA"/>
    <w:rsid w:val="00D6185C"/>
    <w:rsid w:val="00D630B0"/>
    <w:rsid w:val="00D7709B"/>
    <w:rsid w:val="00D81D2F"/>
    <w:rsid w:val="00D8382B"/>
    <w:rsid w:val="00D93509"/>
    <w:rsid w:val="00DA27EA"/>
    <w:rsid w:val="00DC61E3"/>
    <w:rsid w:val="00DD3F78"/>
    <w:rsid w:val="00DF55F0"/>
    <w:rsid w:val="00E11A70"/>
    <w:rsid w:val="00E16549"/>
    <w:rsid w:val="00E2009F"/>
    <w:rsid w:val="00E37760"/>
    <w:rsid w:val="00E51F02"/>
    <w:rsid w:val="00E6603F"/>
    <w:rsid w:val="00E671D9"/>
    <w:rsid w:val="00E71E69"/>
    <w:rsid w:val="00E768B3"/>
    <w:rsid w:val="00E77336"/>
    <w:rsid w:val="00E858D4"/>
    <w:rsid w:val="00E86B80"/>
    <w:rsid w:val="00E90D5C"/>
    <w:rsid w:val="00EA43C6"/>
    <w:rsid w:val="00EA6B78"/>
    <w:rsid w:val="00EC27C6"/>
    <w:rsid w:val="00ED0222"/>
    <w:rsid w:val="00ED0C50"/>
    <w:rsid w:val="00EE0493"/>
    <w:rsid w:val="00EE1A53"/>
    <w:rsid w:val="00EE22EC"/>
    <w:rsid w:val="00EF4E7A"/>
    <w:rsid w:val="00EF597E"/>
    <w:rsid w:val="00F33A16"/>
    <w:rsid w:val="00F35B4F"/>
    <w:rsid w:val="00F43D44"/>
    <w:rsid w:val="00F569E9"/>
    <w:rsid w:val="00F7177A"/>
    <w:rsid w:val="00F73422"/>
    <w:rsid w:val="00F75D75"/>
    <w:rsid w:val="00F87C11"/>
    <w:rsid w:val="00F90CD6"/>
    <w:rsid w:val="00F9247B"/>
    <w:rsid w:val="00F95196"/>
    <w:rsid w:val="00FA5C52"/>
    <w:rsid w:val="00FE0847"/>
    <w:rsid w:val="00FE5EF4"/>
    <w:rsid w:val="00FF065F"/>
    <w:rsid w:val="01630F53"/>
    <w:rsid w:val="036E5537"/>
    <w:rsid w:val="03A45FC5"/>
    <w:rsid w:val="07226D06"/>
    <w:rsid w:val="088636C2"/>
    <w:rsid w:val="094C55D1"/>
    <w:rsid w:val="0979158B"/>
    <w:rsid w:val="0A0A27C5"/>
    <w:rsid w:val="0BB7550F"/>
    <w:rsid w:val="0C4A1BC3"/>
    <w:rsid w:val="0D6B4A79"/>
    <w:rsid w:val="0E0E698C"/>
    <w:rsid w:val="0E33196B"/>
    <w:rsid w:val="0E6352A9"/>
    <w:rsid w:val="0EA94BD4"/>
    <w:rsid w:val="1146218C"/>
    <w:rsid w:val="117B7A3A"/>
    <w:rsid w:val="11BC16A5"/>
    <w:rsid w:val="11F917B2"/>
    <w:rsid w:val="12103777"/>
    <w:rsid w:val="12456209"/>
    <w:rsid w:val="13040217"/>
    <w:rsid w:val="134C3538"/>
    <w:rsid w:val="144323AB"/>
    <w:rsid w:val="15FC2F31"/>
    <w:rsid w:val="165B2E3B"/>
    <w:rsid w:val="16A05B2E"/>
    <w:rsid w:val="175D528F"/>
    <w:rsid w:val="17A36655"/>
    <w:rsid w:val="17F266C3"/>
    <w:rsid w:val="18117D55"/>
    <w:rsid w:val="181D15CF"/>
    <w:rsid w:val="190D44B0"/>
    <w:rsid w:val="193D3E2A"/>
    <w:rsid w:val="1AA255DC"/>
    <w:rsid w:val="1AFD20A0"/>
    <w:rsid w:val="1B9007FA"/>
    <w:rsid w:val="1C117199"/>
    <w:rsid w:val="1C1F3F30"/>
    <w:rsid w:val="1D027DA6"/>
    <w:rsid w:val="1D18135F"/>
    <w:rsid w:val="1D205254"/>
    <w:rsid w:val="1D3B29EA"/>
    <w:rsid w:val="1EB247CC"/>
    <w:rsid w:val="1EDF6033"/>
    <w:rsid w:val="1FAA4572"/>
    <w:rsid w:val="22500EC9"/>
    <w:rsid w:val="22DC6956"/>
    <w:rsid w:val="23AE0B4E"/>
    <w:rsid w:val="242877DE"/>
    <w:rsid w:val="243C4D9E"/>
    <w:rsid w:val="278F2AE6"/>
    <w:rsid w:val="2794527C"/>
    <w:rsid w:val="27A55CCD"/>
    <w:rsid w:val="27AF33E6"/>
    <w:rsid w:val="286059D7"/>
    <w:rsid w:val="2941403E"/>
    <w:rsid w:val="297563F0"/>
    <w:rsid w:val="29765A4A"/>
    <w:rsid w:val="29BD1409"/>
    <w:rsid w:val="29D25D8B"/>
    <w:rsid w:val="2A280AB9"/>
    <w:rsid w:val="2AFD1D96"/>
    <w:rsid w:val="2B6007B5"/>
    <w:rsid w:val="2BA3408F"/>
    <w:rsid w:val="2BDC096A"/>
    <w:rsid w:val="2BE33D7D"/>
    <w:rsid w:val="2C5F615A"/>
    <w:rsid w:val="2D6A2A2D"/>
    <w:rsid w:val="2ECE5745"/>
    <w:rsid w:val="30823395"/>
    <w:rsid w:val="31175E18"/>
    <w:rsid w:val="31B7469D"/>
    <w:rsid w:val="31DF02E3"/>
    <w:rsid w:val="32607DFF"/>
    <w:rsid w:val="3282379E"/>
    <w:rsid w:val="32AC534F"/>
    <w:rsid w:val="33A5774B"/>
    <w:rsid w:val="345A20FF"/>
    <w:rsid w:val="353A3563"/>
    <w:rsid w:val="353D4434"/>
    <w:rsid w:val="35804164"/>
    <w:rsid w:val="35A5140F"/>
    <w:rsid w:val="35D87316"/>
    <w:rsid w:val="35ED5087"/>
    <w:rsid w:val="361E2AEF"/>
    <w:rsid w:val="36755870"/>
    <w:rsid w:val="36A74804"/>
    <w:rsid w:val="387C0BB8"/>
    <w:rsid w:val="38931301"/>
    <w:rsid w:val="3A0B4B47"/>
    <w:rsid w:val="3A90095A"/>
    <w:rsid w:val="3AB85F64"/>
    <w:rsid w:val="3AD1108C"/>
    <w:rsid w:val="3AF95412"/>
    <w:rsid w:val="3B947DC0"/>
    <w:rsid w:val="3D05329F"/>
    <w:rsid w:val="3D3B0201"/>
    <w:rsid w:val="3FB474B3"/>
    <w:rsid w:val="40084E9C"/>
    <w:rsid w:val="409B5088"/>
    <w:rsid w:val="43064505"/>
    <w:rsid w:val="43961958"/>
    <w:rsid w:val="459F2A28"/>
    <w:rsid w:val="466E60CC"/>
    <w:rsid w:val="47286F14"/>
    <w:rsid w:val="481A6214"/>
    <w:rsid w:val="48212C8F"/>
    <w:rsid w:val="4A1718D9"/>
    <w:rsid w:val="4A593B07"/>
    <w:rsid w:val="4A6D45FB"/>
    <w:rsid w:val="4B650B0D"/>
    <w:rsid w:val="4F803A0F"/>
    <w:rsid w:val="4FCF69C4"/>
    <w:rsid w:val="50D4382A"/>
    <w:rsid w:val="51742FB0"/>
    <w:rsid w:val="525B1731"/>
    <w:rsid w:val="52861B73"/>
    <w:rsid w:val="528E17F0"/>
    <w:rsid w:val="52DA78A1"/>
    <w:rsid w:val="52E26A0A"/>
    <w:rsid w:val="53285977"/>
    <w:rsid w:val="5475139F"/>
    <w:rsid w:val="54AD4D7C"/>
    <w:rsid w:val="55804D54"/>
    <w:rsid w:val="560A265D"/>
    <w:rsid w:val="56327239"/>
    <w:rsid w:val="579831C5"/>
    <w:rsid w:val="57C9795F"/>
    <w:rsid w:val="580524F4"/>
    <w:rsid w:val="583B74D5"/>
    <w:rsid w:val="595A2E26"/>
    <w:rsid w:val="59FB04D3"/>
    <w:rsid w:val="5A301B84"/>
    <w:rsid w:val="5B070C22"/>
    <w:rsid w:val="5BB60E5B"/>
    <w:rsid w:val="5C74433D"/>
    <w:rsid w:val="5DB13D45"/>
    <w:rsid w:val="5E4109DF"/>
    <w:rsid w:val="5E83409D"/>
    <w:rsid w:val="5F6671DA"/>
    <w:rsid w:val="5FC02CEF"/>
    <w:rsid w:val="5FC708D6"/>
    <w:rsid w:val="61177297"/>
    <w:rsid w:val="62FF79A8"/>
    <w:rsid w:val="6369061D"/>
    <w:rsid w:val="63E65C05"/>
    <w:rsid w:val="63EF3073"/>
    <w:rsid w:val="63FF4680"/>
    <w:rsid w:val="65A7180E"/>
    <w:rsid w:val="674E65E6"/>
    <w:rsid w:val="683C454C"/>
    <w:rsid w:val="698450AA"/>
    <w:rsid w:val="6A000277"/>
    <w:rsid w:val="6A465168"/>
    <w:rsid w:val="6B48423B"/>
    <w:rsid w:val="6CBE0386"/>
    <w:rsid w:val="6CC22D51"/>
    <w:rsid w:val="6D932351"/>
    <w:rsid w:val="6EB164A5"/>
    <w:rsid w:val="6EDD6436"/>
    <w:rsid w:val="6F5D06C3"/>
    <w:rsid w:val="6F6B325C"/>
    <w:rsid w:val="6F941845"/>
    <w:rsid w:val="6FB60C00"/>
    <w:rsid w:val="700D6EC5"/>
    <w:rsid w:val="70AA28E3"/>
    <w:rsid w:val="71551717"/>
    <w:rsid w:val="71B72C0D"/>
    <w:rsid w:val="71C254BD"/>
    <w:rsid w:val="72100F31"/>
    <w:rsid w:val="72514453"/>
    <w:rsid w:val="725C5BF7"/>
    <w:rsid w:val="72A204A0"/>
    <w:rsid w:val="73A043D9"/>
    <w:rsid w:val="73C44DB3"/>
    <w:rsid w:val="743406EB"/>
    <w:rsid w:val="74C62174"/>
    <w:rsid w:val="75FD2B58"/>
    <w:rsid w:val="760A7B8A"/>
    <w:rsid w:val="77207080"/>
    <w:rsid w:val="797F4F9A"/>
    <w:rsid w:val="799B610F"/>
    <w:rsid w:val="7A741675"/>
    <w:rsid w:val="7B134BF1"/>
    <w:rsid w:val="7B2D61F8"/>
    <w:rsid w:val="7B8B33BC"/>
    <w:rsid w:val="7BF278E8"/>
    <w:rsid w:val="7C342CC3"/>
    <w:rsid w:val="7E2A2A0B"/>
    <w:rsid w:val="7E6E296F"/>
    <w:rsid w:val="7E9B7847"/>
    <w:rsid w:val="7FC84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20"/>
    <w:rPr>
      <w:i/>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A6A25C-1FC4-42A1-8C9C-616CE3ECEF8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4732</Words>
  <Characters>4797</Characters>
  <Lines>36</Lines>
  <Paragraphs>10</Paragraphs>
  <TotalTime>2</TotalTime>
  <ScaleCrop>false</ScaleCrop>
  <LinksUpToDate>false</LinksUpToDate>
  <CharactersWithSpaces>4876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2022-03-24T07:52:00Z</dcterms:created>
  <dc:creator>NTKO</dc:creator>
  <cp:lastModifiedBy>Veronica</cp:lastModifiedBy>
  <cp:lastPrinted>2023-03-22T01:54:00Z</cp:lastPrinted>
  <dcterms:modified xsi:type="dcterms:W3CDTF">2023-06-05T08:44:12Z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A2D3B5AB230944DCAC6420965582FF4E</vt:lpwstr>
  </property>
</Properties>
</file>